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0FC269" w14:textId="77777777" w:rsidR="00927027" w:rsidRDefault="000E78F6" w:rsidP="00927027">
      <w:pPr>
        <w:contextualSpacing/>
        <w:jc w:val="center"/>
        <w:rPr>
          <w:rFonts w:cstheme="minorHAnsi"/>
          <w:b/>
          <w:noProof/>
        </w:rPr>
      </w:pPr>
      <w:bookmarkStart w:id="0" w:name="_Hlk529278107"/>
      <w:bookmarkEnd w:id="0"/>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2FA20040" w14:textId="77777777" w:rsidR="00797624" w:rsidRDefault="00797624" w:rsidP="00105D8B">
      <w:pPr>
        <w:contextualSpacing/>
        <w:rPr>
          <w:rFonts w:cstheme="minorHAnsi"/>
          <w:b/>
          <w:noProof/>
        </w:rPr>
      </w:pPr>
    </w:p>
    <w:p w14:paraId="74F06360" w14:textId="7777777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A77237">
            <w:rPr>
              <w:rStyle w:val="Style1"/>
            </w:rPr>
            <w:t>0541</w:t>
          </w:r>
        </w:sdtContent>
      </w:sdt>
    </w:p>
    <w:p w14:paraId="452148B2" w14:textId="77777777"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1E22A0">
            <w:rPr>
              <w:rStyle w:val="Style1"/>
              <w:rFonts w:cstheme="minorHAnsi"/>
            </w:rPr>
            <w:t>Proportion of Days Covered: 3 Rates by Therapeutic Category</w:t>
          </w:r>
        </w:sdtContent>
      </w:sdt>
    </w:p>
    <w:p w14:paraId="28EEA105" w14:textId="7B74270F"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9-04-09T00:00:00Z">
            <w:dateFormat w:val="M/d/yyyy"/>
            <w:lid w:val="en-US"/>
            <w:storeMappedDataAs w:val="dateTime"/>
            <w:calendar w:val="gregorian"/>
          </w:date>
        </w:sdtPr>
        <w:sdtEndPr>
          <w:rPr>
            <w:rStyle w:val="DefaultParagraphFont"/>
            <w:noProof/>
            <w:color w:val="auto"/>
            <w:u w:val="none"/>
          </w:rPr>
        </w:sdtEndPr>
        <w:sdtContent>
          <w:r w:rsidR="00124FEB">
            <w:rPr>
              <w:rStyle w:val="Style2"/>
              <w:rFonts w:cstheme="minorHAnsi"/>
            </w:rPr>
            <w:t>4/9/2019</w:t>
          </w:r>
        </w:sdtContent>
      </w:sdt>
    </w:p>
    <w:p w14:paraId="65A3F3D0"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12EF3E99" w14:textId="77777777" w:rsidTr="000B7D57">
        <w:trPr>
          <w:jc w:val="center"/>
        </w:trPr>
        <w:tc>
          <w:tcPr>
            <w:tcW w:w="2513" w:type="pct"/>
          </w:tcPr>
          <w:p w14:paraId="5DCD58D7" w14:textId="77777777" w:rsidR="000B7D57" w:rsidRPr="00C775CE" w:rsidRDefault="00C87E2A"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29D607A0" w14:textId="77777777" w:rsidR="000B7D57" w:rsidRPr="00C775CE" w:rsidRDefault="00C87E2A"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7FD8B6E7" w14:textId="77777777" w:rsidTr="000B7D57">
        <w:trPr>
          <w:jc w:val="center"/>
        </w:trPr>
        <w:tc>
          <w:tcPr>
            <w:tcW w:w="2513" w:type="pct"/>
          </w:tcPr>
          <w:p w14:paraId="7F413344" w14:textId="77777777" w:rsidR="000B7D57" w:rsidRPr="00C775CE" w:rsidRDefault="00C87E2A"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358C70C" w14:textId="77777777" w:rsidR="000B7D57" w:rsidRPr="00C775CE" w:rsidRDefault="00C87E2A"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7CF70BD7" w14:textId="77777777" w:rsidTr="000B7D57">
        <w:trPr>
          <w:jc w:val="center"/>
        </w:trPr>
        <w:tc>
          <w:tcPr>
            <w:tcW w:w="2513" w:type="pct"/>
          </w:tcPr>
          <w:p w14:paraId="37EDA7D1" w14:textId="77777777" w:rsidR="000B7D57" w:rsidRPr="00C775CE" w:rsidRDefault="00C87E2A"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A77237">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334BC5FB" w14:textId="77777777" w:rsidR="000B7D57" w:rsidRPr="00C775CE" w:rsidRDefault="00C87E2A"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526DEDEE" w14:textId="77777777" w:rsidTr="000B7D57">
        <w:trPr>
          <w:jc w:val="center"/>
        </w:trPr>
        <w:tc>
          <w:tcPr>
            <w:tcW w:w="2513" w:type="pct"/>
          </w:tcPr>
          <w:p w14:paraId="2C8E3942" w14:textId="77777777" w:rsidR="000B7D57" w:rsidRPr="00C775CE" w:rsidRDefault="00C87E2A"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67376015" w14:textId="77777777" w:rsidR="000B7D57" w:rsidRDefault="000B7D57" w:rsidP="00CD364B">
            <w:pPr>
              <w:autoSpaceDE w:val="0"/>
              <w:autoSpaceDN w:val="0"/>
              <w:adjustRightInd w:val="0"/>
              <w:rPr>
                <w:rFonts w:cstheme="minorHAnsi"/>
                <w:bCs/>
                <w:color w:val="0000FF"/>
              </w:rPr>
            </w:pPr>
          </w:p>
        </w:tc>
      </w:tr>
    </w:tbl>
    <w:p w14:paraId="5E4D974E"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65B3B5A" w14:textId="77777777" w:rsidTr="00145149">
        <w:trPr>
          <w:jc w:val="center"/>
        </w:trPr>
        <w:tc>
          <w:tcPr>
            <w:tcW w:w="9576" w:type="dxa"/>
          </w:tcPr>
          <w:p w14:paraId="61B26EFD" w14:textId="77777777" w:rsidR="00B53E8B" w:rsidRPr="00B53E8B" w:rsidRDefault="00B53E8B" w:rsidP="00B53E8B">
            <w:pPr>
              <w:rPr>
                <w:rFonts w:cstheme="minorHAnsi"/>
                <w:b/>
                <w:noProof/>
              </w:rPr>
            </w:pPr>
            <w:r w:rsidRPr="00B53E8B">
              <w:rPr>
                <w:rFonts w:cstheme="minorHAnsi"/>
                <w:b/>
                <w:noProof/>
              </w:rPr>
              <w:t>Instructions</w:t>
            </w:r>
          </w:p>
          <w:p w14:paraId="1558D015" w14:textId="77777777" w:rsidR="00C14CCC" w:rsidRPr="00C14CCC" w:rsidRDefault="00C14CCC" w:rsidP="00597F27">
            <w:pPr>
              <w:pStyle w:val="ListParagraph"/>
              <w:numPr>
                <w:ilvl w:val="0"/>
                <w:numId w:val="1"/>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B3365E3" w14:textId="77777777" w:rsidR="00702C73" w:rsidRPr="00053F02" w:rsidRDefault="00702C73" w:rsidP="00597F27">
            <w:pPr>
              <w:pStyle w:val="ListParagraph"/>
              <w:numPr>
                <w:ilvl w:val="0"/>
                <w:numId w:val="1"/>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4DD8680A" w14:textId="77777777" w:rsidR="00702C73" w:rsidRDefault="00702C73" w:rsidP="00597F27">
            <w:pPr>
              <w:pStyle w:val="ListParagraph"/>
              <w:numPr>
                <w:ilvl w:val="0"/>
                <w:numId w:val="1"/>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21C38C7" w14:textId="77777777" w:rsidR="00702C73" w:rsidRDefault="00702C73" w:rsidP="00597F27">
            <w:pPr>
              <w:pStyle w:val="ListParagraph"/>
              <w:numPr>
                <w:ilvl w:val="0"/>
                <w:numId w:val="1"/>
              </w:numPr>
              <w:rPr>
                <w:rFonts w:cstheme="minorHAnsi"/>
                <w:noProof/>
              </w:rPr>
            </w:pPr>
            <w:r>
              <w:rPr>
                <w:rFonts w:cstheme="minorHAnsi"/>
                <w:noProof/>
              </w:rPr>
              <w:t xml:space="preserve">If specified for </w:t>
            </w:r>
            <w:r w:rsidRPr="00483E94">
              <w:rPr>
                <w:rFonts w:cstheme="minorHAnsi"/>
                <w:b/>
                <w:noProof/>
                <w:u w:val="single"/>
              </w:rPr>
              <w:t>multiple data sources</w:t>
            </w:r>
            <w:r w:rsidR="00FF20D9">
              <w:rPr>
                <w:rFonts w:cstheme="minorHAnsi"/>
                <w:b/>
                <w:noProof/>
                <w:u w:val="single"/>
              </w:rPr>
              <w:t>/sets of specificati</w:t>
            </w:r>
            <w:r w:rsidR="004D4D8A">
              <w:rPr>
                <w:rFonts w:cstheme="minorHAnsi"/>
                <w:b/>
                <w:noProof/>
                <w:u w:val="single"/>
              </w:rPr>
              <w: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FBAE869" w14:textId="77777777" w:rsidR="00702C73" w:rsidRPr="008F589F" w:rsidRDefault="00702C73" w:rsidP="00597F27">
            <w:pPr>
              <w:pStyle w:val="ListParagraph"/>
              <w:numPr>
                <w:ilvl w:val="0"/>
                <w:numId w:val="1"/>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1072CDE1" w14:textId="77777777" w:rsidR="00C14CCC" w:rsidRDefault="00977591" w:rsidP="00597F27">
            <w:pPr>
              <w:pStyle w:val="ListParagraph"/>
              <w:numPr>
                <w:ilvl w:val="0"/>
                <w:numId w:val="1"/>
              </w:numPr>
              <w:rPr>
                <w:rFonts w:cstheme="minorHAnsi"/>
                <w:noProof/>
              </w:rPr>
            </w:pPr>
            <w:r>
              <w:t>If you are unable to check a</w:t>
            </w:r>
            <w:r w:rsidR="009D7E38">
              <w:t xml:space="preserve"> box, please highlight or </w:t>
            </w:r>
            <w:r w:rsidR="00C14CCC">
              <w:t>shade the box for your response.</w:t>
            </w:r>
          </w:p>
          <w:p w14:paraId="1F50F107" w14:textId="77777777" w:rsidR="00904E91" w:rsidRPr="008F589F" w:rsidRDefault="009D7E38" w:rsidP="00597F27">
            <w:pPr>
              <w:pStyle w:val="ListParagraph"/>
              <w:numPr>
                <w:ilvl w:val="0"/>
                <w:numId w:val="1"/>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7F3B6D89" w14:textId="77777777" w:rsidR="00904E91" w:rsidRPr="00A71200" w:rsidRDefault="00977591" w:rsidP="00597F27">
            <w:pPr>
              <w:pStyle w:val="ListParagraph"/>
              <w:numPr>
                <w:ilvl w:val="0"/>
                <w:numId w:val="1"/>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25E6125D" w14:textId="77777777" w:rsidR="00A64EBF" w:rsidRDefault="00A64EBF" w:rsidP="00597F27">
            <w:pPr>
              <w:pStyle w:val="ListParagraph"/>
              <w:numPr>
                <w:ilvl w:val="0"/>
                <w:numId w:val="1"/>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75009CB2"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34612F4B" w14:textId="77777777" w:rsidTr="00145149">
        <w:trPr>
          <w:jc w:val="center"/>
        </w:trPr>
        <w:tc>
          <w:tcPr>
            <w:tcW w:w="9576" w:type="dxa"/>
          </w:tcPr>
          <w:p w14:paraId="338850ED" w14:textId="77777777"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F955C1B" w14:textId="77777777" w:rsidR="00B53E8B" w:rsidRPr="00A831B4" w:rsidRDefault="00B53E8B" w:rsidP="00702C73">
            <w:pPr>
              <w:rPr>
                <w:rFonts w:cstheme="minorHAnsi"/>
                <w:b/>
                <w:bCs/>
                <w:sz w:val="20"/>
                <w:szCs w:val="20"/>
              </w:rPr>
            </w:pPr>
          </w:p>
          <w:p w14:paraId="6FFB40A3"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w:t>
            </w:r>
            <w:proofErr w:type="gramStart"/>
            <w:r w:rsidRPr="000F034A">
              <w:rPr>
                <w:rFonts w:cstheme="minorHAnsi"/>
                <w:bCs/>
                <w:iCs/>
              </w:rPr>
              <w:t>time period</w:t>
            </w:r>
            <w:proofErr w:type="gramEnd"/>
            <w:r w:rsidRPr="000F034A">
              <w:rPr>
                <w:rFonts w:cstheme="minorHAnsi"/>
                <w:bCs/>
                <w:iCs/>
              </w:rPr>
              <w:t xml:space="preserve">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14EB9C56" w14:textId="77777777" w:rsidR="00145149" w:rsidRPr="000F034A" w:rsidRDefault="00145149" w:rsidP="00145149">
            <w:pPr>
              <w:autoSpaceDE w:val="0"/>
              <w:autoSpaceDN w:val="0"/>
              <w:adjustRightInd w:val="0"/>
              <w:rPr>
                <w:rFonts w:cstheme="minorHAnsi"/>
                <w:b/>
                <w:iCs/>
              </w:rPr>
            </w:pPr>
          </w:p>
          <w:p w14:paraId="2DD9511B" w14:textId="77777777"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w:t>
            </w:r>
            <w:proofErr w:type="gramStart"/>
            <w:r w:rsidRPr="000F034A">
              <w:rPr>
                <w:rFonts w:cstheme="minorHAnsi"/>
                <w:bCs/>
                <w:iCs/>
              </w:rPr>
              <w:t>correct</w:t>
            </w:r>
            <w:proofErr w:type="gramEnd"/>
            <w:r w:rsidRPr="000F034A">
              <w:rPr>
                <w:rFonts w:cstheme="minorHAnsi"/>
                <w:bCs/>
                <w:iCs/>
              </w:rPr>
              <w:t xml:space="preserve"> and/or the </w:t>
            </w:r>
            <w:r w:rsidRPr="000F034A">
              <w:rPr>
                <w:rFonts w:cstheme="minorHAnsi"/>
              </w:rPr>
              <w:t>measure score correctly reflects the quality of care provided, adequately identifying differences in quality</w:t>
            </w:r>
            <w:r w:rsidR="00E57C81">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50945B0" w14:textId="77777777" w:rsidR="00145149" w:rsidRPr="000F034A" w:rsidRDefault="00145149" w:rsidP="00145149">
            <w:pPr>
              <w:rPr>
                <w:rFonts w:cstheme="minorHAnsi"/>
              </w:rPr>
            </w:pPr>
            <w:bookmarkStart w:id="1" w:name="_Toc256067249"/>
          </w:p>
          <w:p w14:paraId="4FC33259" w14:textId="77777777"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E6F7021" w14:textId="77777777" w:rsidR="00145149" w:rsidRPr="000F034A" w:rsidRDefault="00145149" w:rsidP="00145149">
            <w:pPr>
              <w:rPr>
                <w:rFonts w:cstheme="minorHAnsi"/>
                <w:b/>
              </w:rPr>
            </w:pPr>
            <w:r w:rsidRPr="000F034A">
              <w:rPr>
                <w:rFonts w:cstheme="minorHAnsi"/>
                <w:b/>
              </w:rPr>
              <w:lastRenderedPageBreak/>
              <w:t xml:space="preserve">AND </w:t>
            </w:r>
          </w:p>
          <w:p w14:paraId="642D55C3"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3A400763" w14:textId="77777777" w:rsidR="00145149" w:rsidRPr="000F034A" w:rsidRDefault="00145149" w:rsidP="00145149">
            <w:pPr>
              <w:rPr>
                <w:rFonts w:cstheme="minorHAnsi"/>
                <w:b/>
                <w:bCs/>
              </w:rPr>
            </w:pPr>
          </w:p>
          <w:p w14:paraId="456829DF" w14:textId="77777777" w:rsidR="00145149" w:rsidRPr="000F034A" w:rsidRDefault="00145149" w:rsidP="00145149">
            <w:pPr>
              <w:rPr>
                <w:rFonts w:cstheme="minorHAnsi"/>
              </w:rPr>
            </w:pPr>
            <w:bookmarkStart w:id="2"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481B1FBC" w14:textId="77777777" w:rsidR="00145149" w:rsidRPr="000F034A" w:rsidRDefault="00145149" w:rsidP="00597F27">
            <w:pPr>
              <w:numPr>
                <w:ilvl w:val="0"/>
                <w:numId w:val="2"/>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539D5353" w14:textId="77777777" w:rsidR="00145149" w:rsidRPr="000F034A" w:rsidRDefault="00145149" w:rsidP="00145149">
            <w:pPr>
              <w:rPr>
                <w:rFonts w:cstheme="minorHAnsi"/>
                <w:b/>
              </w:rPr>
            </w:pPr>
            <w:r w:rsidRPr="000F034A">
              <w:rPr>
                <w:rFonts w:cstheme="minorHAnsi"/>
                <w:b/>
              </w:rPr>
              <w:t>OR</w:t>
            </w:r>
          </w:p>
          <w:p w14:paraId="559283CC" w14:textId="77777777" w:rsidR="00145149" w:rsidRPr="000F034A" w:rsidRDefault="00145149" w:rsidP="00597F27">
            <w:pPr>
              <w:numPr>
                <w:ilvl w:val="0"/>
                <w:numId w:val="2"/>
              </w:numPr>
              <w:ind w:left="0" w:firstLine="0"/>
              <w:rPr>
                <w:rFonts w:cstheme="minorHAnsi"/>
              </w:rPr>
            </w:pPr>
            <w:r w:rsidRPr="000F034A">
              <w:rPr>
                <w:rFonts w:cstheme="minorHAnsi"/>
              </w:rPr>
              <w:t xml:space="preserve">rationale/data support no risk adjustment/ stratification. </w:t>
            </w:r>
          </w:p>
          <w:p w14:paraId="70D7117B" w14:textId="77777777" w:rsidR="00145149" w:rsidRPr="000F034A" w:rsidRDefault="00145149" w:rsidP="00145149">
            <w:pPr>
              <w:rPr>
                <w:rFonts w:cstheme="minorHAnsi"/>
                <w:b/>
                <w:bCs/>
              </w:rPr>
            </w:pPr>
          </w:p>
          <w:bookmarkEnd w:id="2"/>
          <w:p w14:paraId="05C69CDD" w14:textId="77777777"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2F7C8375" w14:textId="77777777" w:rsidR="00145149" w:rsidRPr="000F034A" w:rsidRDefault="00145149" w:rsidP="00145149">
            <w:pPr>
              <w:rPr>
                <w:rFonts w:cstheme="minorHAnsi"/>
              </w:rPr>
            </w:pPr>
            <w:r w:rsidRPr="000F034A">
              <w:rPr>
                <w:rFonts w:cstheme="minorHAnsi"/>
                <w:b/>
              </w:rPr>
              <w:t>OR</w:t>
            </w:r>
          </w:p>
          <w:p w14:paraId="56CBE9AF"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67D0B1AB" w14:textId="77777777" w:rsidR="00145149" w:rsidRPr="000F034A" w:rsidRDefault="00145149" w:rsidP="00145149">
            <w:pPr>
              <w:rPr>
                <w:rFonts w:cstheme="minorHAnsi"/>
                <w:b/>
                <w:bCs/>
              </w:rPr>
            </w:pPr>
          </w:p>
          <w:p w14:paraId="4C3CD7D2" w14:textId="77777777"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55305FF1" w14:textId="77777777" w:rsidR="00E30584" w:rsidRPr="000F034A" w:rsidRDefault="00E30584" w:rsidP="00145149">
            <w:pPr>
              <w:rPr>
                <w:rFonts w:cstheme="minorHAnsi"/>
              </w:rPr>
            </w:pPr>
          </w:p>
          <w:p w14:paraId="3BDD736C" w14:textId="77777777"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1"/>
          <w:p w14:paraId="39A1CC07" w14:textId="77777777" w:rsidR="00145149" w:rsidRPr="00A831B4" w:rsidRDefault="00145149" w:rsidP="00145149">
            <w:pPr>
              <w:rPr>
                <w:rFonts w:cstheme="minorHAnsi"/>
                <w:b/>
                <w:bCs/>
                <w:sz w:val="20"/>
                <w:szCs w:val="20"/>
              </w:rPr>
            </w:pPr>
          </w:p>
          <w:p w14:paraId="0F1D0190"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66D19CB2" w14:textId="77777777" w:rsidR="00145149" w:rsidRPr="00A831B4" w:rsidRDefault="00145149" w:rsidP="0014514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w:t>
            </w:r>
            <w:r w:rsidR="00DA0358" w:rsidRPr="00A831B4">
              <w:rPr>
                <w:rFonts w:cstheme="minorHAnsi"/>
                <w:sz w:val="20"/>
                <w:szCs w:val="20"/>
              </w:rPr>
              <w:t>include but</w:t>
            </w:r>
            <w:r w:rsidRPr="00A831B4">
              <w:rPr>
                <w:rFonts w:cstheme="minorHAnsi"/>
                <w:sz w:val="20"/>
                <w:szCs w:val="20"/>
              </w:rPr>
              <w:t xml:space="preserve"> are not limited to: inter-rater/abstractor or intra-rater/abstractor studies; internal consistency for multi-item scales; test-retest for survey items. Reliability testing of the measure score addresses precision of measurement (e.g., signal-to-noise).</w:t>
            </w:r>
          </w:p>
          <w:p w14:paraId="12753906" w14:textId="77777777" w:rsidR="00145149" w:rsidRPr="00A831B4" w:rsidRDefault="00145149" w:rsidP="00145149">
            <w:pPr>
              <w:rPr>
                <w:rFonts w:cstheme="minorHAnsi"/>
                <w:sz w:val="20"/>
                <w:szCs w:val="20"/>
              </w:rPr>
            </w:pPr>
            <w:bookmarkStart w:id="6" w:name="Note11"/>
            <w:bookmarkEnd w:id="6"/>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w:t>
            </w:r>
            <w:r w:rsidR="00E57C81">
              <w:rPr>
                <w:rFonts w:cstheme="minorHAnsi"/>
                <w:sz w:val="20"/>
                <w:szCs w:val="20"/>
              </w:rPr>
              <w:t xml:space="preserve">.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36196549" w14:textId="77777777" w:rsidR="00145149" w:rsidRPr="00A831B4" w:rsidRDefault="00145149" w:rsidP="00145149">
            <w:pPr>
              <w:pStyle w:val="FootnoteText"/>
              <w:rPr>
                <w:rFonts w:asciiTheme="minorHAnsi" w:hAnsiTheme="minorHAnsi" w:cstheme="minorHAnsi"/>
              </w:rPr>
            </w:pPr>
            <w:bookmarkStart w:id="7" w:name="Note12"/>
            <w:bookmarkEnd w:id="7"/>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w:t>
            </w:r>
            <w:r w:rsidR="00E57C81">
              <w:rPr>
                <w:rFonts w:asciiTheme="minorHAnsi" w:hAnsiTheme="minorHAnsi" w:cstheme="minorHAnsi"/>
              </w:rPr>
              <w:t xml:space="preserve">. </w:t>
            </w:r>
          </w:p>
          <w:p w14:paraId="074F6DA7" w14:textId="77777777" w:rsidR="00145149" w:rsidRPr="00A831B4" w:rsidRDefault="00145149" w:rsidP="00145149">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D2E41C4" w14:textId="77777777" w:rsidR="00145149" w:rsidRPr="00A831B4" w:rsidRDefault="00145149" w:rsidP="00A71200">
            <w:pPr>
              <w:pStyle w:val="FootnoteText"/>
              <w:rPr>
                <w:b/>
                <w:bCs/>
              </w:rPr>
            </w:pPr>
            <w:bookmarkStart w:id="9" w:name="Note14"/>
            <w:bookmarkEnd w:id="9"/>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10" w:name="Note15"/>
            <w:bookmarkEnd w:id="10"/>
            <w:r w:rsidR="00651D44">
              <w:rPr>
                <w:rFonts w:asciiTheme="minorHAnsi" w:hAnsiTheme="minorHAnsi" w:cstheme="minorHAnsi"/>
              </w:rPr>
              <w:t>.</w:t>
            </w:r>
          </w:p>
          <w:p w14:paraId="429DA21E" w14:textId="77777777" w:rsidR="00145149" w:rsidRPr="00A831B4" w:rsidRDefault="00A64EBF">
            <w:pPr>
              <w:rPr>
                <w:rFonts w:cstheme="minorHAnsi"/>
                <w:noProof/>
                <w:sz w:val="20"/>
                <w:szCs w:val="20"/>
              </w:rPr>
            </w:pPr>
            <w:bookmarkStart w:id="11" w:name="Note16"/>
            <w:bookmarkEnd w:id="11"/>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w:t>
            </w:r>
            <w:r w:rsidR="00930280" w:rsidRPr="00A831B4">
              <w:rPr>
                <w:rFonts w:cstheme="minorHAnsi"/>
                <w:sz w:val="20"/>
                <w:szCs w:val="20"/>
              </w:rPr>
              <w:t>received smoking</w:t>
            </w:r>
            <w:r w:rsidR="00145149" w:rsidRPr="00A831B4">
              <w:rPr>
                <w:rFonts w:cstheme="minorHAnsi"/>
                <w:sz w:val="20"/>
                <w:szCs w:val="20"/>
              </w:rPr>
              <w:t xml:space="preserve">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F601449"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73F6E54C"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61C777F6" w14:textId="77777777" w:rsidR="000574AB" w:rsidRPr="00A25024" w:rsidRDefault="000574AB" w:rsidP="008A403A">
      <w:pPr>
        <w:spacing w:after="0" w:line="240" w:lineRule="auto"/>
        <w:rPr>
          <w:rFonts w:cstheme="minorHAnsi"/>
          <w:noProof/>
        </w:rPr>
      </w:pPr>
    </w:p>
    <w:p w14:paraId="3C52132D"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15408954" w14:textId="77777777" w:rsidTr="0014773C">
        <w:trPr>
          <w:jc w:val="center"/>
        </w:trPr>
        <w:tc>
          <w:tcPr>
            <w:tcW w:w="5208" w:type="dxa"/>
            <w:shd w:val="clear" w:color="auto" w:fill="D9D9D9" w:themeFill="background1" w:themeFillShade="D9"/>
          </w:tcPr>
          <w:p w14:paraId="33B67406"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798DD960"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51D937DA"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30D89CEC" w14:textId="77777777" w:rsidTr="0014773C">
        <w:trPr>
          <w:jc w:val="center"/>
        </w:trPr>
        <w:tc>
          <w:tcPr>
            <w:tcW w:w="5208" w:type="dxa"/>
          </w:tcPr>
          <w:p w14:paraId="67E11AE7" w14:textId="77777777" w:rsidR="00A01494" w:rsidRPr="00A01494" w:rsidRDefault="00C87E2A"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41D20362" w14:textId="77777777" w:rsidR="00A01494" w:rsidRPr="00A01494" w:rsidRDefault="00C87E2A"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75E0EC46" w14:textId="77777777" w:rsidTr="0014773C">
        <w:trPr>
          <w:jc w:val="center"/>
        </w:trPr>
        <w:tc>
          <w:tcPr>
            <w:tcW w:w="5208" w:type="dxa"/>
          </w:tcPr>
          <w:p w14:paraId="0108C6CE" w14:textId="77777777" w:rsidR="00A01494" w:rsidRPr="000F1B7A" w:rsidRDefault="00C87E2A"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A77237">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48BF81BC" w14:textId="77777777" w:rsidR="00A01494" w:rsidRPr="000F1B7A" w:rsidRDefault="00C87E2A"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A77237">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2954652A" w14:textId="77777777" w:rsidTr="0014773C">
        <w:trPr>
          <w:jc w:val="center"/>
        </w:trPr>
        <w:tc>
          <w:tcPr>
            <w:tcW w:w="5208" w:type="dxa"/>
          </w:tcPr>
          <w:p w14:paraId="50D54312" w14:textId="77777777" w:rsidR="00A01494" w:rsidRPr="000F1B7A" w:rsidRDefault="00C87E2A"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207AFD4E" w14:textId="77777777" w:rsidR="00A01494" w:rsidRPr="000F1B7A" w:rsidRDefault="00C87E2A"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40270D90" w14:textId="77777777" w:rsidTr="0014773C">
        <w:trPr>
          <w:jc w:val="center"/>
        </w:trPr>
        <w:tc>
          <w:tcPr>
            <w:tcW w:w="5208" w:type="dxa"/>
          </w:tcPr>
          <w:p w14:paraId="25B9CF35" w14:textId="77777777" w:rsidR="00A01494" w:rsidRPr="000F1B7A" w:rsidRDefault="00C87E2A"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644EDAA6" w14:textId="77777777" w:rsidR="00A01494" w:rsidRPr="000F1B7A" w:rsidRDefault="00C87E2A"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1CDF7AC2" w14:textId="77777777" w:rsidTr="0014773C">
        <w:trPr>
          <w:jc w:val="center"/>
        </w:trPr>
        <w:tc>
          <w:tcPr>
            <w:tcW w:w="5208" w:type="dxa"/>
          </w:tcPr>
          <w:p w14:paraId="35401F6F" w14:textId="77777777" w:rsidR="00A01494" w:rsidRPr="000F1B7A" w:rsidRDefault="00C87E2A"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7802C228" w14:textId="77777777" w:rsidR="00A01494" w:rsidRPr="000F1B7A" w:rsidRDefault="00C87E2A"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56AC088" w14:textId="77777777" w:rsidTr="0014773C">
        <w:trPr>
          <w:jc w:val="center"/>
        </w:trPr>
        <w:tc>
          <w:tcPr>
            <w:tcW w:w="5208" w:type="dxa"/>
          </w:tcPr>
          <w:p w14:paraId="447532A0" w14:textId="77777777" w:rsidR="00A01494" w:rsidRPr="000F1B7A" w:rsidRDefault="00C87E2A"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5F240F45" w14:textId="77777777" w:rsidR="00A01494" w:rsidRPr="000F1B7A" w:rsidRDefault="00C87E2A"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6B68DB8C"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30BB8844"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E57C81">
        <w:rPr>
          <w:rFonts w:cstheme="minorHAnsi"/>
          <w:bCs/>
        </w:rPr>
        <w:t xml:space="preserve">. </w:t>
      </w:r>
      <w:r w:rsidR="004348CC" w:rsidRPr="00A25024">
        <w:rPr>
          <w:rFonts w:cstheme="minorHAnsi"/>
          <w:bCs/>
        </w:rPr>
        <w:t xml:space="preserve"> </w:t>
      </w:r>
    </w:p>
    <w:p w14:paraId="25675CAA" w14:textId="77777777" w:rsidR="00A77237" w:rsidRDefault="00A77237" w:rsidP="00DB3627">
      <w:pPr>
        <w:autoSpaceDE w:val="0"/>
        <w:autoSpaceDN w:val="0"/>
        <w:adjustRightInd w:val="0"/>
        <w:spacing w:after="0" w:line="240" w:lineRule="auto"/>
        <w:rPr>
          <w:rFonts w:cstheme="minorHAnsi"/>
          <w:bCs/>
        </w:rPr>
      </w:pPr>
    </w:p>
    <w:p w14:paraId="095AB5EF" w14:textId="07618EBF" w:rsidR="00D21A67" w:rsidRPr="00CD5819" w:rsidRDefault="00D21A67" w:rsidP="00D86E7B">
      <w:pPr>
        <w:autoSpaceDE w:val="0"/>
        <w:autoSpaceDN w:val="0"/>
        <w:adjustRightInd w:val="0"/>
        <w:spacing w:after="0" w:line="240" w:lineRule="auto"/>
        <w:rPr>
          <w:rFonts w:cstheme="minorHAnsi"/>
          <w:color w:val="0000E1"/>
        </w:rPr>
      </w:pPr>
      <w:r w:rsidRPr="00CD5819">
        <w:rPr>
          <w:rFonts w:cstheme="minorHAnsi"/>
          <w:color w:val="0000E1"/>
        </w:rPr>
        <w:t>The</w:t>
      </w:r>
      <w:r w:rsidR="008E1F57">
        <w:rPr>
          <w:rFonts w:cstheme="minorHAnsi"/>
          <w:color w:val="0000E1"/>
        </w:rPr>
        <w:t xml:space="preserve"> Pharmacy Quality Alliance (PQA) </w:t>
      </w:r>
      <w:r w:rsidR="00740EFD">
        <w:rPr>
          <w:rFonts w:cstheme="minorHAnsi"/>
          <w:color w:val="0000E1"/>
        </w:rPr>
        <w:t>proportion of days covered (PDC) 3 rates by therapeutic category (</w:t>
      </w:r>
      <w:r w:rsidR="008E1F57">
        <w:rPr>
          <w:rFonts w:cstheme="minorHAnsi"/>
          <w:color w:val="0000E1"/>
        </w:rPr>
        <w:t>Diabetes, renin-angi</w:t>
      </w:r>
      <w:r w:rsidR="00740EFD">
        <w:rPr>
          <w:rFonts w:cstheme="minorHAnsi"/>
          <w:color w:val="0000E1"/>
        </w:rPr>
        <w:t>otensin system antagonist [RASA]</w:t>
      </w:r>
      <w:r w:rsidR="008E1F57">
        <w:rPr>
          <w:rFonts w:cstheme="minorHAnsi"/>
          <w:color w:val="0000E1"/>
        </w:rPr>
        <w:t>, and Statin Medication</w:t>
      </w:r>
      <w:r w:rsidR="00B458FD">
        <w:rPr>
          <w:rFonts w:cstheme="minorHAnsi"/>
          <w:color w:val="0000E1"/>
        </w:rPr>
        <w:t>s</w:t>
      </w:r>
      <w:r w:rsidR="00740EFD">
        <w:rPr>
          <w:rFonts w:cstheme="minorHAnsi"/>
          <w:color w:val="0000E1"/>
        </w:rPr>
        <w:t xml:space="preserve">) measure </w:t>
      </w:r>
      <w:r w:rsidRPr="00CD5819">
        <w:rPr>
          <w:rFonts w:cstheme="minorHAnsi"/>
          <w:color w:val="0000E1"/>
        </w:rPr>
        <w:t xml:space="preserve">was tested </w:t>
      </w:r>
      <w:r w:rsidR="00D86E7B">
        <w:rPr>
          <w:rFonts w:cstheme="minorHAnsi"/>
          <w:color w:val="0000E1"/>
        </w:rPr>
        <w:t>with</w:t>
      </w:r>
      <w:r w:rsidR="003F236A">
        <w:rPr>
          <w:rFonts w:cstheme="minorHAnsi"/>
          <w:color w:val="0000E1"/>
        </w:rPr>
        <w:t>in</w:t>
      </w:r>
      <w:r w:rsidRPr="00CD5819">
        <w:rPr>
          <w:rFonts w:cstheme="minorHAnsi"/>
          <w:color w:val="0000E1"/>
        </w:rPr>
        <w:t xml:space="preserve"> two different health plan data sources – the Medicare and the Medicaid populations.</w:t>
      </w:r>
    </w:p>
    <w:p w14:paraId="780252EF" w14:textId="77777777" w:rsidR="003344A3" w:rsidRPr="00CD5819" w:rsidRDefault="003344A3" w:rsidP="00D86E7B">
      <w:pPr>
        <w:autoSpaceDE w:val="0"/>
        <w:autoSpaceDN w:val="0"/>
        <w:adjustRightInd w:val="0"/>
        <w:spacing w:after="0" w:line="240" w:lineRule="auto"/>
        <w:rPr>
          <w:rFonts w:cstheme="minorHAnsi"/>
          <w:color w:val="0000E1"/>
        </w:rPr>
      </w:pPr>
    </w:p>
    <w:p w14:paraId="0C34951C" w14:textId="4F40D95B" w:rsidR="008072E5" w:rsidRPr="00CD5819" w:rsidRDefault="008072E5" w:rsidP="00D86E7B">
      <w:pPr>
        <w:autoSpaceDE w:val="0"/>
        <w:autoSpaceDN w:val="0"/>
        <w:adjustRightInd w:val="0"/>
        <w:spacing w:after="0" w:line="240" w:lineRule="auto"/>
        <w:rPr>
          <w:rFonts w:cstheme="minorHAnsi"/>
          <w:color w:val="0000E1"/>
        </w:rPr>
      </w:pPr>
      <w:r w:rsidRPr="00CD5819">
        <w:rPr>
          <w:rFonts w:cstheme="minorHAnsi"/>
          <w:color w:val="0000E1"/>
        </w:rPr>
        <w:t xml:space="preserve">For the Medicare population, data used for testing came from the Medicare </w:t>
      </w:r>
      <w:r w:rsidR="003F236A">
        <w:rPr>
          <w:rFonts w:cstheme="minorHAnsi"/>
          <w:color w:val="0000E1"/>
        </w:rPr>
        <w:t>Research Identifiable F</w:t>
      </w:r>
      <w:r w:rsidR="00D04746" w:rsidRPr="00CD5819">
        <w:rPr>
          <w:rFonts w:cstheme="minorHAnsi"/>
          <w:color w:val="0000E1"/>
        </w:rPr>
        <w:t>iles</w:t>
      </w:r>
      <w:r w:rsidR="00740EFD">
        <w:rPr>
          <w:rFonts w:cstheme="minorHAnsi"/>
          <w:color w:val="0000E1"/>
        </w:rPr>
        <w:t xml:space="preserve"> (RIFs)</w:t>
      </w:r>
      <w:r w:rsidR="00D04746" w:rsidRPr="00CD5819">
        <w:rPr>
          <w:rFonts w:cstheme="minorHAnsi"/>
          <w:color w:val="0000E1"/>
        </w:rPr>
        <w:t xml:space="preserve"> </w:t>
      </w:r>
      <w:r w:rsidR="003F236A">
        <w:rPr>
          <w:rFonts w:cstheme="minorHAnsi"/>
          <w:color w:val="0000E1"/>
        </w:rPr>
        <w:t xml:space="preserve">5% </w:t>
      </w:r>
      <w:r w:rsidRPr="00CD5819">
        <w:rPr>
          <w:rFonts w:cstheme="minorHAnsi"/>
          <w:color w:val="0000E1"/>
        </w:rPr>
        <w:t xml:space="preserve">national sample data. The Medicare Part D Prescription Drug Event (PDE) claims were used for the identification of prescription drugs. The </w:t>
      </w:r>
      <w:r w:rsidR="00D04746" w:rsidRPr="00CD5819">
        <w:rPr>
          <w:rFonts w:cstheme="minorHAnsi"/>
          <w:color w:val="0000E1"/>
        </w:rPr>
        <w:t xml:space="preserve">claims files and </w:t>
      </w:r>
      <w:r w:rsidR="00195C8B">
        <w:rPr>
          <w:rFonts w:cstheme="minorHAnsi"/>
          <w:color w:val="0000E1"/>
        </w:rPr>
        <w:t>Medicare Provider Analysis and Review (</w:t>
      </w:r>
      <w:r w:rsidR="00D04746" w:rsidRPr="00CD5819">
        <w:rPr>
          <w:rFonts w:cstheme="minorHAnsi"/>
          <w:color w:val="0000E1"/>
        </w:rPr>
        <w:t>MedPAR</w:t>
      </w:r>
      <w:r w:rsidR="00195C8B">
        <w:rPr>
          <w:rFonts w:cstheme="minorHAnsi"/>
          <w:color w:val="0000E1"/>
        </w:rPr>
        <w:t>)</w:t>
      </w:r>
      <w:r w:rsidR="00D04746" w:rsidRPr="00CD5819">
        <w:rPr>
          <w:rFonts w:cstheme="minorHAnsi"/>
          <w:color w:val="0000E1"/>
        </w:rPr>
        <w:t xml:space="preserve"> files</w:t>
      </w:r>
      <w:r w:rsidRPr="00CD5819">
        <w:rPr>
          <w:rFonts w:cstheme="minorHAnsi"/>
          <w:color w:val="0000E1"/>
        </w:rPr>
        <w:t xml:space="preserve"> were used to identify </w:t>
      </w:r>
      <w:r w:rsidR="00664327">
        <w:rPr>
          <w:rFonts w:cstheme="minorHAnsi"/>
          <w:color w:val="0000E1"/>
        </w:rPr>
        <w:t>end-stage renal disease (</w:t>
      </w:r>
      <w:r w:rsidR="0018208A" w:rsidRPr="00CD5819">
        <w:rPr>
          <w:rFonts w:cstheme="minorHAnsi"/>
          <w:color w:val="0000E1"/>
        </w:rPr>
        <w:t>ESRD</w:t>
      </w:r>
      <w:r w:rsidR="00664327">
        <w:rPr>
          <w:rFonts w:cstheme="minorHAnsi"/>
          <w:color w:val="0000E1"/>
        </w:rPr>
        <w:t>)</w:t>
      </w:r>
      <w:r w:rsidRPr="00CD5819">
        <w:rPr>
          <w:rFonts w:cstheme="minorHAnsi"/>
          <w:color w:val="0000E1"/>
        </w:rPr>
        <w:t xml:space="preserve"> diagnoses and hospice claims. To identify </w:t>
      </w:r>
      <w:r w:rsidR="00D04746" w:rsidRPr="00CD5819">
        <w:rPr>
          <w:rFonts w:cstheme="minorHAnsi"/>
          <w:color w:val="0000E1"/>
        </w:rPr>
        <w:t>demographic and eligibility information</w:t>
      </w:r>
      <w:r w:rsidRPr="00CD5819">
        <w:rPr>
          <w:rFonts w:cstheme="minorHAnsi"/>
          <w:color w:val="0000E1"/>
        </w:rPr>
        <w:t xml:space="preserve">, the Medicare Beneficiaries Summary Files (MBSF) were used. </w:t>
      </w:r>
    </w:p>
    <w:p w14:paraId="5849176E" w14:textId="77777777" w:rsidR="008072E5" w:rsidRPr="00CD5819" w:rsidRDefault="008072E5" w:rsidP="00D86E7B">
      <w:pPr>
        <w:autoSpaceDE w:val="0"/>
        <w:autoSpaceDN w:val="0"/>
        <w:adjustRightInd w:val="0"/>
        <w:spacing w:after="0" w:line="240" w:lineRule="auto"/>
        <w:rPr>
          <w:rFonts w:cstheme="minorHAnsi"/>
          <w:color w:val="0000E1"/>
        </w:rPr>
      </w:pPr>
    </w:p>
    <w:p w14:paraId="0714C303" w14:textId="12243AB8" w:rsidR="008072E5" w:rsidRPr="00CD5819" w:rsidRDefault="008072E5" w:rsidP="00D86E7B">
      <w:pPr>
        <w:autoSpaceDE w:val="0"/>
        <w:autoSpaceDN w:val="0"/>
        <w:adjustRightInd w:val="0"/>
        <w:spacing w:after="0" w:line="240" w:lineRule="auto"/>
        <w:rPr>
          <w:rFonts w:cstheme="minorHAnsi"/>
          <w:color w:val="0000E1"/>
        </w:rPr>
      </w:pPr>
      <w:r w:rsidRPr="00CD5819">
        <w:rPr>
          <w:rFonts w:cstheme="minorHAnsi"/>
          <w:color w:val="0000E1"/>
        </w:rPr>
        <w:t>For the Medicaid population, the data used for testing came from Medicaid administrative claims</w:t>
      </w:r>
      <w:r w:rsidR="00664327">
        <w:rPr>
          <w:rFonts w:cstheme="minorHAnsi"/>
          <w:color w:val="0000E1"/>
        </w:rPr>
        <w:t xml:space="preserve"> in the Medicaid Analytic </w:t>
      </w:r>
      <w:proofErr w:type="spellStart"/>
      <w:r w:rsidR="00664327">
        <w:rPr>
          <w:rFonts w:cstheme="minorHAnsi"/>
          <w:color w:val="0000E1"/>
        </w:rPr>
        <w:t>eXtract</w:t>
      </w:r>
      <w:proofErr w:type="spellEnd"/>
      <w:r w:rsidR="00664327">
        <w:rPr>
          <w:rFonts w:cstheme="minorHAnsi"/>
          <w:color w:val="0000E1"/>
        </w:rPr>
        <w:t xml:space="preserve"> (MAX) data</w:t>
      </w:r>
      <w:r w:rsidR="00E57C81">
        <w:rPr>
          <w:rFonts w:cstheme="minorHAnsi"/>
          <w:color w:val="0000E1"/>
        </w:rPr>
        <w:t xml:space="preserve">. </w:t>
      </w:r>
      <w:r w:rsidRPr="00CD5819">
        <w:rPr>
          <w:rFonts w:cstheme="minorHAnsi"/>
          <w:color w:val="0000E1"/>
        </w:rPr>
        <w:t xml:space="preserve">National Medicaid sample data covering 17 states and </w:t>
      </w:r>
      <w:r w:rsidR="009F57A4">
        <w:rPr>
          <w:rFonts w:cstheme="minorHAnsi"/>
          <w:color w:val="0000E1"/>
        </w:rPr>
        <w:t>291</w:t>
      </w:r>
      <w:r w:rsidRPr="00CD5819">
        <w:rPr>
          <w:rFonts w:cstheme="minorHAnsi"/>
          <w:color w:val="0000E1"/>
        </w:rPr>
        <w:t xml:space="preserve"> health plans were included in the testing</w:t>
      </w:r>
      <w:r w:rsidR="00664327">
        <w:rPr>
          <w:rFonts w:cstheme="minorHAnsi"/>
          <w:color w:val="0000E1"/>
        </w:rPr>
        <w:t xml:space="preserve">. </w:t>
      </w:r>
    </w:p>
    <w:p w14:paraId="4289FAB8" w14:textId="77777777" w:rsidR="0050045A" w:rsidRPr="00CD5819" w:rsidRDefault="0050045A" w:rsidP="00D86E7B">
      <w:pPr>
        <w:autoSpaceDE w:val="0"/>
        <w:autoSpaceDN w:val="0"/>
        <w:adjustRightInd w:val="0"/>
        <w:spacing w:after="0" w:line="240" w:lineRule="auto"/>
        <w:rPr>
          <w:rFonts w:cstheme="minorHAnsi"/>
          <w:color w:val="0000E1"/>
          <w:highlight w:val="cyan"/>
        </w:rPr>
      </w:pPr>
    </w:p>
    <w:p w14:paraId="42643A43" w14:textId="77777777" w:rsidR="004D5E07" w:rsidRPr="00CD5819" w:rsidRDefault="004D5E07" w:rsidP="00D86E7B">
      <w:pPr>
        <w:autoSpaceDE w:val="0"/>
        <w:autoSpaceDN w:val="0"/>
        <w:adjustRightInd w:val="0"/>
        <w:spacing w:after="0" w:line="240" w:lineRule="auto"/>
        <w:rPr>
          <w:rFonts w:cstheme="minorHAnsi"/>
          <w:i/>
          <w:color w:val="0000E1"/>
        </w:rPr>
      </w:pPr>
      <w:r w:rsidRPr="00CD5819">
        <w:rPr>
          <w:rFonts w:cstheme="minorHAnsi"/>
          <w:i/>
          <w:color w:val="0000E1"/>
        </w:rPr>
        <w:t xml:space="preserve">Note: Testing was conducted separately for </w:t>
      </w:r>
      <w:r w:rsidR="004340F8" w:rsidRPr="00CD5819">
        <w:rPr>
          <w:rFonts w:cstheme="minorHAnsi"/>
          <w:i/>
          <w:color w:val="0000E1"/>
        </w:rPr>
        <w:t xml:space="preserve">each therapeutic category (Diabetes, </w:t>
      </w:r>
      <w:r w:rsidR="00664327">
        <w:rPr>
          <w:rFonts w:cstheme="minorHAnsi"/>
          <w:i/>
          <w:color w:val="0000E1"/>
        </w:rPr>
        <w:t>renin-angiotensin system antagonist [</w:t>
      </w:r>
      <w:r w:rsidR="004340F8" w:rsidRPr="00CD5819">
        <w:rPr>
          <w:rFonts w:cstheme="minorHAnsi"/>
          <w:i/>
          <w:color w:val="0000E1"/>
        </w:rPr>
        <w:t>RASA</w:t>
      </w:r>
      <w:r w:rsidR="00664327">
        <w:rPr>
          <w:rFonts w:cstheme="minorHAnsi"/>
          <w:i/>
          <w:color w:val="0000E1"/>
        </w:rPr>
        <w:t>]</w:t>
      </w:r>
      <w:r w:rsidR="004340F8" w:rsidRPr="00CD5819">
        <w:rPr>
          <w:rFonts w:cstheme="minorHAnsi"/>
          <w:i/>
          <w:color w:val="0000E1"/>
        </w:rPr>
        <w:t>, Statins)</w:t>
      </w:r>
      <w:r w:rsidR="00A71BFD" w:rsidRPr="00CD5819">
        <w:rPr>
          <w:rFonts w:cstheme="minorHAnsi"/>
          <w:i/>
          <w:color w:val="0000E1"/>
        </w:rPr>
        <w:t xml:space="preserve"> and each line of business (Medicare, Medicaid). </w:t>
      </w:r>
    </w:p>
    <w:p w14:paraId="1A1BF8E1" w14:textId="77777777" w:rsidR="004D5E07" w:rsidRDefault="004D5E07" w:rsidP="00D86E7B">
      <w:pPr>
        <w:autoSpaceDE w:val="0"/>
        <w:autoSpaceDN w:val="0"/>
        <w:adjustRightInd w:val="0"/>
        <w:spacing w:after="0" w:line="240" w:lineRule="auto"/>
        <w:rPr>
          <w:rFonts w:cstheme="minorHAnsi"/>
          <w:b/>
        </w:rPr>
      </w:pPr>
    </w:p>
    <w:p w14:paraId="3E278FBA" w14:textId="0E6B083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A77237">
            <w:rPr>
              <w:rStyle w:val="Style1"/>
            </w:rPr>
            <w:t>2014</w:t>
          </w:r>
          <w:r w:rsidR="00D21A67">
            <w:rPr>
              <w:rStyle w:val="Style1"/>
            </w:rPr>
            <w:t xml:space="preserve"> and</w:t>
          </w:r>
          <w:r w:rsidR="008072E5">
            <w:rPr>
              <w:rStyle w:val="Style1"/>
            </w:rPr>
            <w:t xml:space="preserve"> 201</w:t>
          </w:r>
          <w:r w:rsidR="00C450B4">
            <w:rPr>
              <w:rStyle w:val="Style1"/>
            </w:rPr>
            <w:t>6</w:t>
          </w:r>
        </w:sdtContent>
      </w:sdt>
    </w:p>
    <w:p w14:paraId="0EC1B10F" w14:textId="77777777" w:rsidR="000574AB" w:rsidRDefault="000574AB" w:rsidP="00DB3627">
      <w:pPr>
        <w:autoSpaceDE w:val="0"/>
        <w:autoSpaceDN w:val="0"/>
        <w:adjustRightInd w:val="0"/>
        <w:spacing w:after="0" w:line="240" w:lineRule="auto"/>
        <w:rPr>
          <w:rFonts w:cstheme="minorHAnsi"/>
          <w:bCs/>
        </w:rPr>
      </w:pPr>
    </w:p>
    <w:p w14:paraId="37B241CD" w14:textId="79E8E5D5" w:rsidR="006C5B6C" w:rsidRPr="00195C8B" w:rsidRDefault="006C5B6C" w:rsidP="00DB3627">
      <w:pPr>
        <w:autoSpaceDE w:val="0"/>
        <w:autoSpaceDN w:val="0"/>
        <w:adjustRightInd w:val="0"/>
        <w:spacing w:after="0" w:line="240" w:lineRule="auto"/>
        <w:rPr>
          <w:rFonts w:cstheme="minorHAnsi"/>
          <w:bCs/>
          <w:color w:val="0000E1"/>
        </w:rPr>
      </w:pPr>
      <w:r w:rsidRPr="00CD5819">
        <w:rPr>
          <w:rFonts w:cstheme="minorHAnsi"/>
          <w:bCs/>
          <w:color w:val="0000E1"/>
        </w:rPr>
        <w:t xml:space="preserve">The testing for Medicare </w:t>
      </w:r>
      <w:r w:rsidR="008072E5" w:rsidRPr="00CD5819">
        <w:rPr>
          <w:rFonts w:cstheme="minorHAnsi"/>
          <w:bCs/>
          <w:color w:val="0000E1"/>
        </w:rPr>
        <w:t xml:space="preserve">included data from January </w:t>
      </w:r>
      <w:r w:rsidR="00A27617" w:rsidRPr="00CD5819">
        <w:rPr>
          <w:rFonts w:cstheme="minorHAnsi"/>
          <w:bCs/>
          <w:color w:val="0000E1"/>
        </w:rPr>
        <w:t xml:space="preserve">1, </w:t>
      </w:r>
      <w:r w:rsidR="008072E5" w:rsidRPr="00CD5819">
        <w:rPr>
          <w:rFonts w:cstheme="minorHAnsi"/>
          <w:bCs/>
          <w:color w:val="0000E1"/>
        </w:rPr>
        <w:t>201</w:t>
      </w:r>
      <w:r w:rsidR="00C450B4">
        <w:rPr>
          <w:rFonts w:cstheme="minorHAnsi"/>
          <w:bCs/>
          <w:color w:val="0000E1"/>
        </w:rPr>
        <w:t>6</w:t>
      </w:r>
      <w:r w:rsidR="008072E5" w:rsidRPr="00CD5819">
        <w:rPr>
          <w:rFonts w:cstheme="minorHAnsi"/>
          <w:bCs/>
          <w:color w:val="0000E1"/>
        </w:rPr>
        <w:t xml:space="preserve"> to December 31, 201</w:t>
      </w:r>
      <w:r w:rsidR="00C450B4">
        <w:rPr>
          <w:rFonts w:cstheme="minorHAnsi"/>
          <w:bCs/>
          <w:color w:val="0000E1"/>
        </w:rPr>
        <w:t>6</w:t>
      </w:r>
      <w:r w:rsidR="008072E5" w:rsidRPr="00CD5819">
        <w:rPr>
          <w:rFonts w:cstheme="minorHAnsi"/>
          <w:bCs/>
          <w:color w:val="0000E1"/>
        </w:rPr>
        <w:t xml:space="preserve">. The testing for </w:t>
      </w:r>
      <w:r w:rsidR="0050045A" w:rsidRPr="00CD5819">
        <w:rPr>
          <w:rFonts w:cstheme="minorHAnsi"/>
          <w:bCs/>
          <w:color w:val="0000E1"/>
        </w:rPr>
        <w:t xml:space="preserve">Medicaid included </w:t>
      </w:r>
      <w:r w:rsidRPr="00CD5819">
        <w:rPr>
          <w:rFonts w:cstheme="minorHAnsi"/>
          <w:bCs/>
          <w:color w:val="0000E1"/>
        </w:rPr>
        <w:t xml:space="preserve">data from January 1, 2014 to December 31, 2014. </w:t>
      </w:r>
      <w:r w:rsidR="001B32E3" w:rsidRPr="00CD5819">
        <w:rPr>
          <w:rFonts w:cstheme="minorHAnsi"/>
          <w:bCs/>
          <w:color w:val="0000E1"/>
        </w:rPr>
        <w:t>The data from these time periods were the most recent, complete, full year data available to testers at the time of testing.</w:t>
      </w:r>
    </w:p>
    <w:p w14:paraId="4C931589" w14:textId="77777777" w:rsidR="000414E8"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665B814" w14:textId="77777777" w:rsidTr="000414E8">
        <w:trPr>
          <w:jc w:val="center"/>
        </w:trPr>
        <w:tc>
          <w:tcPr>
            <w:tcW w:w="5027" w:type="dxa"/>
            <w:shd w:val="clear" w:color="auto" w:fill="D9D9D9" w:themeFill="background1" w:themeFillShade="D9"/>
          </w:tcPr>
          <w:p w14:paraId="41AE0E39"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4D64784C"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2267E26A"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288C616C" w14:textId="77777777" w:rsidTr="000414E8">
        <w:trPr>
          <w:jc w:val="center"/>
        </w:trPr>
        <w:tc>
          <w:tcPr>
            <w:tcW w:w="5027" w:type="dxa"/>
          </w:tcPr>
          <w:p w14:paraId="07539A41" w14:textId="77777777" w:rsidR="000414E8" w:rsidRPr="00A01494" w:rsidRDefault="00C87E2A"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2D5171ED" w14:textId="77777777" w:rsidR="000414E8" w:rsidRPr="00A01494" w:rsidRDefault="00C87E2A"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156B088A" w14:textId="77777777" w:rsidTr="000414E8">
        <w:trPr>
          <w:jc w:val="center"/>
        </w:trPr>
        <w:tc>
          <w:tcPr>
            <w:tcW w:w="5027" w:type="dxa"/>
          </w:tcPr>
          <w:p w14:paraId="2C823B49" w14:textId="77777777" w:rsidR="000414E8" w:rsidRPr="00A01494" w:rsidRDefault="00C87E2A"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1B292B33" w14:textId="77777777" w:rsidR="000414E8" w:rsidRPr="00A01494" w:rsidRDefault="00C87E2A"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77D12610" w14:textId="77777777" w:rsidTr="000414E8">
        <w:trPr>
          <w:jc w:val="center"/>
        </w:trPr>
        <w:tc>
          <w:tcPr>
            <w:tcW w:w="5027" w:type="dxa"/>
          </w:tcPr>
          <w:p w14:paraId="463354C6" w14:textId="77777777" w:rsidR="000414E8" w:rsidRPr="00A01494" w:rsidRDefault="00C87E2A"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3A480413" w14:textId="77777777" w:rsidR="000414E8" w:rsidRPr="00A01494" w:rsidRDefault="00C87E2A"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4C757B5B" w14:textId="77777777" w:rsidTr="000414E8">
        <w:trPr>
          <w:jc w:val="center"/>
        </w:trPr>
        <w:tc>
          <w:tcPr>
            <w:tcW w:w="5027" w:type="dxa"/>
          </w:tcPr>
          <w:p w14:paraId="2DAE39DC" w14:textId="77777777" w:rsidR="000414E8" w:rsidRPr="00A01494" w:rsidRDefault="00C87E2A" w:rsidP="00D61410">
            <w:pPr>
              <w:autoSpaceDE w:val="0"/>
              <w:autoSpaceDN w:val="0"/>
              <w:adjustRightInd w:val="0"/>
              <w:rPr>
                <w:rFonts w:cstheme="minorHAnsi"/>
                <w:bCs/>
              </w:rPr>
            </w:pPr>
            <w:sdt>
              <w:sdtPr>
                <w:rPr>
                  <w:rFonts w:cstheme="minorHAnsi"/>
                  <w:bCs/>
                  <w:color w:val="0000FF"/>
                </w:rPr>
                <w:id w:val="275535217"/>
                <w14:checkbox>
                  <w14:checked w14:val="1"/>
                  <w14:checkedState w14:val="2612" w14:font="MS Gothic"/>
                  <w14:uncheckedState w14:val="2610" w14:font="MS Gothic"/>
                </w14:checkbox>
              </w:sdtPr>
              <w:sdtEndPr/>
              <w:sdtContent>
                <w:r w:rsidR="00A77237">
                  <w:rPr>
                    <w:rFonts w:ascii="MS Gothic" w:eastAsia="MS Gothic" w:hAnsi="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FEE851E" w14:textId="77777777" w:rsidR="000414E8" w:rsidRPr="00A01494" w:rsidRDefault="00C87E2A" w:rsidP="00D61410">
            <w:pPr>
              <w:autoSpaceDE w:val="0"/>
              <w:autoSpaceDN w:val="0"/>
              <w:adjustRightInd w:val="0"/>
              <w:rPr>
                <w:rFonts w:cstheme="minorHAnsi"/>
                <w:bCs/>
              </w:rPr>
            </w:pPr>
            <w:sdt>
              <w:sdtPr>
                <w:rPr>
                  <w:rFonts w:cstheme="minorHAnsi"/>
                  <w:bCs/>
                  <w:color w:val="0000FF"/>
                </w:rPr>
                <w:id w:val="1896924375"/>
                <w14:checkbox>
                  <w14:checked w14:val="1"/>
                  <w14:checkedState w14:val="2612" w14:font="MS Gothic"/>
                  <w14:uncheckedState w14:val="2610" w14:font="MS Gothic"/>
                </w14:checkbox>
              </w:sdtPr>
              <w:sdtEndPr/>
              <w:sdtContent>
                <w:r w:rsidR="00A77237">
                  <w:rPr>
                    <w:rFonts w:ascii="MS Gothic" w:eastAsia="MS Gothic" w:hAnsi="MS Gothic" w:cstheme="minorHAnsi" w:hint="eastAsia"/>
                    <w:bCs/>
                    <w:color w:val="0000FF"/>
                  </w:rPr>
                  <w:t>☒</w:t>
                </w:r>
              </w:sdtContent>
            </w:sdt>
            <w:r w:rsidR="000414E8">
              <w:rPr>
                <w:rFonts w:cstheme="minorHAnsi"/>
                <w:bCs/>
              </w:rPr>
              <w:t xml:space="preserve"> health plan</w:t>
            </w:r>
          </w:p>
        </w:tc>
      </w:tr>
      <w:tr w:rsidR="000414E8" w:rsidRPr="00A01494" w14:paraId="0A5646C8" w14:textId="77777777" w:rsidTr="000414E8">
        <w:trPr>
          <w:jc w:val="center"/>
        </w:trPr>
        <w:tc>
          <w:tcPr>
            <w:tcW w:w="5027" w:type="dxa"/>
          </w:tcPr>
          <w:p w14:paraId="520A3962" w14:textId="77777777" w:rsidR="000414E8" w:rsidRPr="00A01494" w:rsidRDefault="00C87E2A"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6D4850F2" w14:textId="77777777" w:rsidR="000414E8" w:rsidRPr="00A01494" w:rsidRDefault="00C87E2A"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2AE62BAB" w14:textId="77777777" w:rsidR="000414E8" w:rsidRPr="00A25024" w:rsidRDefault="000414E8" w:rsidP="00DB3627">
      <w:pPr>
        <w:autoSpaceDE w:val="0"/>
        <w:autoSpaceDN w:val="0"/>
        <w:adjustRightInd w:val="0"/>
        <w:spacing w:after="0" w:line="240" w:lineRule="auto"/>
        <w:rPr>
          <w:rFonts w:cstheme="minorHAnsi"/>
          <w:bCs/>
        </w:rPr>
      </w:pPr>
    </w:p>
    <w:p w14:paraId="5B25FDC3"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5B84F5FC" w14:textId="77777777" w:rsidR="0068468A" w:rsidRDefault="0068468A" w:rsidP="00D86E7B">
      <w:pPr>
        <w:autoSpaceDE w:val="0"/>
        <w:autoSpaceDN w:val="0"/>
        <w:adjustRightInd w:val="0"/>
        <w:spacing w:after="0" w:line="240" w:lineRule="auto"/>
        <w:rPr>
          <w:rFonts w:cstheme="minorHAnsi"/>
          <w:bCs/>
        </w:rPr>
      </w:pPr>
    </w:p>
    <w:p w14:paraId="16DD9DB7" w14:textId="77777777" w:rsidR="008072E5" w:rsidRPr="00CD5819" w:rsidRDefault="008072E5" w:rsidP="00D86E7B">
      <w:pPr>
        <w:autoSpaceDE w:val="0"/>
        <w:autoSpaceDN w:val="0"/>
        <w:adjustRightInd w:val="0"/>
        <w:spacing w:after="0" w:line="240" w:lineRule="auto"/>
        <w:rPr>
          <w:rFonts w:cstheme="minorHAnsi"/>
          <w:bCs/>
          <w:color w:val="0000E1"/>
        </w:rPr>
      </w:pPr>
      <w:r w:rsidRPr="00CD5819">
        <w:rPr>
          <w:rFonts w:cstheme="minorHAnsi"/>
          <w:bCs/>
          <w:color w:val="0000E1"/>
        </w:rPr>
        <w:t xml:space="preserve">The Medicare testing was conducted using the Medicare </w:t>
      </w:r>
      <w:r w:rsidR="00740EFD">
        <w:rPr>
          <w:rFonts w:cstheme="minorHAnsi"/>
          <w:bCs/>
          <w:color w:val="0000E1"/>
        </w:rPr>
        <w:t xml:space="preserve">RIF </w:t>
      </w:r>
      <w:r w:rsidRPr="00CD5819">
        <w:rPr>
          <w:rFonts w:cstheme="minorHAnsi"/>
          <w:bCs/>
          <w:color w:val="0000E1"/>
        </w:rPr>
        <w:t xml:space="preserve">5% sample data – a nationally representative sample, including data from all states. </w:t>
      </w:r>
      <w:r w:rsidR="0025415F" w:rsidRPr="00CD5819">
        <w:rPr>
          <w:rFonts w:cstheme="minorHAnsi"/>
          <w:bCs/>
          <w:color w:val="0000E1"/>
        </w:rPr>
        <w:t>Of beneficiaries aged 18 years and older as of the first day of the measurement year, the data included 491 Medicare Advantage Prescription Drug (MAPD) contracts and 63 stand-alone Prescription Drug Plans (PDPs). Of</w:t>
      </w:r>
      <w:r w:rsidR="00A15B41" w:rsidRPr="00CD5819">
        <w:rPr>
          <w:rFonts w:cstheme="minorHAnsi"/>
          <w:bCs/>
          <w:color w:val="0000E1"/>
        </w:rPr>
        <w:t xml:space="preserve"> the 554 plan-contracts, the mean plan-contract size was 3,9</w:t>
      </w:r>
      <w:r w:rsidR="00090377" w:rsidRPr="00CD5819">
        <w:rPr>
          <w:rFonts w:cstheme="minorHAnsi"/>
          <w:bCs/>
          <w:color w:val="0000E1"/>
        </w:rPr>
        <w:t>78</w:t>
      </w:r>
      <w:r w:rsidR="00A15B41" w:rsidRPr="00CD5819">
        <w:rPr>
          <w:rFonts w:cstheme="minorHAnsi"/>
          <w:bCs/>
          <w:color w:val="0000E1"/>
        </w:rPr>
        <w:t xml:space="preserve"> </w:t>
      </w:r>
      <w:r w:rsidR="007E4EB6" w:rsidRPr="00CD5819">
        <w:rPr>
          <w:rFonts w:cstheme="minorHAnsi"/>
          <w:bCs/>
          <w:color w:val="0000E1"/>
        </w:rPr>
        <w:t xml:space="preserve">beneficiaries </w:t>
      </w:r>
      <w:r w:rsidR="00621140" w:rsidRPr="00CD5819">
        <w:rPr>
          <w:rFonts w:cstheme="minorHAnsi"/>
          <w:bCs/>
          <w:color w:val="0000E1"/>
        </w:rPr>
        <w:t>with a</w:t>
      </w:r>
      <w:r w:rsidR="00090377" w:rsidRPr="00CD5819">
        <w:rPr>
          <w:rFonts w:cstheme="minorHAnsi"/>
          <w:bCs/>
          <w:color w:val="0000E1"/>
        </w:rPr>
        <w:t xml:space="preserve"> median size of 562</w:t>
      </w:r>
      <w:r w:rsidR="00A15B41" w:rsidRPr="00CD5819">
        <w:rPr>
          <w:rFonts w:cstheme="minorHAnsi"/>
          <w:bCs/>
          <w:color w:val="0000E1"/>
        </w:rPr>
        <w:t xml:space="preserve"> </w:t>
      </w:r>
      <w:r w:rsidR="007E4EB6" w:rsidRPr="00CD5819">
        <w:rPr>
          <w:rFonts w:cstheme="minorHAnsi"/>
          <w:bCs/>
          <w:color w:val="0000E1"/>
        </w:rPr>
        <w:t>beneficiaries</w:t>
      </w:r>
      <w:r w:rsidR="00A15B41" w:rsidRPr="00CD5819">
        <w:rPr>
          <w:rFonts w:cstheme="minorHAnsi"/>
          <w:bCs/>
          <w:color w:val="0000E1"/>
        </w:rPr>
        <w:t xml:space="preserve">. (see Table 1). </w:t>
      </w:r>
    </w:p>
    <w:p w14:paraId="4EF82ECD" w14:textId="77777777" w:rsidR="00A15B41" w:rsidRPr="00CD5819" w:rsidRDefault="00A15B41" w:rsidP="00D86E7B">
      <w:pPr>
        <w:autoSpaceDE w:val="0"/>
        <w:autoSpaceDN w:val="0"/>
        <w:adjustRightInd w:val="0"/>
        <w:spacing w:after="0" w:line="240" w:lineRule="auto"/>
        <w:rPr>
          <w:rFonts w:cstheme="minorHAnsi"/>
          <w:bCs/>
          <w:color w:val="0000E1"/>
        </w:rPr>
      </w:pPr>
    </w:p>
    <w:p w14:paraId="22284697" w14:textId="4388A703" w:rsidR="008072E5" w:rsidRPr="00CD5819" w:rsidRDefault="00A15B41" w:rsidP="00D86E7B">
      <w:pPr>
        <w:autoSpaceDE w:val="0"/>
        <w:autoSpaceDN w:val="0"/>
        <w:adjustRightInd w:val="0"/>
        <w:spacing w:after="0" w:line="240" w:lineRule="auto"/>
        <w:rPr>
          <w:rFonts w:cstheme="minorHAnsi"/>
          <w:bCs/>
          <w:color w:val="0000E1"/>
        </w:rPr>
      </w:pPr>
      <w:r w:rsidRPr="00CD5819">
        <w:rPr>
          <w:rFonts w:cstheme="minorHAnsi"/>
          <w:bCs/>
          <w:color w:val="0000E1"/>
        </w:rPr>
        <w:t>For the</w:t>
      </w:r>
      <w:r w:rsidR="00195C8B">
        <w:rPr>
          <w:rFonts w:cstheme="minorHAnsi"/>
          <w:bCs/>
          <w:color w:val="0000E1"/>
        </w:rPr>
        <w:t xml:space="preserve"> Medicaid testing, the </w:t>
      </w:r>
      <w:r w:rsidRPr="00CD5819">
        <w:rPr>
          <w:rFonts w:cstheme="minorHAnsi"/>
          <w:bCs/>
          <w:color w:val="0000E1"/>
        </w:rPr>
        <w:t xml:space="preserve">analysis included </w:t>
      </w:r>
      <w:r w:rsidR="00027141" w:rsidRPr="00CD5819">
        <w:rPr>
          <w:rFonts w:cstheme="minorHAnsi"/>
          <w:bCs/>
          <w:color w:val="0000E1"/>
        </w:rPr>
        <w:t>291</w:t>
      </w:r>
      <w:r w:rsidRPr="00CD5819">
        <w:rPr>
          <w:rFonts w:cstheme="minorHAnsi"/>
          <w:bCs/>
          <w:color w:val="0000E1"/>
        </w:rPr>
        <w:t xml:space="preserve"> health plans covering 17 states with benefic</w:t>
      </w:r>
      <w:r w:rsidR="00195C8B">
        <w:rPr>
          <w:rFonts w:cstheme="minorHAnsi"/>
          <w:bCs/>
          <w:color w:val="0000E1"/>
        </w:rPr>
        <w:t xml:space="preserve">iaries aged 18 years or older. </w:t>
      </w:r>
      <w:r w:rsidRPr="00CD5819">
        <w:rPr>
          <w:rFonts w:cstheme="minorHAnsi"/>
          <w:bCs/>
          <w:color w:val="0000E1"/>
        </w:rPr>
        <w:t xml:space="preserve">Of the </w:t>
      </w:r>
      <w:r w:rsidR="00185FFF" w:rsidRPr="00CD5819">
        <w:rPr>
          <w:rFonts w:cstheme="minorHAnsi"/>
          <w:bCs/>
          <w:color w:val="0000E1"/>
        </w:rPr>
        <w:t xml:space="preserve">291 </w:t>
      </w:r>
      <w:r w:rsidRPr="00CD5819">
        <w:rPr>
          <w:rFonts w:cstheme="minorHAnsi"/>
          <w:bCs/>
          <w:color w:val="0000E1"/>
        </w:rPr>
        <w:t xml:space="preserve">plans, 17 plans were fee-for-service (FFS), and the remaining </w:t>
      </w:r>
      <w:r w:rsidR="00185FFF" w:rsidRPr="00CD5819">
        <w:rPr>
          <w:rFonts w:cstheme="minorHAnsi"/>
          <w:bCs/>
          <w:color w:val="0000E1"/>
        </w:rPr>
        <w:t>274</w:t>
      </w:r>
      <w:r w:rsidRPr="00CD5819">
        <w:rPr>
          <w:rFonts w:cstheme="minorHAnsi"/>
          <w:bCs/>
          <w:color w:val="0000E1"/>
        </w:rPr>
        <w:t xml:space="preserve"> plans were Medicaid Managed Care </w:t>
      </w:r>
      <w:r w:rsidR="009F57A4">
        <w:rPr>
          <w:rFonts w:cstheme="minorHAnsi"/>
          <w:bCs/>
          <w:color w:val="0000E1"/>
        </w:rPr>
        <w:t>Organizations (MCOs)</w:t>
      </w:r>
      <w:r w:rsidRPr="00CD5819">
        <w:rPr>
          <w:rFonts w:cstheme="minorHAnsi"/>
          <w:bCs/>
          <w:color w:val="0000E1"/>
        </w:rPr>
        <w:t xml:space="preserve">. There was variation in plan size, with mean plan size of </w:t>
      </w:r>
      <w:r w:rsidR="00185FFF" w:rsidRPr="00CD5819">
        <w:rPr>
          <w:rFonts w:cstheme="minorHAnsi"/>
          <w:bCs/>
          <w:color w:val="0000E1"/>
        </w:rPr>
        <w:t>18,415</w:t>
      </w:r>
      <w:r w:rsidRPr="00CD5819">
        <w:rPr>
          <w:rFonts w:cstheme="minorHAnsi"/>
          <w:bCs/>
          <w:color w:val="0000E1"/>
        </w:rPr>
        <w:t xml:space="preserve"> beneficiaries, and a median plan size of </w:t>
      </w:r>
      <w:r w:rsidR="00185FFF" w:rsidRPr="00CD5819">
        <w:rPr>
          <w:rFonts w:cstheme="minorHAnsi"/>
          <w:bCs/>
          <w:color w:val="0000E1"/>
        </w:rPr>
        <w:t>3,656</w:t>
      </w:r>
      <w:r w:rsidRPr="00CD5819">
        <w:rPr>
          <w:rFonts w:cstheme="minorHAnsi"/>
          <w:bCs/>
          <w:color w:val="0000E1"/>
        </w:rPr>
        <w:t xml:space="preserve"> beneficiaries</w:t>
      </w:r>
      <w:r w:rsidR="00D716EF">
        <w:rPr>
          <w:rFonts w:cstheme="minorHAnsi"/>
          <w:bCs/>
          <w:color w:val="0000E1"/>
        </w:rPr>
        <w:t>.</w:t>
      </w:r>
      <w:r w:rsidRPr="00CD5819">
        <w:rPr>
          <w:rFonts w:cstheme="minorHAnsi"/>
          <w:bCs/>
          <w:color w:val="0000E1"/>
        </w:rPr>
        <w:t xml:space="preserve"> (see Table 1)</w:t>
      </w:r>
      <w:r w:rsidR="00E57C81">
        <w:rPr>
          <w:rFonts w:cstheme="minorHAnsi"/>
          <w:bCs/>
          <w:color w:val="0000E1"/>
        </w:rPr>
        <w:t xml:space="preserve">. </w:t>
      </w:r>
    </w:p>
    <w:p w14:paraId="7E28D9B5" w14:textId="77777777" w:rsidR="00A15B41" w:rsidRPr="00CD5819" w:rsidRDefault="00A15B41" w:rsidP="00D86E7B">
      <w:pPr>
        <w:autoSpaceDE w:val="0"/>
        <w:autoSpaceDN w:val="0"/>
        <w:adjustRightInd w:val="0"/>
        <w:spacing w:after="0" w:line="240" w:lineRule="auto"/>
        <w:rPr>
          <w:rFonts w:cstheme="minorHAnsi"/>
          <w:b/>
          <w:bCs/>
          <w:color w:val="0000E1"/>
        </w:rPr>
      </w:pPr>
    </w:p>
    <w:p w14:paraId="0034E035" w14:textId="77777777" w:rsidR="008072E5" w:rsidRPr="00CD5819" w:rsidRDefault="008072E5" w:rsidP="00D86E7B">
      <w:pPr>
        <w:autoSpaceDE w:val="0"/>
        <w:autoSpaceDN w:val="0"/>
        <w:adjustRightInd w:val="0"/>
        <w:spacing w:after="0" w:line="240" w:lineRule="auto"/>
        <w:rPr>
          <w:rFonts w:cstheme="minorHAnsi"/>
          <w:b/>
          <w:bCs/>
          <w:color w:val="0000E1"/>
        </w:rPr>
      </w:pPr>
      <w:r w:rsidRPr="00CD5819">
        <w:rPr>
          <w:rFonts w:cstheme="minorHAnsi"/>
          <w:b/>
          <w:bCs/>
          <w:color w:val="0000E1"/>
        </w:rPr>
        <w:t>Table 1. Plan</w:t>
      </w:r>
      <w:r w:rsidR="000013B2" w:rsidRPr="00CD5819">
        <w:rPr>
          <w:rFonts w:cstheme="minorHAnsi"/>
          <w:b/>
          <w:bCs/>
          <w:color w:val="0000E1"/>
        </w:rPr>
        <w:t>/</w:t>
      </w:r>
      <w:r w:rsidR="0018208A" w:rsidRPr="00CD5819">
        <w:rPr>
          <w:rFonts w:cstheme="minorHAnsi"/>
          <w:b/>
          <w:bCs/>
          <w:color w:val="0000E1"/>
        </w:rPr>
        <w:t>Contract</w:t>
      </w:r>
      <w:r w:rsidRPr="00CD5819">
        <w:rPr>
          <w:rFonts w:cstheme="minorHAnsi"/>
          <w:b/>
          <w:bCs/>
          <w:color w:val="0000E1"/>
        </w:rPr>
        <w:t xml:space="preserve"> Size Distribution </w:t>
      </w:r>
      <w:r w:rsidR="00A15B41" w:rsidRPr="00CD5819">
        <w:rPr>
          <w:rFonts w:cstheme="minorHAnsi"/>
          <w:b/>
          <w:bCs/>
          <w:color w:val="0000E1"/>
        </w:rPr>
        <w:t>for Medicare and Medicaid Populations</w:t>
      </w:r>
      <w:r w:rsidR="0018208A" w:rsidRPr="00CD5819">
        <w:rPr>
          <w:rFonts w:cstheme="minorHAnsi"/>
          <w:b/>
          <w:bCs/>
          <w:color w:val="0000E1"/>
        </w:rPr>
        <w:t xml:space="preserve"> </w:t>
      </w:r>
    </w:p>
    <w:tbl>
      <w:tblPr>
        <w:tblStyle w:val="TableGrid"/>
        <w:tblW w:w="0" w:type="auto"/>
        <w:tblLook w:val="04A0" w:firstRow="1" w:lastRow="0" w:firstColumn="1" w:lastColumn="0" w:noHBand="0" w:noVBand="1"/>
      </w:tblPr>
      <w:tblGrid>
        <w:gridCol w:w="4045"/>
        <w:gridCol w:w="2520"/>
        <w:gridCol w:w="2428"/>
      </w:tblGrid>
      <w:tr w:rsidR="00CD5819" w:rsidRPr="00CD5819" w14:paraId="07F60013" w14:textId="77777777" w:rsidTr="00034EA8">
        <w:trPr>
          <w:trHeight w:val="252"/>
        </w:trPr>
        <w:tc>
          <w:tcPr>
            <w:tcW w:w="404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89F0A7" w14:textId="77777777" w:rsidR="00A15B41" w:rsidRPr="00CD5819" w:rsidRDefault="00A15B41" w:rsidP="00034EA8">
            <w:pPr>
              <w:autoSpaceDE w:val="0"/>
              <w:autoSpaceDN w:val="0"/>
              <w:adjustRightInd w:val="0"/>
              <w:rPr>
                <w:rFonts w:cstheme="minorHAnsi"/>
                <w:b/>
                <w:bCs/>
                <w:color w:val="0000E1"/>
              </w:rPr>
            </w:pPr>
            <w:r w:rsidRPr="00CD5819">
              <w:rPr>
                <w:rFonts w:cstheme="minorHAnsi"/>
                <w:b/>
                <w:bCs/>
                <w:color w:val="0000E1"/>
              </w:rPr>
              <w:t>Statistic</w:t>
            </w:r>
          </w:p>
        </w:tc>
        <w:tc>
          <w:tcPr>
            <w:tcW w:w="2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E1EE44" w14:textId="77777777" w:rsidR="00A15B41" w:rsidRPr="00CD5819" w:rsidRDefault="00A15B41" w:rsidP="00034EA8">
            <w:pPr>
              <w:autoSpaceDE w:val="0"/>
              <w:autoSpaceDN w:val="0"/>
              <w:adjustRightInd w:val="0"/>
              <w:jc w:val="center"/>
              <w:rPr>
                <w:rFonts w:cstheme="minorHAnsi"/>
                <w:b/>
                <w:bCs/>
                <w:color w:val="0000E1"/>
              </w:rPr>
            </w:pPr>
            <w:r w:rsidRPr="00CD5819">
              <w:rPr>
                <w:rFonts w:cstheme="minorHAnsi"/>
                <w:b/>
                <w:bCs/>
                <w:color w:val="0000E1"/>
              </w:rPr>
              <w:t>Medicare</w:t>
            </w:r>
          </w:p>
        </w:tc>
        <w:tc>
          <w:tcPr>
            <w:tcW w:w="24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E8660" w14:textId="77777777" w:rsidR="00A15B41" w:rsidRPr="00CD5819" w:rsidRDefault="00A15B41" w:rsidP="00034EA8">
            <w:pPr>
              <w:autoSpaceDE w:val="0"/>
              <w:autoSpaceDN w:val="0"/>
              <w:adjustRightInd w:val="0"/>
              <w:jc w:val="center"/>
              <w:rPr>
                <w:rFonts w:cstheme="minorHAnsi"/>
                <w:b/>
                <w:bCs/>
                <w:color w:val="0000E1"/>
              </w:rPr>
            </w:pPr>
            <w:r w:rsidRPr="00CD5819">
              <w:rPr>
                <w:rFonts w:cstheme="minorHAnsi"/>
                <w:b/>
                <w:bCs/>
                <w:color w:val="0000E1"/>
              </w:rPr>
              <w:t>Medicaid</w:t>
            </w:r>
          </w:p>
        </w:tc>
      </w:tr>
      <w:tr w:rsidR="00CD5819" w:rsidRPr="00CD5819" w14:paraId="4CF85343" w14:textId="77777777" w:rsidTr="002D7A9D">
        <w:trPr>
          <w:trHeight w:val="252"/>
        </w:trPr>
        <w:tc>
          <w:tcPr>
            <w:tcW w:w="4045" w:type="dxa"/>
            <w:tcBorders>
              <w:top w:val="single" w:sz="4" w:space="0" w:color="auto"/>
              <w:left w:val="single" w:sz="4" w:space="0" w:color="auto"/>
              <w:bottom w:val="single" w:sz="4" w:space="0" w:color="auto"/>
              <w:right w:val="single" w:sz="4" w:space="0" w:color="auto"/>
            </w:tcBorders>
            <w:hideMark/>
          </w:tcPr>
          <w:p w14:paraId="036D7B4C" w14:textId="77777777" w:rsidR="00185FFF" w:rsidRPr="00CD5819" w:rsidRDefault="00185FFF" w:rsidP="00034EA8">
            <w:pPr>
              <w:autoSpaceDE w:val="0"/>
              <w:autoSpaceDN w:val="0"/>
              <w:adjustRightInd w:val="0"/>
              <w:rPr>
                <w:rFonts w:cstheme="minorHAnsi"/>
                <w:bCs/>
                <w:color w:val="0000E1"/>
              </w:rPr>
            </w:pPr>
            <w:r w:rsidRPr="00CD5819">
              <w:rPr>
                <w:rFonts w:cstheme="minorHAnsi"/>
                <w:bCs/>
                <w:color w:val="0000E1"/>
              </w:rPr>
              <w:t xml:space="preserve">Mean </w:t>
            </w:r>
          </w:p>
        </w:tc>
        <w:tc>
          <w:tcPr>
            <w:tcW w:w="2520" w:type="dxa"/>
            <w:tcBorders>
              <w:top w:val="single" w:sz="4" w:space="0" w:color="auto"/>
              <w:left w:val="single" w:sz="4" w:space="0" w:color="auto"/>
              <w:bottom w:val="single" w:sz="4" w:space="0" w:color="auto"/>
              <w:right w:val="single" w:sz="4" w:space="0" w:color="auto"/>
            </w:tcBorders>
            <w:vAlign w:val="center"/>
          </w:tcPr>
          <w:p w14:paraId="1A1FD466" w14:textId="77777777" w:rsidR="00185FFF" w:rsidRPr="00CD5819" w:rsidRDefault="00185FFF" w:rsidP="002D7A9D">
            <w:pPr>
              <w:autoSpaceDE w:val="0"/>
              <w:autoSpaceDN w:val="0"/>
              <w:adjustRightInd w:val="0"/>
              <w:jc w:val="right"/>
              <w:rPr>
                <w:rFonts w:cstheme="minorHAnsi"/>
                <w:bCs/>
                <w:color w:val="0000E1"/>
              </w:rPr>
            </w:pPr>
            <w:r w:rsidRPr="00CD5819">
              <w:rPr>
                <w:rFonts w:cstheme="minorHAnsi"/>
                <w:color w:val="0000E1"/>
              </w:rPr>
              <w:t>3,978</w:t>
            </w:r>
          </w:p>
        </w:tc>
        <w:tc>
          <w:tcPr>
            <w:tcW w:w="2428" w:type="dxa"/>
            <w:tcBorders>
              <w:top w:val="single" w:sz="4" w:space="0" w:color="auto"/>
              <w:left w:val="single" w:sz="4" w:space="0" w:color="auto"/>
              <w:bottom w:val="single" w:sz="4" w:space="0" w:color="auto"/>
              <w:right w:val="single" w:sz="4" w:space="0" w:color="auto"/>
            </w:tcBorders>
            <w:vAlign w:val="center"/>
          </w:tcPr>
          <w:p w14:paraId="522412F6" w14:textId="77777777" w:rsidR="00185FFF" w:rsidRPr="00CD5819" w:rsidRDefault="00185FFF" w:rsidP="002D7A9D">
            <w:pPr>
              <w:autoSpaceDE w:val="0"/>
              <w:autoSpaceDN w:val="0"/>
              <w:adjustRightInd w:val="0"/>
              <w:jc w:val="right"/>
              <w:rPr>
                <w:rFonts w:cstheme="minorHAnsi"/>
                <w:bCs/>
                <w:color w:val="0000E1"/>
              </w:rPr>
            </w:pPr>
            <w:r w:rsidRPr="00CD5819">
              <w:rPr>
                <w:rFonts w:cstheme="minorHAnsi"/>
                <w:color w:val="0000E1"/>
              </w:rPr>
              <w:t>18,415</w:t>
            </w:r>
          </w:p>
        </w:tc>
      </w:tr>
      <w:tr w:rsidR="00CD5819" w:rsidRPr="00CD5819" w14:paraId="4FCE5DA3" w14:textId="77777777" w:rsidTr="002D7A9D">
        <w:trPr>
          <w:trHeight w:val="264"/>
        </w:trPr>
        <w:tc>
          <w:tcPr>
            <w:tcW w:w="4045" w:type="dxa"/>
            <w:tcBorders>
              <w:top w:val="single" w:sz="4" w:space="0" w:color="auto"/>
              <w:left w:val="single" w:sz="4" w:space="0" w:color="auto"/>
              <w:bottom w:val="single" w:sz="4" w:space="0" w:color="auto"/>
              <w:right w:val="single" w:sz="4" w:space="0" w:color="auto"/>
            </w:tcBorders>
            <w:hideMark/>
          </w:tcPr>
          <w:p w14:paraId="6D9F20C1" w14:textId="77777777" w:rsidR="00185FFF" w:rsidRPr="00CD5819" w:rsidRDefault="00185FFF" w:rsidP="00034EA8">
            <w:pPr>
              <w:autoSpaceDE w:val="0"/>
              <w:autoSpaceDN w:val="0"/>
              <w:adjustRightInd w:val="0"/>
              <w:rPr>
                <w:rFonts w:cstheme="minorHAnsi"/>
                <w:bCs/>
                <w:color w:val="0000E1"/>
              </w:rPr>
            </w:pPr>
            <w:r w:rsidRPr="00CD5819">
              <w:rPr>
                <w:rFonts w:cstheme="minorHAnsi"/>
                <w:bCs/>
                <w:color w:val="0000E1"/>
              </w:rPr>
              <w:t>Standard Deviation</w:t>
            </w:r>
          </w:p>
        </w:tc>
        <w:tc>
          <w:tcPr>
            <w:tcW w:w="2520" w:type="dxa"/>
            <w:tcBorders>
              <w:top w:val="single" w:sz="4" w:space="0" w:color="auto"/>
              <w:left w:val="single" w:sz="4" w:space="0" w:color="auto"/>
              <w:bottom w:val="single" w:sz="4" w:space="0" w:color="auto"/>
              <w:right w:val="single" w:sz="4" w:space="0" w:color="auto"/>
            </w:tcBorders>
            <w:vAlign w:val="center"/>
          </w:tcPr>
          <w:p w14:paraId="0CB89024" w14:textId="77777777" w:rsidR="00185FFF" w:rsidRPr="00CD5819" w:rsidRDefault="00185FFF" w:rsidP="002D7A9D">
            <w:pPr>
              <w:autoSpaceDE w:val="0"/>
              <w:autoSpaceDN w:val="0"/>
              <w:adjustRightInd w:val="0"/>
              <w:jc w:val="right"/>
              <w:rPr>
                <w:rFonts w:cstheme="minorHAnsi"/>
                <w:bCs/>
                <w:color w:val="0000E1"/>
              </w:rPr>
            </w:pPr>
            <w:r w:rsidRPr="00CD5819">
              <w:rPr>
                <w:rFonts w:cstheme="minorHAnsi"/>
                <w:color w:val="0000E1"/>
              </w:rPr>
              <w:t>19,648</w:t>
            </w:r>
          </w:p>
        </w:tc>
        <w:tc>
          <w:tcPr>
            <w:tcW w:w="2428" w:type="dxa"/>
            <w:tcBorders>
              <w:top w:val="single" w:sz="4" w:space="0" w:color="auto"/>
              <w:left w:val="single" w:sz="4" w:space="0" w:color="auto"/>
              <w:bottom w:val="single" w:sz="4" w:space="0" w:color="auto"/>
              <w:right w:val="single" w:sz="4" w:space="0" w:color="auto"/>
            </w:tcBorders>
            <w:vAlign w:val="center"/>
          </w:tcPr>
          <w:p w14:paraId="1F7E6AA7" w14:textId="77777777" w:rsidR="00185FFF" w:rsidRPr="00CD5819" w:rsidRDefault="00185FFF" w:rsidP="002D7A9D">
            <w:pPr>
              <w:autoSpaceDE w:val="0"/>
              <w:autoSpaceDN w:val="0"/>
              <w:adjustRightInd w:val="0"/>
              <w:jc w:val="right"/>
              <w:rPr>
                <w:rFonts w:cstheme="minorHAnsi"/>
                <w:bCs/>
                <w:color w:val="0000E1"/>
              </w:rPr>
            </w:pPr>
            <w:r w:rsidRPr="00CD5819">
              <w:rPr>
                <w:rFonts w:cstheme="minorHAnsi"/>
                <w:color w:val="0000E1"/>
              </w:rPr>
              <w:t>43,222</w:t>
            </w:r>
          </w:p>
        </w:tc>
      </w:tr>
      <w:tr w:rsidR="00CD5819" w:rsidRPr="00CD5819" w14:paraId="63DE59D8" w14:textId="77777777" w:rsidTr="002D7A9D">
        <w:trPr>
          <w:trHeight w:val="252"/>
        </w:trPr>
        <w:tc>
          <w:tcPr>
            <w:tcW w:w="4045" w:type="dxa"/>
            <w:tcBorders>
              <w:top w:val="single" w:sz="4" w:space="0" w:color="auto"/>
              <w:left w:val="single" w:sz="4" w:space="0" w:color="auto"/>
              <w:bottom w:val="single" w:sz="4" w:space="0" w:color="auto"/>
              <w:right w:val="single" w:sz="4" w:space="0" w:color="auto"/>
            </w:tcBorders>
            <w:hideMark/>
          </w:tcPr>
          <w:p w14:paraId="3AEB0F4E" w14:textId="77777777" w:rsidR="00185FFF" w:rsidRPr="00CD5819" w:rsidRDefault="00185FFF" w:rsidP="00034EA8">
            <w:pPr>
              <w:autoSpaceDE w:val="0"/>
              <w:autoSpaceDN w:val="0"/>
              <w:adjustRightInd w:val="0"/>
              <w:rPr>
                <w:rFonts w:cstheme="minorHAnsi"/>
                <w:bCs/>
                <w:color w:val="0000E1"/>
              </w:rPr>
            </w:pPr>
            <w:r w:rsidRPr="00CD5819">
              <w:rPr>
                <w:rFonts w:cstheme="minorHAnsi"/>
                <w:bCs/>
                <w:color w:val="0000E1"/>
              </w:rPr>
              <w:t>Minimum</w:t>
            </w:r>
          </w:p>
        </w:tc>
        <w:tc>
          <w:tcPr>
            <w:tcW w:w="2520" w:type="dxa"/>
            <w:tcBorders>
              <w:top w:val="single" w:sz="4" w:space="0" w:color="auto"/>
              <w:left w:val="single" w:sz="4" w:space="0" w:color="auto"/>
              <w:bottom w:val="single" w:sz="4" w:space="0" w:color="auto"/>
              <w:right w:val="single" w:sz="4" w:space="0" w:color="auto"/>
            </w:tcBorders>
            <w:vAlign w:val="center"/>
          </w:tcPr>
          <w:p w14:paraId="66B6FC0D" w14:textId="77777777" w:rsidR="00185FFF" w:rsidRPr="00CD5819" w:rsidRDefault="00185FFF" w:rsidP="002D7A9D">
            <w:pPr>
              <w:autoSpaceDE w:val="0"/>
              <w:autoSpaceDN w:val="0"/>
              <w:adjustRightInd w:val="0"/>
              <w:jc w:val="right"/>
              <w:rPr>
                <w:rFonts w:cstheme="minorHAnsi"/>
                <w:bCs/>
                <w:color w:val="0000E1"/>
              </w:rPr>
            </w:pPr>
            <w:r w:rsidRPr="00CD5819">
              <w:rPr>
                <w:rFonts w:cstheme="minorHAnsi"/>
                <w:color w:val="0000E1"/>
              </w:rPr>
              <w:t>30</w:t>
            </w:r>
          </w:p>
        </w:tc>
        <w:tc>
          <w:tcPr>
            <w:tcW w:w="2428" w:type="dxa"/>
            <w:tcBorders>
              <w:top w:val="single" w:sz="4" w:space="0" w:color="auto"/>
              <w:left w:val="single" w:sz="4" w:space="0" w:color="auto"/>
              <w:bottom w:val="single" w:sz="4" w:space="0" w:color="auto"/>
              <w:right w:val="single" w:sz="4" w:space="0" w:color="auto"/>
            </w:tcBorders>
            <w:vAlign w:val="center"/>
          </w:tcPr>
          <w:p w14:paraId="14F05AF6" w14:textId="77777777" w:rsidR="00185FFF" w:rsidRPr="00CD5819" w:rsidRDefault="00185FFF" w:rsidP="002D7A9D">
            <w:pPr>
              <w:autoSpaceDE w:val="0"/>
              <w:autoSpaceDN w:val="0"/>
              <w:adjustRightInd w:val="0"/>
              <w:jc w:val="right"/>
              <w:rPr>
                <w:rFonts w:cstheme="minorHAnsi"/>
                <w:bCs/>
                <w:color w:val="0000E1"/>
              </w:rPr>
            </w:pPr>
            <w:r w:rsidRPr="00CD5819">
              <w:rPr>
                <w:rFonts w:cstheme="minorHAnsi"/>
                <w:color w:val="0000E1"/>
              </w:rPr>
              <w:t>30</w:t>
            </w:r>
          </w:p>
        </w:tc>
      </w:tr>
      <w:tr w:rsidR="00CD5819" w:rsidRPr="00CD5819" w14:paraId="0F900F54" w14:textId="77777777" w:rsidTr="002D7A9D">
        <w:trPr>
          <w:trHeight w:val="252"/>
        </w:trPr>
        <w:tc>
          <w:tcPr>
            <w:tcW w:w="4045" w:type="dxa"/>
            <w:tcBorders>
              <w:top w:val="single" w:sz="4" w:space="0" w:color="auto"/>
              <w:left w:val="single" w:sz="4" w:space="0" w:color="auto"/>
              <w:bottom w:val="single" w:sz="4" w:space="0" w:color="auto"/>
              <w:right w:val="single" w:sz="4" w:space="0" w:color="auto"/>
            </w:tcBorders>
            <w:hideMark/>
          </w:tcPr>
          <w:p w14:paraId="6429A270" w14:textId="77777777" w:rsidR="00185FFF" w:rsidRPr="00CD5819" w:rsidRDefault="00185FFF" w:rsidP="00034EA8">
            <w:pPr>
              <w:autoSpaceDE w:val="0"/>
              <w:autoSpaceDN w:val="0"/>
              <w:adjustRightInd w:val="0"/>
              <w:rPr>
                <w:rFonts w:cstheme="minorHAnsi"/>
                <w:bCs/>
                <w:color w:val="0000E1"/>
              </w:rPr>
            </w:pPr>
            <w:r w:rsidRPr="00CD5819">
              <w:rPr>
                <w:rFonts w:cstheme="minorHAnsi"/>
                <w:bCs/>
                <w:color w:val="0000E1"/>
              </w:rPr>
              <w:t>25</w:t>
            </w:r>
            <w:r w:rsidRPr="00CD5819">
              <w:rPr>
                <w:rFonts w:cstheme="minorHAnsi"/>
                <w:bCs/>
                <w:color w:val="0000E1"/>
                <w:vertAlign w:val="superscript"/>
              </w:rPr>
              <w:t>th</w:t>
            </w:r>
            <w:r w:rsidRPr="00CD5819">
              <w:rPr>
                <w:rFonts w:cstheme="minorHAnsi"/>
                <w:bCs/>
                <w:color w:val="0000E1"/>
              </w:rPr>
              <w:t xml:space="preserve"> Percentile</w:t>
            </w:r>
          </w:p>
        </w:tc>
        <w:tc>
          <w:tcPr>
            <w:tcW w:w="2520" w:type="dxa"/>
            <w:tcBorders>
              <w:top w:val="single" w:sz="4" w:space="0" w:color="auto"/>
              <w:left w:val="single" w:sz="4" w:space="0" w:color="auto"/>
              <w:bottom w:val="single" w:sz="4" w:space="0" w:color="auto"/>
              <w:right w:val="single" w:sz="4" w:space="0" w:color="auto"/>
            </w:tcBorders>
            <w:vAlign w:val="center"/>
          </w:tcPr>
          <w:p w14:paraId="2C497CE7" w14:textId="77777777" w:rsidR="00185FFF" w:rsidRPr="00CD5819" w:rsidRDefault="00185FFF" w:rsidP="002D7A9D">
            <w:pPr>
              <w:autoSpaceDE w:val="0"/>
              <w:autoSpaceDN w:val="0"/>
              <w:adjustRightInd w:val="0"/>
              <w:jc w:val="right"/>
              <w:rPr>
                <w:rFonts w:cstheme="minorHAnsi"/>
                <w:bCs/>
                <w:color w:val="0000E1"/>
              </w:rPr>
            </w:pPr>
            <w:r w:rsidRPr="00CD5819">
              <w:rPr>
                <w:rFonts w:cstheme="minorHAnsi"/>
                <w:color w:val="0000E1"/>
              </w:rPr>
              <w:t>190</w:t>
            </w:r>
          </w:p>
        </w:tc>
        <w:tc>
          <w:tcPr>
            <w:tcW w:w="2428" w:type="dxa"/>
            <w:tcBorders>
              <w:top w:val="single" w:sz="4" w:space="0" w:color="auto"/>
              <w:left w:val="single" w:sz="4" w:space="0" w:color="auto"/>
              <w:bottom w:val="single" w:sz="4" w:space="0" w:color="auto"/>
              <w:right w:val="single" w:sz="4" w:space="0" w:color="auto"/>
            </w:tcBorders>
            <w:vAlign w:val="center"/>
          </w:tcPr>
          <w:p w14:paraId="1A497812" w14:textId="77777777" w:rsidR="00185FFF" w:rsidRPr="00CD5819" w:rsidRDefault="00185FFF" w:rsidP="002D7A9D">
            <w:pPr>
              <w:autoSpaceDE w:val="0"/>
              <w:autoSpaceDN w:val="0"/>
              <w:adjustRightInd w:val="0"/>
              <w:jc w:val="right"/>
              <w:rPr>
                <w:rFonts w:cstheme="minorHAnsi"/>
                <w:bCs/>
                <w:color w:val="0000E1"/>
              </w:rPr>
            </w:pPr>
            <w:r w:rsidRPr="00CD5819">
              <w:rPr>
                <w:rFonts w:cstheme="minorHAnsi"/>
                <w:color w:val="0000E1"/>
              </w:rPr>
              <w:t>354</w:t>
            </w:r>
          </w:p>
        </w:tc>
      </w:tr>
      <w:tr w:rsidR="00CD5819" w:rsidRPr="00CD5819" w14:paraId="61B8A246" w14:textId="77777777" w:rsidTr="002D7A9D">
        <w:trPr>
          <w:trHeight w:val="252"/>
        </w:trPr>
        <w:tc>
          <w:tcPr>
            <w:tcW w:w="4045" w:type="dxa"/>
            <w:tcBorders>
              <w:top w:val="single" w:sz="4" w:space="0" w:color="auto"/>
              <w:left w:val="single" w:sz="4" w:space="0" w:color="auto"/>
              <w:bottom w:val="single" w:sz="4" w:space="0" w:color="auto"/>
              <w:right w:val="single" w:sz="4" w:space="0" w:color="auto"/>
            </w:tcBorders>
            <w:hideMark/>
          </w:tcPr>
          <w:p w14:paraId="24A8B341" w14:textId="77777777" w:rsidR="00185FFF" w:rsidRPr="00CD5819" w:rsidRDefault="00185FFF" w:rsidP="00034EA8">
            <w:pPr>
              <w:autoSpaceDE w:val="0"/>
              <w:autoSpaceDN w:val="0"/>
              <w:adjustRightInd w:val="0"/>
              <w:rPr>
                <w:rFonts w:cstheme="minorHAnsi"/>
                <w:bCs/>
                <w:color w:val="0000E1"/>
              </w:rPr>
            </w:pPr>
            <w:r w:rsidRPr="00CD5819">
              <w:rPr>
                <w:rFonts w:cstheme="minorHAnsi"/>
                <w:bCs/>
                <w:color w:val="0000E1"/>
              </w:rPr>
              <w:t>50</w:t>
            </w:r>
            <w:r w:rsidRPr="00CD5819">
              <w:rPr>
                <w:rFonts w:cstheme="minorHAnsi"/>
                <w:bCs/>
                <w:color w:val="0000E1"/>
                <w:vertAlign w:val="superscript"/>
              </w:rPr>
              <w:t>th</w:t>
            </w:r>
            <w:r w:rsidRPr="00CD5819">
              <w:rPr>
                <w:rFonts w:cstheme="minorHAnsi"/>
                <w:bCs/>
                <w:color w:val="0000E1"/>
              </w:rPr>
              <w:t xml:space="preserve"> Percentile</w:t>
            </w:r>
          </w:p>
        </w:tc>
        <w:tc>
          <w:tcPr>
            <w:tcW w:w="2520" w:type="dxa"/>
            <w:tcBorders>
              <w:top w:val="single" w:sz="4" w:space="0" w:color="auto"/>
              <w:left w:val="single" w:sz="4" w:space="0" w:color="auto"/>
              <w:bottom w:val="single" w:sz="4" w:space="0" w:color="auto"/>
              <w:right w:val="single" w:sz="4" w:space="0" w:color="auto"/>
            </w:tcBorders>
            <w:vAlign w:val="center"/>
          </w:tcPr>
          <w:p w14:paraId="76F17EC1" w14:textId="77777777" w:rsidR="00185FFF" w:rsidRPr="00CD5819" w:rsidRDefault="00185FFF" w:rsidP="002D7A9D">
            <w:pPr>
              <w:autoSpaceDE w:val="0"/>
              <w:autoSpaceDN w:val="0"/>
              <w:adjustRightInd w:val="0"/>
              <w:jc w:val="right"/>
              <w:rPr>
                <w:rFonts w:cstheme="minorHAnsi"/>
                <w:bCs/>
                <w:color w:val="0000E1"/>
              </w:rPr>
            </w:pPr>
            <w:r w:rsidRPr="00CD5819">
              <w:rPr>
                <w:rFonts w:cstheme="minorHAnsi"/>
                <w:color w:val="0000E1"/>
              </w:rPr>
              <w:t>562</w:t>
            </w:r>
          </w:p>
        </w:tc>
        <w:tc>
          <w:tcPr>
            <w:tcW w:w="2428" w:type="dxa"/>
            <w:tcBorders>
              <w:top w:val="single" w:sz="4" w:space="0" w:color="auto"/>
              <w:left w:val="single" w:sz="4" w:space="0" w:color="auto"/>
              <w:bottom w:val="single" w:sz="4" w:space="0" w:color="auto"/>
              <w:right w:val="single" w:sz="4" w:space="0" w:color="auto"/>
            </w:tcBorders>
            <w:vAlign w:val="center"/>
          </w:tcPr>
          <w:p w14:paraId="2998B085" w14:textId="77777777" w:rsidR="00185FFF" w:rsidRPr="00CD5819" w:rsidRDefault="00185FFF" w:rsidP="002D7A9D">
            <w:pPr>
              <w:autoSpaceDE w:val="0"/>
              <w:autoSpaceDN w:val="0"/>
              <w:adjustRightInd w:val="0"/>
              <w:jc w:val="right"/>
              <w:rPr>
                <w:rFonts w:cstheme="minorHAnsi"/>
                <w:bCs/>
                <w:color w:val="0000E1"/>
              </w:rPr>
            </w:pPr>
            <w:r w:rsidRPr="00CD5819">
              <w:rPr>
                <w:rFonts w:cstheme="minorHAnsi"/>
                <w:color w:val="0000E1"/>
              </w:rPr>
              <w:t>3,656</w:t>
            </w:r>
          </w:p>
        </w:tc>
      </w:tr>
      <w:tr w:rsidR="00CD5819" w:rsidRPr="00CD5819" w14:paraId="03C52E9D" w14:textId="77777777" w:rsidTr="002D7A9D">
        <w:trPr>
          <w:trHeight w:val="252"/>
        </w:trPr>
        <w:tc>
          <w:tcPr>
            <w:tcW w:w="4045" w:type="dxa"/>
            <w:tcBorders>
              <w:top w:val="single" w:sz="4" w:space="0" w:color="auto"/>
              <w:left w:val="single" w:sz="4" w:space="0" w:color="auto"/>
              <w:bottom w:val="single" w:sz="4" w:space="0" w:color="auto"/>
              <w:right w:val="single" w:sz="4" w:space="0" w:color="auto"/>
            </w:tcBorders>
            <w:hideMark/>
          </w:tcPr>
          <w:p w14:paraId="03364DF8" w14:textId="77777777" w:rsidR="00185FFF" w:rsidRPr="00CD5819" w:rsidRDefault="00185FFF" w:rsidP="00034EA8">
            <w:pPr>
              <w:autoSpaceDE w:val="0"/>
              <w:autoSpaceDN w:val="0"/>
              <w:adjustRightInd w:val="0"/>
              <w:rPr>
                <w:rFonts w:cstheme="minorHAnsi"/>
                <w:bCs/>
                <w:color w:val="0000E1"/>
              </w:rPr>
            </w:pPr>
            <w:r w:rsidRPr="00CD5819">
              <w:rPr>
                <w:rFonts w:cstheme="minorHAnsi"/>
                <w:bCs/>
                <w:color w:val="0000E1"/>
              </w:rPr>
              <w:t>75</w:t>
            </w:r>
            <w:r w:rsidRPr="00CD5819">
              <w:rPr>
                <w:rFonts w:cstheme="minorHAnsi"/>
                <w:bCs/>
                <w:color w:val="0000E1"/>
                <w:vertAlign w:val="superscript"/>
              </w:rPr>
              <w:t>th</w:t>
            </w:r>
            <w:r w:rsidRPr="00CD5819">
              <w:rPr>
                <w:rFonts w:cstheme="minorHAnsi"/>
                <w:bCs/>
                <w:color w:val="0000E1"/>
              </w:rPr>
              <w:t xml:space="preserve"> Percentile</w:t>
            </w:r>
          </w:p>
        </w:tc>
        <w:tc>
          <w:tcPr>
            <w:tcW w:w="2520" w:type="dxa"/>
            <w:tcBorders>
              <w:top w:val="single" w:sz="4" w:space="0" w:color="auto"/>
              <w:left w:val="single" w:sz="4" w:space="0" w:color="auto"/>
              <w:bottom w:val="single" w:sz="4" w:space="0" w:color="auto"/>
              <w:right w:val="single" w:sz="4" w:space="0" w:color="auto"/>
            </w:tcBorders>
            <w:vAlign w:val="center"/>
          </w:tcPr>
          <w:p w14:paraId="5559E435" w14:textId="77777777" w:rsidR="00185FFF" w:rsidRPr="00CD5819" w:rsidRDefault="00185FFF" w:rsidP="002D7A9D">
            <w:pPr>
              <w:autoSpaceDE w:val="0"/>
              <w:autoSpaceDN w:val="0"/>
              <w:adjustRightInd w:val="0"/>
              <w:jc w:val="right"/>
              <w:rPr>
                <w:rFonts w:cstheme="minorHAnsi"/>
                <w:bCs/>
                <w:color w:val="0000E1"/>
              </w:rPr>
            </w:pPr>
            <w:r w:rsidRPr="00CD5819">
              <w:rPr>
                <w:rFonts w:cstheme="minorHAnsi"/>
                <w:color w:val="0000E1"/>
              </w:rPr>
              <w:t>2,054</w:t>
            </w:r>
          </w:p>
        </w:tc>
        <w:tc>
          <w:tcPr>
            <w:tcW w:w="2428" w:type="dxa"/>
            <w:tcBorders>
              <w:top w:val="single" w:sz="4" w:space="0" w:color="auto"/>
              <w:left w:val="single" w:sz="4" w:space="0" w:color="auto"/>
              <w:bottom w:val="single" w:sz="4" w:space="0" w:color="auto"/>
              <w:right w:val="single" w:sz="4" w:space="0" w:color="auto"/>
            </w:tcBorders>
            <w:vAlign w:val="center"/>
          </w:tcPr>
          <w:p w14:paraId="7494992C" w14:textId="77777777" w:rsidR="00185FFF" w:rsidRPr="00CD5819" w:rsidRDefault="00185FFF" w:rsidP="002D7A9D">
            <w:pPr>
              <w:autoSpaceDE w:val="0"/>
              <w:autoSpaceDN w:val="0"/>
              <w:adjustRightInd w:val="0"/>
              <w:jc w:val="right"/>
              <w:rPr>
                <w:rFonts w:cstheme="minorHAnsi"/>
                <w:bCs/>
                <w:color w:val="0000E1"/>
              </w:rPr>
            </w:pPr>
            <w:r w:rsidRPr="00CD5819">
              <w:rPr>
                <w:rFonts w:cstheme="minorHAnsi"/>
                <w:color w:val="0000E1"/>
              </w:rPr>
              <w:t>17,560</w:t>
            </w:r>
          </w:p>
        </w:tc>
      </w:tr>
      <w:tr w:rsidR="00CD5819" w:rsidRPr="00CD5819" w14:paraId="4C051F4D" w14:textId="77777777" w:rsidTr="002D7A9D">
        <w:trPr>
          <w:trHeight w:val="264"/>
        </w:trPr>
        <w:tc>
          <w:tcPr>
            <w:tcW w:w="4045" w:type="dxa"/>
            <w:tcBorders>
              <w:top w:val="single" w:sz="4" w:space="0" w:color="auto"/>
              <w:left w:val="single" w:sz="4" w:space="0" w:color="auto"/>
              <w:bottom w:val="single" w:sz="4" w:space="0" w:color="auto"/>
              <w:right w:val="single" w:sz="4" w:space="0" w:color="auto"/>
            </w:tcBorders>
            <w:hideMark/>
          </w:tcPr>
          <w:p w14:paraId="3E99F9CD" w14:textId="77777777" w:rsidR="00185FFF" w:rsidRPr="00CD5819" w:rsidRDefault="00185FFF" w:rsidP="00034EA8">
            <w:pPr>
              <w:autoSpaceDE w:val="0"/>
              <w:autoSpaceDN w:val="0"/>
              <w:adjustRightInd w:val="0"/>
              <w:rPr>
                <w:rFonts w:cstheme="minorHAnsi"/>
                <w:bCs/>
                <w:color w:val="0000E1"/>
              </w:rPr>
            </w:pPr>
            <w:r w:rsidRPr="00CD5819">
              <w:rPr>
                <w:rFonts w:cstheme="minorHAnsi"/>
                <w:bCs/>
                <w:color w:val="0000E1"/>
              </w:rPr>
              <w:t>Maximum</w:t>
            </w:r>
          </w:p>
        </w:tc>
        <w:tc>
          <w:tcPr>
            <w:tcW w:w="2520" w:type="dxa"/>
            <w:tcBorders>
              <w:top w:val="single" w:sz="4" w:space="0" w:color="auto"/>
              <w:left w:val="single" w:sz="4" w:space="0" w:color="auto"/>
              <w:bottom w:val="single" w:sz="4" w:space="0" w:color="auto"/>
              <w:right w:val="single" w:sz="4" w:space="0" w:color="auto"/>
            </w:tcBorders>
            <w:vAlign w:val="center"/>
          </w:tcPr>
          <w:p w14:paraId="3411133A" w14:textId="77777777" w:rsidR="00185FFF" w:rsidRPr="00CD5819" w:rsidRDefault="00185FFF" w:rsidP="002D7A9D">
            <w:pPr>
              <w:autoSpaceDE w:val="0"/>
              <w:autoSpaceDN w:val="0"/>
              <w:adjustRightInd w:val="0"/>
              <w:jc w:val="right"/>
              <w:rPr>
                <w:rFonts w:cstheme="minorHAnsi"/>
                <w:bCs/>
                <w:color w:val="0000E1"/>
              </w:rPr>
            </w:pPr>
            <w:r w:rsidRPr="00CD5819">
              <w:rPr>
                <w:rFonts w:cstheme="minorHAnsi"/>
                <w:color w:val="0000E1"/>
              </w:rPr>
              <w:t>291,999</w:t>
            </w:r>
          </w:p>
        </w:tc>
        <w:tc>
          <w:tcPr>
            <w:tcW w:w="2428" w:type="dxa"/>
            <w:tcBorders>
              <w:top w:val="single" w:sz="4" w:space="0" w:color="auto"/>
              <w:left w:val="single" w:sz="4" w:space="0" w:color="auto"/>
              <w:bottom w:val="single" w:sz="4" w:space="0" w:color="auto"/>
              <w:right w:val="single" w:sz="4" w:space="0" w:color="auto"/>
            </w:tcBorders>
            <w:vAlign w:val="center"/>
          </w:tcPr>
          <w:p w14:paraId="0E1B652D" w14:textId="77777777" w:rsidR="00185FFF" w:rsidRPr="00CD5819" w:rsidRDefault="00185FFF" w:rsidP="002D7A9D">
            <w:pPr>
              <w:autoSpaceDE w:val="0"/>
              <w:autoSpaceDN w:val="0"/>
              <w:adjustRightInd w:val="0"/>
              <w:jc w:val="right"/>
              <w:rPr>
                <w:rFonts w:cstheme="minorHAnsi"/>
                <w:bCs/>
                <w:color w:val="0000E1"/>
              </w:rPr>
            </w:pPr>
            <w:r w:rsidRPr="00CD5819">
              <w:rPr>
                <w:rFonts w:cstheme="minorHAnsi"/>
                <w:color w:val="0000E1"/>
              </w:rPr>
              <w:t>450,884</w:t>
            </w:r>
          </w:p>
        </w:tc>
      </w:tr>
      <w:tr w:rsidR="00CD5819" w:rsidRPr="00CD5819" w14:paraId="15E6D75C" w14:textId="77777777" w:rsidTr="002D7A9D">
        <w:trPr>
          <w:trHeight w:val="252"/>
        </w:trPr>
        <w:tc>
          <w:tcPr>
            <w:tcW w:w="4045" w:type="dxa"/>
            <w:tcBorders>
              <w:top w:val="single" w:sz="4" w:space="0" w:color="auto"/>
              <w:left w:val="single" w:sz="4" w:space="0" w:color="auto"/>
              <w:bottom w:val="single" w:sz="4" w:space="0" w:color="auto"/>
              <w:right w:val="single" w:sz="4" w:space="0" w:color="auto"/>
            </w:tcBorders>
            <w:hideMark/>
          </w:tcPr>
          <w:p w14:paraId="7B8EB066" w14:textId="77777777" w:rsidR="00185FFF" w:rsidRPr="00CD5819" w:rsidRDefault="00185FFF" w:rsidP="00034EA8">
            <w:pPr>
              <w:autoSpaceDE w:val="0"/>
              <w:autoSpaceDN w:val="0"/>
              <w:adjustRightInd w:val="0"/>
              <w:rPr>
                <w:rFonts w:cstheme="minorHAnsi"/>
                <w:bCs/>
                <w:color w:val="0000E1"/>
              </w:rPr>
            </w:pPr>
            <w:r w:rsidRPr="00CD5819">
              <w:rPr>
                <w:rFonts w:cstheme="minorHAnsi"/>
                <w:bCs/>
                <w:color w:val="0000E1"/>
              </w:rPr>
              <w:t>Interquartile Range</w:t>
            </w:r>
          </w:p>
        </w:tc>
        <w:tc>
          <w:tcPr>
            <w:tcW w:w="2520" w:type="dxa"/>
            <w:tcBorders>
              <w:top w:val="single" w:sz="4" w:space="0" w:color="auto"/>
              <w:left w:val="single" w:sz="4" w:space="0" w:color="auto"/>
              <w:bottom w:val="single" w:sz="4" w:space="0" w:color="auto"/>
              <w:right w:val="single" w:sz="4" w:space="0" w:color="auto"/>
            </w:tcBorders>
            <w:vAlign w:val="center"/>
          </w:tcPr>
          <w:p w14:paraId="2C123AAF" w14:textId="77777777" w:rsidR="00185FFF" w:rsidRPr="00CD5819" w:rsidRDefault="00185FFF" w:rsidP="002D7A9D">
            <w:pPr>
              <w:autoSpaceDE w:val="0"/>
              <w:autoSpaceDN w:val="0"/>
              <w:adjustRightInd w:val="0"/>
              <w:jc w:val="right"/>
              <w:rPr>
                <w:rFonts w:cstheme="minorHAnsi"/>
                <w:bCs/>
                <w:color w:val="0000E1"/>
              </w:rPr>
            </w:pPr>
            <w:r w:rsidRPr="00CD5819">
              <w:rPr>
                <w:rFonts w:cstheme="minorHAnsi"/>
                <w:color w:val="0000E1"/>
              </w:rPr>
              <w:t>1,864</w:t>
            </w:r>
          </w:p>
        </w:tc>
        <w:tc>
          <w:tcPr>
            <w:tcW w:w="2428" w:type="dxa"/>
            <w:tcBorders>
              <w:top w:val="single" w:sz="4" w:space="0" w:color="auto"/>
              <w:left w:val="single" w:sz="4" w:space="0" w:color="auto"/>
              <w:bottom w:val="single" w:sz="4" w:space="0" w:color="auto"/>
              <w:right w:val="single" w:sz="4" w:space="0" w:color="auto"/>
            </w:tcBorders>
            <w:vAlign w:val="center"/>
          </w:tcPr>
          <w:p w14:paraId="52620857" w14:textId="77777777" w:rsidR="00185FFF" w:rsidRPr="00CD5819" w:rsidRDefault="00185FFF" w:rsidP="002D7A9D">
            <w:pPr>
              <w:autoSpaceDE w:val="0"/>
              <w:autoSpaceDN w:val="0"/>
              <w:adjustRightInd w:val="0"/>
              <w:jc w:val="right"/>
              <w:rPr>
                <w:rFonts w:cstheme="minorHAnsi"/>
                <w:bCs/>
                <w:color w:val="0000E1"/>
              </w:rPr>
            </w:pPr>
            <w:r w:rsidRPr="00CD5819">
              <w:rPr>
                <w:rFonts w:cstheme="minorHAnsi"/>
                <w:color w:val="0000E1"/>
              </w:rPr>
              <w:t>17,206</w:t>
            </w:r>
          </w:p>
        </w:tc>
      </w:tr>
    </w:tbl>
    <w:p w14:paraId="53E0B186" w14:textId="77777777" w:rsidR="007D4F1E" w:rsidRPr="00CD5819" w:rsidRDefault="007D4F1E" w:rsidP="007D4F1E">
      <w:pPr>
        <w:autoSpaceDE w:val="0"/>
        <w:autoSpaceDN w:val="0"/>
        <w:adjustRightInd w:val="0"/>
        <w:spacing w:after="0" w:line="240" w:lineRule="auto"/>
        <w:rPr>
          <w:rFonts w:cstheme="minorHAnsi"/>
          <w:b/>
          <w:bCs/>
          <w:i/>
          <w:color w:val="0000E1"/>
        </w:rPr>
      </w:pPr>
      <w:r w:rsidRPr="00CD5819">
        <w:rPr>
          <w:rFonts w:cstheme="minorHAnsi"/>
          <w:bCs/>
          <w:i/>
          <w:color w:val="0000E1"/>
        </w:rPr>
        <w:t xml:space="preserve">Note: </w:t>
      </w:r>
      <w:r w:rsidR="00E54E2A" w:rsidRPr="00CD5819">
        <w:rPr>
          <w:rFonts w:cstheme="minorHAnsi"/>
          <w:bCs/>
          <w:i/>
          <w:color w:val="0000E1"/>
        </w:rPr>
        <w:t xml:space="preserve">When used in performance programs, plans/contracts </w:t>
      </w:r>
      <w:r w:rsidR="00820A91" w:rsidRPr="00CD5819">
        <w:rPr>
          <w:rFonts w:cstheme="minorHAnsi"/>
          <w:bCs/>
          <w:i/>
          <w:color w:val="0000E1"/>
        </w:rPr>
        <w:t>with &lt;</w:t>
      </w:r>
      <w:r w:rsidR="00E54E2A" w:rsidRPr="00CD5819">
        <w:rPr>
          <w:rFonts w:cstheme="minorHAnsi"/>
          <w:bCs/>
          <w:i/>
          <w:color w:val="0000E1"/>
        </w:rPr>
        <w:t>30 individuals are excluded; as such, all analyses exclude</w:t>
      </w:r>
      <w:r w:rsidRPr="00CD5819">
        <w:rPr>
          <w:rFonts w:cstheme="minorHAnsi"/>
          <w:bCs/>
          <w:i/>
          <w:color w:val="0000E1"/>
        </w:rPr>
        <w:t xml:space="preserve"> plans/contracts with &lt;30 individuals. </w:t>
      </w:r>
    </w:p>
    <w:p w14:paraId="6E0737FF" w14:textId="77777777" w:rsidR="002B5016" w:rsidRPr="00A25024" w:rsidRDefault="002B5016" w:rsidP="00DB3627">
      <w:pPr>
        <w:autoSpaceDE w:val="0"/>
        <w:autoSpaceDN w:val="0"/>
        <w:adjustRightInd w:val="0"/>
        <w:spacing w:after="0" w:line="240" w:lineRule="auto"/>
        <w:rPr>
          <w:rFonts w:cstheme="minorHAnsi"/>
          <w:bCs/>
        </w:rPr>
      </w:pPr>
    </w:p>
    <w:p w14:paraId="25FC1512" w14:textId="77777777" w:rsidR="007422FD"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52C10883" w14:textId="7123BB86" w:rsidR="008915E7" w:rsidRPr="00CD5819" w:rsidRDefault="008915E7" w:rsidP="00D86E7B">
      <w:pPr>
        <w:autoSpaceDE w:val="0"/>
        <w:autoSpaceDN w:val="0"/>
        <w:adjustRightInd w:val="0"/>
        <w:spacing w:after="0" w:line="240" w:lineRule="auto"/>
        <w:rPr>
          <w:rFonts w:cstheme="minorHAnsi"/>
          <w:bCs/>
          <w:color w:val="0000E1"/>
        </w:rPr>
      </w:pPr>
      <w:r w:rsidRPr="00CD5819">
        <w:rPr>
          <w:rFonts w:cstheme="minorHAnsi"/>
          <w:bCs/>
          <w:color w:val="0000E1"/>
        </w:rPr>
        <w:t>For the Medicare testing,</w:t>
      </w:r>
      <w:r w:rsidR="00DF503C" w:rsidRPr="00CD5819">
        <w:rPr>
          <w:rFonts w:cstheme="minorHAnsi"/>
          <w:bCs/>
          <w:color w:val="0000E1"/>
        </w:rPr>
        <w:t xml:space="preserve"> the initial population </w:t>
      </w:r>
      <w:r w:rsidR="00153788">
        <w:rPr>
          <w:rFonts w:cstheme="minorHAnsi"/>
          <w:bCs/>
          <w:color w:val="0000E1"/>
        </w:rPr>
        <w:t xml:space="preserve">ages </w:t>
      </w:r>
      <w:r w:rsidR="00DF503C" w:rsidRPr="00CD5819">
        <w:rPr>
          <w:rFonts w:cstheme="minorHAnsi"/>
          <w:bCs/>
          <w:color w:val="0000E1"/>
        </w:rPr>
        <w:t>18 years and older included 2,203,754 individuals. After</w:t>
      </w:r>
      <w:r w:rsidR="00195C8B">
        <w:rPr>
          <w:rFonts w:cstheme="minorHAnsi"/>
          <w:bCs/>
          <w:color w:val="0000E1"/>
        </w:rPr>
        <w:t xml:space="preserve"> applying all inclusion/exclusion</w:t>
      </w:r>
      <w:r w:rsidRPr="00CD5819">
        <w:rPr>
          <w:rFonts w:cstheme="minorHAnsi"/>
          <w:bCs/>
          <w:color w:val="0000E1"/>
        </w:rPr>
        <w:t xml:space="preserve"> criteria, the Diabetes population included </w:t>
      </w:r>
      <w:r w:rsidR="00E54E2A" w:rsidRPr="00CD5819">
        <w:rPr>
          <w:rFonts w:cstheme="minorHAnsi"/>
          <w:bCs/>
          <w:color w:val="0000E1"/>
        </w:rPr>
        <w:t>268,737</w:t>
      </w:r>
      <w:r w:rsidRPr="00CD5819">
        <w:rPr>
          <w:rFonts w:cstheme="minorHAnsi"/>
          <w:bCs/>
          <w:color w:val="0000E1"/>
        </w:rPr>
        <w:t xml:space="preserve"> individuals, </w:t>
      </w:r>
      <w:r w:rsidR="00153788">
        <w:rPr>
          <w:rFonts w:cstheme="minorHAnsi"/>
          <w:bCs/>
          <w:color w:val="0000E1"/>
        </w:rPr>
        <w:t xml:space="preserve">the </w:t>
      </w:r>
      <w:r w:rsidR="00B458FD" w:rsidRPr="00CD5819">
        <w:rPr>
          <w:rFonts w:cstheme="minorHAnsi"/>
          <w:bCs/>
          <w:color w:val="0000E1"/>
        </w:rPr>
        <w:lastRenderedPageBreak/>
        <w:t xml:space="preserve">RASA </w:t>
      </w:r>
      <w:r w:rsidR="00153788">
        <w:rPr>
          <w:rFonts w:cstheme="minorHAnsi"/>
          <w:bCs/>
          <w:color w:val="0000E1"/>
        </w:rPr>
        <w:t xml:space="preserve">population </w:t>
      </w:r>
      <w:r w:rsidR="00B458FD" w:rsidRPr="00CD5819">
        <w:rPr>
          <w:rFonts w:cstheme="minorHAnsi"/>
          <w:bCs/>
          <w:color w:val="0000E1"/>
        </w:rPr>
        <w:t>included 775,226 individuals</w:t>
      </w:r>
      <w:r w:rsidR="00B458FD">
        <w:rPr>
          <w:rFonts w:cstheme="minorHAnsi"/>
          <w:bCs/>
          <w:color w:val="0000E1"/>
        </w:rPr>
        <w:t xml:space="preserve">, and </w:t>
      </w:r>
      <w:r w:rsidR="00153788">
        <w:rPr>
          <w:rFonts w:cstheme="minorHAnsi"/>
          <w:bCs/>
          <w:color w:val="0000E1"/>
        </w:rPr>
        <w:t xml:space="preserve">the </w:t>
      </w:r>
      <w:r w:rsidRPr="00CD5819">
        <w:rPr>
          <w:rFonts w:cstheme="minorHAnsi"/>
          <w:bCs/>
          <w:color w:val="0000E1"/>
        </w:rPr>
        <w:t xml:space="preserve">Statins </w:t>
      </w:r>
      <w:r w:rsidR="00153788">
        <w:rPr>
          <w:rFonts w:cstheme="minorHAnsi"/>
          <w:bCs/>
          <w:color w:val="0000E1"/>
        </w:rPr>
        <w:t xml:space="preserve">population </w:t>
      </w:r>
      <w:r w:rsidR="00195C8B">
        <w:rPr>
          <w:rFonts w:cstheme="minorHAnsi"/>
          <w:bCs/>
          <w:color w:val="0000E1"/>
        </w:rPr>
        <w:t>included</w:t>
      </w:r>
      <w:r w:rsidRPr="00CD5819">
        <w:rPr>
          <w:rFonts w:cstheme="minorHAnsi"/>
          <w:bCs/>
          <w:color w:val="0000E1"/>
        </w:rPr>
        <w:t xml:space="preserve"> </w:t>
      </w:r>
      <w:r w:rsidR="008F44E6" w:rsidRPr="00CD5819">
        <w:rPr>
          <w:rFonts w:cstheme="minorHAnsi"/>
          <w:bCs/>
          <w:color w:val="0000E1"/>
        </w:rPr>
        <w:t>872,736</w:t>
      </w:r>
      <w:r w:rsidRPr="00CD5819">
        <w:rPr>
          <w:rFonts w:cstheme="minorHAnsi"/>
          <w:bCs/>
          <w:color w:val="0000E1"/>
        </w:rPr>
        <w:t xml:space="preserve"> individuals. For all therapeutic classes, </w:t>
      </w:r>
      <w:r w:rsidR="00713721" w:rsidRPr="00CD5819">
        <w:rPr>
          <w:rFonts w:cstheme="minorHAnsi"/>
          <w:bCs/>
          <w:color w:val="0000E1"/>
        </w:rPr>
        <w:t>over 8</w:t>
      </w:r>
      <w:r w:rsidRPr="00CD5819">
        <w:rPr>
          <w:rFonts w:cstheme="minorHAnsi"/>
          <w:bCs/>
          <w:color w:val="0000E1"/>
        </w:rPr>
        <w:t xml:space="preserve">0% of beneficiaries were </w:t>
      </w:r>
      <w:r w:rsidR="00153788">
        <w:rPr>
          <w:rFonts w:cstheme="minorHAnsi"/>
          <w:bCs/>
          <w:color w:val="0000E1"/>
        </w:rPr>
        <w:t xml:space="preserve">ages </w:t>
      </w:r>
      <w:r w:rsidR="00713721" w:rsidRPr="00CD5819">
        <w:rPr>
          <w:rFonts w:cstheme="minorHAnsi"/>
          <w:bCs/>
          <w:color w:val="0000E1"/>
        </w:rPr>
        <w:t>65 years and older</w:t>
      </w:r>
      <w:r w:rsidRPr="00CD5819">
        <w:rPr>
          <w:rFonts w:cstheme="minorHAnsi"/>
          <w:bCs/>
          <w:color w:val="0000E1"/>
        </w:rPr>
        <w:t xml:space="preserve">. For </w:t>
      </w:r>
      <w:r w:rsidR="00C463F0" w:rsidRPr="00CD5819">
        <w:rPr>
          <w:rFonts w:cstheme="minorHAnsi"/>
          <w:bCs/>
          <w:color w:val="0000E1"/>
        </w:rPr>
        <w:t>all therapeutic classes, over 50% of the population was female</w:t>
      </w:r>
      <w:r w:rsidR="004169D6">
        <w:rPr>
          <w:rFonts w:cstheme="minorHAnsi"/>
          <w:bCs/>
          <w:color w:val="0000E1"/>
        </w:rPr>
        <w:t>,</w:t>
      </w:r>
      <w:r w:rsidR="00C463F0" w:rsidRPr="00CD5819">
        <w:rPr>
          <w:rFonts w:cstheme="minorHAnsi"/>
          <w:bCs/>
          <w:color w:val="0000E1"/>
        </w:rPr>
        <w:t xml:space="preserve"> and </w:t>
      </w:r>
      <w:r w:rsidR="00090377" w:rsidRPr="00CD5819">
        <w:rPr>
          <w:rFonts w:cstheme="minorHAnsi"/>
          <w:bCs/>
          <w:color w:val="0000E1"/>
        </w:rPr>
        <w:t>between 75% (Diabetes) and 81% (Statins)</w:t>
      </w:r>
      <w:r w:rsidR="00C463F0" w:rsidRPr="00CD5819">
        <w:rPr>
          <w:rFonts w:cstheme="minorHAnsi"/>
          <w:bCs/>
          <w:color w:val="0000E1"/>
        </w:rPr>
        <w:t xml:space="preserve"> was white, </w:t>
      </w:r>
      <w:r w:rsidR="00713721" w:rsidRPr="00CD5819">
        <w:rPr>
          <w:rFonts w:cstheme="minorHAnsi"/>
          <w:bCs/>
          <w:color w:val="0000E1"/>
        </w:rPr>
        <w:t>with</w:t>
      </w:r>
      <w:r w:rsidR="00C463F0" w:rsidRPr="00CD5819">
        <w:rPr>
          <w:rFonts w:cstheme="minorHAnsi"/>
          <w:bCs/>
          <w:color w:val="0000E1"/>
        </w:rPr>
        <w:t xml:space="preserve"> a little more than 3% of the population’s race classified as </w:t>
      </w:r>
      <w:r w:rsidR="009F57A4">
        <w:rPr>
          <w:rFonts w:cstheme="minorHAnsi"/>
          <w:bCs/>
          <w:color w:val="0000E1"/>
        </w:rPr>
        <w:t>“</w:t>
      </w:r>
      <w:r w:rsidR="00C463F0" w:rsidRPr="00CD5819">
        <w:rPr>
          <w:rFonts w:cstheme="minorHAnsi"/>
          <w:bCs/>
          <w:color w:val="0000E1"/>
        </w:rPr>
        <w:t>other/unknown</w:t>
      </w:r>
      <w:r w:rsidR="009F57A4">
        <w:rPr>
          <w:rFonts w:cstheme="minorHAnsi"/>
          <w:bCs/>
          <w:color w:val="0000E1"/>
        </w:rPr>
        <w:t>”</w:t>
      </w:r>
      <w:r w:rsidR="00E57C81">
        <w:rPr>
          <w:rFonts w:cstheme="minorHAnsi"/>
          <w:bCs/>
          <w:color w:val="0000E1"/>
        </w:rPr>
        <w:t xml:space="preserve">. </w:t>
      </w:r>
      <w:r w:rsidR="00621D5A" w:rsidRPr="00CD5819">
        <w:rPr>
          <w:rFonts w:cstheme="minorHAnsi"/>
          <w:bCs/>
          <w:color w:val="0000E1"/>
        </w:rPr>
        <w:t>In addition</w:t>
      </w:r>
      <w:r w:rsidR="00C463F0" w:rsidRPr="00CD5819">
        <w:rPr>
          <w:rFonts w:cstheme="minorHAnsi"/>
          <w:bCs/>
          <w:color w:val="0000E1"/>
        </w:rPr>
        <w:t>, 25-30</w:t>
      </w:r>
      <w:r w:rsidRPr="00CD5819">
        <w:rPr>
          <w:rFonts w:cstheme="minorHAnsi"/>
          <w:bCs/>
          <w:color w:val="0000E1"/>
        </w:rPr>
        <w:t>% of beneficiaries had</w:t>
      </w:r>
      <w:r w:rsidR="00664327">
        <w:rPr>
          <w:rFonts w:cstheme="minorHAnsi"/>
          <w:bCs/>
          <w:color w:val="0000E1"/>
        </w:rPr>
        <w:t xml:space="preserve"> low-income subsidy</w:t>
      </w:r>
      <w:r w:rsidRPr="00CD5819">
        <w:rPr>
          <w:rFonts w:cstheme="minorHAnsi"/>
          <w:bCs/>
          <w:color w:val="0000E1"/>
        </w:rPr>
        <w:t xml:space="preserve"> </w:t>
      </w:r>
      <w:r w:rsidR="00664327">
        <w:rPr>
          <w:rFonts w:cstheme="minorHAnsi"/>
          <w:bCs/>
          <w:color w:val="0000E1"/>
        </w:rPr>
        <w:t>(</w:t>
      </w:r>
      <w:r w:rsidRPr="00CD5819">
        <w:rPr>
          <w:rFonts w:cstheme="minorHAnsi"/>
          <w:bCs/>
          <w:color w:val="0000E1"/>
        </w:rPr>
        <w:t>LIS</w:t>
      </w:r>
      <w:r w:rsidR="00664327">
        <w:rPr>
          <w:rFonts w:cstheme="minorHAnsi"/>
          <w:bCs/>
          <w:color w:val="0000E1"/>
        </w:rPr>
        <w:t>)</w:t>
      </w:r>
      <w:r w:rsidRPr="00CD5819">
        <w:rPr>
          <w:rFonts w:cstheme="minorHAnsi"/>
          <w:bCs/>
          <w:color w:val="0000E1"/>
        </w:rPr>
        <w:t xml:space="preserve"> and/or dual </w:t>
      </w:r>
      <w:r w:rsidR="00713721" w:rsidRPr="00CD5819">
        <w:rPr>
          <w:rFonts w:cstheme="minorHAnsi"/>
          <w:bCs/>
          <w:color w:val="0000E1"/>
        </w:rPr>
        <w:t xml:space="preserve">eligibility </w:t>
      </w:r>
      <w:r w:rsidRPr="00CD5819">
        <w:rPr>
          <w:rFonts w:cstheme="minorHAnsi"/>
          <w:bCs/>
          <w:color w:val="0000E1"/>
        </w:rPr>
        <w:t>status, with the Diabetes population having the largest percentage (</w:t>
      </w:r>
      <w:r w:rsidR="00713721" w:rsidRPr="00CD5819">
        <w:rPr>
          <w:rFonts w:cstheme="minorHAnsi"/>
          <w:bCs/>
          <w:color w:val="0000E1"/>
        </w:rPr>
        <w:t>30.3</w:t>
      </w:r>
      <w:r w:rsidRPr="00CD5819">
        <w:rPr>
          <w:rFonts w:cstheme="minorHAnsi"/>
          <w:bCs/>
          <w:color w:val="0000E1"/>
        </w:rPr>
        <w:t>%).</w:t>
      </w:r>
      <w:r w:rsidR="00C463F0" w:rsidRPr="00CD5819">
        <w:rPr>
          <w:rFonts w:cstheme="minorHAnsi"/>
          <w:bCs/>
          <w:color w:val="0000E1"/>
        </w:rPr>
        <w:t xml:space="preserve"> More than 10% of the population were entitled to Medicare due to disability, with the highest percentage in the Diabetes population (13.3%)</w:t>
      </w:r>
      <w:r w:rsidR="00E57C81">
        <w:rPr>
          <w:rFonts w:cstheme="minorHAnsi"/>
          <w:bCs/>
          <w:color w:val="0000E1"/>
        </w:rPr>
        <w:t xml:space="preserve">. </w:t>
      </w:r>
      <w:r w:rsidR="00621D5A" w:rsidRPr="00CD5819">
        <w:rPr>
          <w:rFonts w:cstheme="minorHAnsi"/>
          <w:bCs/>
          <w:color w:val="0000E1"/>
        </w:rPr>
        <w:t>(</w:t>
      </w:r>
      <w:r w:rsidR="005360F6" w:rsidRPr="00CD5819">
        <w:rPr>
          <w:rFonts w:cstheme="minorHAnsi"/>
          <w:bCs/>
          <w:color w:val="0000E1"/>
        </w:rPr>
        <w:t>see Table 2</w:t>
      </w:r>
      <w:r w:rsidR="00621D5A" w:rsidRPr="00CD5819">
        <w:rPr>
          <w:rFonts w:cstheme="minorHAnsi"/>
          <w:bCs/>
          <w:color w:val="0000E1"/>
        </w:rPr>
        <w:t>).</w:t>
      </w:r>
    </w:p>
    <w:p w14:paraId="5270738A" w14:textId="77777777" w:rsidR="008915E7" w:rsidRPr="00CD5819" w:rsidRDefault="008915E7" w:rsidP="00D86E7B">
      <w:pPr>
        <w:autoSpaceDE w:val="0"/>
        <w:autoSpaceDN w:val="0"/>
        <w:adjustRightInd w:val="0"/>
        <w:spacing w:after="0" w:line="240" w:lineRule="auto"/>
        <w:rPr>
          <w:rFonts w:cstheme="minorHAnsi"/>
          <w:bCs/>
          <w:color w:val="0000E1"/>
        </w:rPr>
      </w:pPr>
    </w:p>
    <w:p w14:paraId="3F0D48D4" w14:textId="77777777" w:rsidR="00621D5A" w:rsidRPr="00CD5819" w:rsidRDefault="00B92E3A" w:rsidP="00D86E7B">
      <w:pPr>
        <w:autoSpaceDE w:val="0"/>
        <w:autoSpaceDN w:val="0"/>
        <w:adjustRightInd w:val="0"/>
        <w:spacing w:after="0" w:line="240" w:lineRule="auto"/>
        <w:rPr>
          <w:rFonts w:cstheme="minorHAnsi"/>
          <w:b/>
          <w:bCs/>
          <w:color w:val="0000E1"/>
        </w:rPr>
      </w:pPr>
      <w:r w:rsidRPr="00CD5819">
        <w:rPr>
          <w:rFonts w:cstheme="minorHAnsi"/>
          <w:b/>
          <w:bCs/>
          <w:color w:val="0000E1"/>
        </w:rPr>
        <w:t xml:space="preserve">Table </w:t>
      </w:r>
      <w:r w:rsidR="00AD5A85" w:rsidRPr="00CD5819">
        <w:rPr>
          <w:rFonts w:cstheme="minorHAnsi"/>
          <w:b/>
          <w:bCs/>
          <w:color w:val="0000E1"/>
        </w:rPr>
        <w:t>2</w:t>
      </w:r>
      <w:r w:rsidRPr="00CD5819">
        <w:rPr>
          <w:rFonts w:cstheme="minorHAnsi"/>
          <w:b/>
          <w:bCs/>
          <w:color w:val="0000E1"/>
        </w:rPr>
        <w:t>. Population Characteristics for Medicare</w:t>
      </w:r>
      <w:r w:rsidR="00E62D1A" w:rsidRPr="00CD5819">
        <w:rPr>
          <w:rFonts w:cstheme="minorHAnsi"/>
          <w:b/>
          <w:bCs/>
          <w:color w:val="0000E1"/>
        </w:rPr>
        <w:t xml:space="preserve"> </w:t>
      </w:r>
      <w:r w:rsidRPr="00CD5819">
        <w:rPr>
          <w:rFonts w:cstheme="minorHAnsi"/>
          <w:b/>
          <w:bCs/>
          <w:color w:val="0000E1"/>
        </w:rPr>
        <w:t>– By Therapeutic Category</w:t>
      </w:r>
    </w:p>
    <w:tbl>
      <w:tblPr>
        <w:tblStyle w:val="TableGrid"/>
        <w:tblW w:w="9083" w:type="dxa"/>
        <w:tblInd w:w="-5" w:type="dxa"/>
        <w:tblLayout w:type="fixed"/>
        <w:tblLook w:val="04A0" w:firstRow="1" w:lastRow="0" w:firstColumn="1" w:lastColumn="0" w:noHBand="0" w:noVBand="1"/>
      </w:tblPr>
      <w:tblGrid>
        <w:gridCol w:w="2478"/>
        <w:gridCol w:w="1192"/>
        <w:gridCol w:w="1009"/>
        <w:gridCol w:w="1192"/>
        <w:gridCol w:w="1009"/>
        <w:gridCol w:w="1192"/>
        <w:gridCol w:w="1011"/>
      </w:tblGrid>
      <w:tr w:rsidR="00CD5819" w:rsidRPr="00CD5819" w14:paraId="66412E81" w14:textId="77777777" w:rsidTr="00B458FD">
        <w:trPr>
          <w:trHeight w:val="231"/>
        </w:trPr>
        <w:tc>
          <w:tcPr>
            <w:tcW w:w="2478" w:type="dxa"/>
            <w:vAlign w:val="center"/>
          </w:tcPr>
          <w:p w14:paraId="7BAFC2BB" w14:textId="77777777" w:rsidR="004C03A9" w:rsidRPr="00CD5819" w:rsidRDefault="004C03A9" w:rsidP="006B3995">
            <w:pPr>
              <w:jc w:val="center"/>
              <w:rPr>
                <w:rFonts w:cstheme="minorHAnsi"/>
                <w:b/>
                <w:color w:val="0000E1"/>
              </w:rPr>
            </w:pPr>
          </w:p>
        </w:tc>
        <w:tc>
          <w:tcPr>
            <w:tcW w:w="2201" w:type="dxa"/>
            <w:gridSpan w:val="2"/>
            <w:vAlign w:val="center"/>
          </w:tcPr>
          <w:p w14:paraId="20CE7858" w14:textId="77777777" w:rsidR="004C03A9" w:rsidRPr="00CD5819" w:rsidRDefault="004C03A9" w:rsidP="006B3995">
            <w:pPr>
              <w:jc w:val="center"/>
              <w:rPr>
                <w:rFonts w:cstheme="minorHAnsi"/>
                <w:b/>
                <w:color w:val="0000E1"/>
              </w:rPr>
            </w:pPr>
            <w:r w:rsidRPr="00CD5819">
              <w:rPr>
                <w:rFonts w:cstheme="minorHAnsi"/>
                <w:b/>
                <w:color w:val="0000E1"/>
              </w:rPr>
              <w:t>Diabetes</w:t>
            </w:r>
          </w:p>
          <w:p w14:paraId="2BEB9DEA" w14:textId="77777777" w:rsidR="004C03A9" w:rsidRPr="00CD5819" w:rsidRDefault="004C03A9" w:rsidP="006B3995">
            <w:pPr>
              <w:jc w:val="center"/>
              <w:rPr>
                <w:rFonts w:cstheme="minorHAnsi"/>
                <w:b/>
                <w:color w:val="0000E1"/>
              </w:rPr>
            </w:pPr>
            <w:r w:rsidRPr="00CD5819">
              <w:rPr>
                <w:rFonts w:cstheme="minorHAnsi"/>
                <w:b/>
                <w:color w:val="0000E1"/>
              </w:rPr>
              <w:t xml:space="preserve">(n = </w:t>
            </w:r>
            <w:r w:rsidR="00E81815" w:rsidRPr="00CD5819">
              <w:rPr>
                <w:rFonts w:cstheme="minorHAnsi"/>
                <w:b/>
                <w:color w:val="0000E1"/>
              </w:rPr>
              <w:t>268,737</w:t>
            </w:r>
            <w:r w:rsidRPr="00CD5819">
              <w:rPr>
                <w:rFonts w:cstheme="minorHAnsi"/>
                <w:b/>
                <w:color w:val="0000E1"/>
              </w:rPr>
              <w:t>)</w:t>
            </w:r>
          </w:p>
        </w:tc>
        <w:tc>
          <w:tcPr>
            <w:tcW w:w="2201" w:type="dxa"/>
            <w:gridSpan w:val="2"/>
            <w:vAlign w:val="center"/>
          </w:tcPr>
          <w:p w14:paraId="0915DA9A" w14:textId="77777777" w:rsidR="004C03A9" w:rsidRPr="00CD5819" w:rsidRDefault="004169D6" w:rsidP="006B3995">
            <w:pPr>
              <w:jc w:val="center"/>
              <w:rPr>
                <w:rFonts w:cstheme="minorHAnsi"/>
                <w:b/>
                <w:color w:val="0000E1"/>
              </w:rPr>
            </w:pPr>
            <w:r>
              <w:rPr>
                <w:rFonts w:cstheme="minorHAnsi"/>
                <w:b/>
                <w:color w:val="0000E1"/>
              </w:rPr>
              <w:t>RASA</w:t>
            </w:r>
          </w:p>
          <w:p w14:paraId="266FE917" w14:textId="77777777" w:rsidR="004C03A9" w:rsidRPr="00CD5819" w:rsidRDefault="004C03A9" w:rsidP="006B3995">
            <w:pPr>
              <w:jc w:val="center"/>
              <w:rPr>
                <w:rFonts w:cstheme="minorHAnsi"/>
                <w:b/>
                <w:color w:val="0000E1"/>
              </w:rPr>
            </w:pPr>
            <w:r w:rsidRPr="00CD5819">
              <w:rPr>
                <w:rFonts w:cstheme="minorHAnsi"/>
                <w:b/>
                <w:color w:val="0000E1"/>
              </w:rPr>
              <w:t xml:space="preserve">(n = </w:t>
            </w:r>
            <w:r w:rsidR="004169D6">
              <w:rPr>
                <w:rFonts w:cstheme="minorHAnsi"/>
                <w:b/>
                <w:color w:val="0000E1"/>
              </w:rPr>
              <w:t>775,226</w:t>
            </w:r>
            <w:r w:rsidRPr="00CD5819">
              <w:rPr>
                <w:rFonts w:cstheme="minorHAnsi"/>
                <w:b/>
                <w:color w:val="0000E1"/>
              </w:rPr>
              <w:t>)</w:t>
            </w:r>
          </w:p>
        </w:tc>
        <w:tc>
          <w:tcPr>
            <w:tcW w:w="2203" w:type="dxa"/>
            <w:gridSpan w:val="2"/>
            <w:vAlign w:val="center"/>
          </w:tcPr>
          <w:p w14:paraId="2E4DD21A" w14:textId="77777777" w:rsidR="004C03A9" w:rsidRPr="00CD5819" w:rsidRDefault="004169D6" w:rsidP="006B3995">
            <w:pPr>
              <w:jc w:val="center"/>
              <w:rPr>
                <w:rFonts w:cstheme="minorHAnsi"/>
                <w:b/>
                <w:color w:val="0000E1"/>
              </w:rPr>
            </w:pPr>
            <w:r>
              <w:rPr>
                <w:rFonts w:cstheme="minorHAnsi"/>
                <w:b/>
                <w:color w:val="0000E1"/>
              </w:rPr>
              <w:t>Statins</w:t>
            </w:r>
          </w:p>
          <w:p w14:paraId="7A81F281" w14:textId="77777777" w:rsidR="004C03A9" w:rsidRPr="00CD5819" w:rsidRDefault="004C03A9" w:rsidP="006B3995">
            <w:pPr>
              <w:jc w:val="center"/>
              <w:rPr>
                <w:rFonts w:cstheme="minorHAnsi"/>
                <w:b/>
                <w:color w:val="0000E1"/>
              </w:rPr>
            </w:pPr>
            <w:r w:rsidRPr="00CD5819">
              <w:rPr>
                <w:rFonts w:cstheme="minorHAnsi"/>
                <w:b/>
                <w:color w:val="0000E1"/>
              </w:rPr>
              <w:t xml:space="preserve">(n = </w:t>
            </w:r>
            <w:r w:rsidR="004169D6">
              <w:rPr>
                <w:rFonts w:cstheme="minorHAnsi"/>
                <w:b/>
                <w:color w:val="0000E1"/>
              </w:rPr>
              <w:t>872,736</w:t>
            </w:r>
            <w:r w:rsidRPr="00CD5819">
              <w:rPr>
                <w:rFonts w:cstheme="minorHAnsi"/>
                <w:b/>
                <w:color w:val="0000E1"/>
              </w:rPr>
              <w:t>)</w:t>
            </w:r>
          </w:p>
        </w:tc>
      </w:tr>
      <w:tr w:rsidR="00CD5819" w:rsidRPr="00CD5819" w14:paraId="6B8D1BD2" w14:textId="77777777" w:rsidTr="00B458FD">
        <w:trPr>
          <w:trHeight w:val="231"/>
        </w:trPr>
        <w:tc>
          <w:tcPr>
            <w:tcW w:w="2478" w:type="dxa"/>
            <w:vAlign w:val="center"/>
          </w:tcPr>
          <w:p w14:paraId="6DA1FD93" w14:textId="77777777" w:rsidR="004C03A9" w:rsidRPr="00CD5819" w:rsidRDefault="004C03A9" w:rsidP="00E0165F">
            <w:pPr>
              <w:rPr>
                <w:rFonts w:cstheme="minorHAnsi"/>
                <w:b/>
                <w:color w:val="0000E1"/>
              </w:rPr>
            </w:pPr>
            <w:r w:rsidRPr="00CD5819">
              <w:rPr>
                <w:rFonts w:cstheme="minorHAnsi"/>
                <w:b/>
                <w:color w:val="0000E1"/>
              </w:rPr>
              <w:t>Characteristic</w:t>
            </w:r>
          </w:p>
        </w:tc>
        <w:tc>
          <w:tcPr>
            <w:tcW w:w="1192" w:type="dxa"/>
            <w:vAlign w:val="center"/>
          </w:tcPr>
          <w:p w14:paraId="7A89F41F" w14:textId="77777777" w:rsidR="004C03A9" w:rsidRPr="00CD5819" w:rsidRDefault="004C03A9" w:rsidP="00E0165F">
            <w:pPr>
              <w:jc w:val="center"/>
              <w:rPr>
                <w:rFonts w:cstheme="minorHAnsi"/>
                <w:b/>
                <w:color w:val="0000E1"/>
              </w:rPr>
            </w:pPr>
            <w:r w:rsidRPr="00CD5819">
              <w:rPr>
                <w:rFonts w:cstheme="minorHAnsi"/>
                <w:b/>
                <w:color w:val="0000E1"/>
              </w:rPr>
              <w:t>n</w:t>
            </w:r>
          </w:p>
        </w:tc>
        <w:tc>
          <w:tcPr>
            <w:tcW w:w="1009" w:type="dxa"/>
            <w:vAlign w:val="center"/>
          </w:tcPr>
          <w:p w14:paraId="1967560E" w14:textId="77777777" w:rsidR="004C03A9" w:rsidRPr="00CD5819" w:rsidRDefault="004C03A9" w:rsidP="00E0165F">
            <w:pPr>
              <w:jc w:val="center"/>
              <w:rPr>
                <w:rFonts w:cstheme="minorHAnsi"/>
                <w:b/>
                <w:color w:val="0000E1"/>
              </w:rPr>
            </w:pPr>
            <w:r w:rsidRPr="00CD5819">
              <w:rPr>
                <w:rFonts w:cstheme="minorHAnsi"/>
                <w:b/>
                <w:color w:val="0000E1"/>
              </w:rPr>
              <w:t>%</w:t>
            </w:r>
          </w:p>
        </w:tc>
        <w:tc>
          <w:tcPr>
            <w:tcW w:w="1192" w:type="dxa"/>
            <w:vAlign w:val="center"/>
          </w:tcPr>
          <w:p w14:paraId="2C5D1641" w14:textId="77777777" w:rsidR="004C03A9" w:rsidRPr="00CD5819" w:rsidRDefault="004C03A9" w:rsidP="00E0165F">
            <w:pPr>
              <w:jc w:val="center"/>
              <w:rPr>
                <w:rFonts w:cstheme="minorHAnsi"/>
                <w:b/>
                <w:color w:val="0000E1"/>
              </w:rPr>
            </w:pPr>
            <w:r w:rsidRPr="00CD5819">
              <w:rPr>
                <w:rFonts w:cstheme="minorHAnsi"/>
                <w:b/>
                <w:color w:val="0000E1"/>
              </w:rPr>
              <w:t>n</w:t>
            </w:r>
          </w:p>
        </w:tc>
        <w:tc>
          <w:tcPr>
            <w:tcW w:w="1009" w:type="dxa"/>
            <w:vAlign w:val="center"/>
          </w:tcPr>
          <w:p w14:paraId="0A2B73D0" w14:textId="77777777" w:rsidR="004C03A9" w:rsidRPr="00CD5819" w:rsidRDefault="004C03A9" w:rsidP="00E0165F">
            <w:pPr>
              <w:jc w:val="center"/>
              <w:rPr>
                <w:rFonts w:cstheme="minorHAnsi"/>
                <w:b/>
                <w:color w:val="0000E1"/>
              </w:rPr>
            </w:pPr>
            <w:r w:rsidRPr="00CD5819">
              <w:rPr>
                <w:rFonts w:cstheme="minorHAnsi"/>
                <w:b/>
                <w:color w:val="0000E1"/>
              </w:rPr>
              <w:t>%</w:t>
            </w:r>
          </w:p>
        </w:tc>
        <w:tc>
          <w:tcPr>
            <w:tcW w:w="1192" w:type="dxa"/>
            <w:vAlign w:val="center"/>
          </w:tcPr>
          <w:p w14:paraId="4006AEE1" w14:textId="77777777" w:rsidR="004C03A9" w:rsidRPr="00CD5819" w:rsidRDefault="004C03A9" w:rsidP="00E0165F">
            <w:pPr>
              <w:jc w:val="center"/>
              <w:rPr>
                <w:rFonts w:cstheme="minorHAnsi"/>
                <w:b/>
                <w:color w:val="0000E1"/>
              </w:rPr>
            </w:pPr>
            <w:r w:rsidRPr="00CD5819">
              <w:rPr>
                <w:rFonts w:cstheme="minorHAnsi"/>
                <w:b/>
                <w:color w:val="0000E1"/>
              </w:rPr>
              <w:t>n</w:t>
            </w:r>
          </w:p>
        </w:tc>
        <w:tc>
          <w:tcPr>
            <w:tcW w:w="1011" w:type="dxa"/>
            <w:vAlign w:val="center"/>
          </w:tcPr>
          <w:p w14:paraId="5B6FD00B" w14:textId="77777777" w:rsidR="004C03A9" w:rsidRPr="00CD5819" w:rsidRDefault="004C03A9" w:rsidP="00E0165F">
            <w:pPr>
              <w:jc w:val="center"/>
              <w:rPr>
                <w:rFonts w:cstheme="minorHAnsi"/>
                <w:b/>
                <w:color w:val="0000E1"/>
              </w:rPr>
            </w:pPr>
            <w:r w:rsidRPr="00CD5819">
              <w:rPr>
                <w:rFonts w:cstheme="minorHAnsi"/>
                <w:b/>
                <w:color w:val="0000E1"/>
              </w:rPr>
              <w:t>%</w:t>
            </w:r>
          </w:p>
        </w:tc>
      </w:tr>
      <w:tr w:rsidR="00CD5819" w:rsidRPr="00CD5819" w14:paraId="32BD69F9" w14:textId="77777777" w:rsidTr="00B458FD">
        <w:trPr>
          <w:trHeight w:val="231"/>
        </w:trPr>
        <w:tc>
          <w:tcPr>
            <w:tcW w:w="2478" w:type="dxa"/>
            <w:vAlign w:val="center"/>
          </w:tcPr>
          <w:p w14:paraId="1F7141B9" w14:textId="77777777" w:rsidR="004C03A9" w:rsidRPr="00CD5819" w:rsidRDefault="004C03A9" w:rsidP="00E0165F">
            <w:pPr>
              <w:rPr>
                <w:rFonts w:cstheme="minorHAnsi"/>
                <w:b/>
                <w:color w:val="0000E1"/>
              </w:rPr>
            </w:pPr>
            <w:r w:rsidRPr="00CD5819">
              <w:rPr>
                <w:rFonts w:cstheme="minorHAnsi"/>
                <w:b/>
                <w:color w:val="0000E1"/>
              </w:rPr>
              <w:t>Age Group</w:t>
            </w:r>
          </w:p>
        </w:tc>
        <w:tc>
          <w:tcPr>
            <w:tcW w:w="1192" w:type="dxa"/>
            <w:vAlign w:val="center"/>
          </w:tcPr>
          <w:p w14:paraId="56F3288D" w14:textId="77777777" w:rsidR="004C03A9" w:rsidRPr="00CD5819" w:rsidRDefault="004C03A9" w:rsidP="00E0165F">
            <w:pPr>
              <w:rPr>
                <w:rFonts w:cstheme="minorHAnsi"/>
                <w:color w:val="0000E1"/>
              </w:rPr>
            </w:pPr>
          </w:p>
        </w:tc>
        <w:tc>
          <w:tcPr>
            <w:tcW w:w="1009" w:type="dxa"/>
            <w:vAlign w:val="center"/>
          </w:tcPr>
          <w:p w14:paraId="49679AF7" w14:textId="77777777" w:rsidR="004C03A9" w:rsidRPr="00CD5819" w:rsidRDefault="004C03A9" w:rsidP="00E0165F">
            <w:pPr>
              <w:rPr>
                <w:rFonts w:cstheme="minorHAnsi"/>
                <w:color w:val="0000E1"/>
              </w:rPr>
            </w:pPr>
          </w:p>
        </w:tc>
        <w:tc>
          <w:tcPr>
            <w:tcW w:w="1192" w:type="dxa"/>
            <w:vAlign w:val="center"/>
          </w:tcPr>
          <w:p w14:paraId="26B0C53B" w14:textId="77777777" w:rsidR="004C03A9" w:rsidRPr="00CD5819" w:rsidRDefault="004C03A9" w:rsidP="00E0165F">
            <w:pPr>
              <w:rPr>
                <w:rFonts w:cstheme="minorHAnsi"/>
                <w:color w:val="0000E1"/>
              </w:rPr>
            </w:pPr>
          </w:p>
        </w:tc>
        <w:tc>
          <w:tcPr>
            <w:tcW w:w="1009" w:type="dxa"/>
            <w:vAlign w:val="center"/>
          </w:tcPr>
          <w:p w14:paraId="668B378E" w14:textId="77777777" w:rsidR="004C03A9" w:rsidRPr="00CD5819" w:rsidRDefault="004C03A9" w:rsidP="00E0165F">
            <w:pPr>
              <w:rPr>
                <w:rFonts w:cstheme="minorHAnsi"/>
                <w:color w:val="0000E1"/>
              </w:rPr>
            </w:pPr>
          </w:p>
        </w:tc>
        <w:tc>
          <w:tcPr>
            <w:tcW w:w="1192" w:type="dxa"/>
            <w:vAlign w:val="center"/>
          </w:tcPr>
          <w:p w14:paraId="05DF3B99" w14:textId="77777777" w:rsidR="004C03A9" w:rsidRPr="00CD5819" w:rsidRDefault="004C03A9" w:rsidP="00E0165F">
            <w:pPr>
              <w:rPr>
                <w:rFonts w:cstheme="minorHAnsi"/>
                <w:color w:val="0000E1"/>
              </w:rPr>
            </w:pPr>
          </w:p>
        </w:tc>
        <w:tc>
          <w:tcPr>
            <w:tcW w:w="1011" w:type="dxa"/>
            <w:vAlign w:val="center"/>
          </w:tcPr>
          <w:p w14:paraId="5FFE1D78" w14:textId="77777777" w:rsidR="004C03A9" w:rsidRPr="00CD5819" w:rsidRDefault="004C03A9" w:rsidP="00E0165F">
            <w:pPr>
              <w:rPr>
                <w:rFonts w:cstheme="minorHAnsi"/>
                <w:color w:val="0000E1"/>
              </w:rPr>
            </w:pPr>
          </w:p>
        </w:tc>
      </w:tr>
      <w:tr w:rsidR="00B458FD" w:rsidRPr="00CD5819" w14:paraId="198BBBD7" w14:textId="77777777" w:rsidTr="00AE2BC8">
        <w:trPr>
          <w:trHeight w:val="231"/>
        </w:trPr>
        <w:tc>
          <w:tcPr>
            <w:tcW w:w="2478" w:type="dxa"/>
            <w:vAlign w:val="center"/>
          </w:tcPr>
          <w:p w14:paraId="27974615" w14:textId="77777777" w:rsidR="00B458FD" w:rsidRPr="00CD5819" w:rsidRDefault="00B458FD" w:rsidP="00B458FD">
            <w:pPr>
              <w:jc w:val="right"/>
              <w:rPr>
                <w:rFonts w:cstheme="minorHAnsi"/>
                <w:color w:val="0000E1"/>
              </w:rPr>
            </w:pPr>
            <w:r w:rsidRPr="00CD5819">
              <w:rPr>
                <w:rFonts w:cstheme="minorHAnsi"/>
                <w:color w:val="0000E1"/>
              </w:rPr>
              <w:t>18-54</w:t>
            </w:r>
          </w:p>
        </w:tc>
        <w:tc>
          <w:tcPr>
            <w:tcW w:w="1192" w:type="dxa"/>
            <w:vAlign w:val="center"/>
          </w:tcPr>
          <w:p w14:paraId="71685830" w14:textId="77777777" w:rsidR="00B458FD" w:rsidRPr="00CD5819" w:rsidRDefault="00B458FD" w:rsidP="00AE2BC8">
            <w:pPr>
              <w:jc w:val="right"/>
              <w:rPr>
                <w:rFonts w:cstheme="minorHAnsi"/>
                <w:color w:val="0000E1"/>
              </w:rPr>
            </w:pPr>
            <w:r w:rsidRPr="00CD5819">
              <w:rPr>
                <w:color w:val="0000E1"/>
              </w:rPr>
              <w:t xml:space="preserve"> 14,131 </w:t>
            </w:r>
          </w:p>
        </w:tc>
        <w:tc>
          <w:tcPr>
            <w:tcW w:w="1009" w:type="dxa"/>
            <w:vAlign w:val="center"/>
          </w:tcPr>
          <w:p w14:paraId="4B0C0AFE" w14:textId="77777777" w:rsidR="00B458FD" w:rsidRPr="00CD5819" w:rsidRDefault="00B458FD" w:rsidP="00AE2BC8">
            <w:pPr>
              <w:jc w:val="right"/>
              <w:rPr>
                <w:rFonts w:cstheme="minorHAnsi"/>
                <w:color w:val="0000E1"/>
              </w:rPr>
            </w:pPr>
            <w:r w:rsidRPr="00CD5819">
              <w:rPr>
                <w:color w:val="0000E1"/>
              </w:rPr>
              <w:t>5.3</w:t>
            </w:r>
          </w:p>
        </w:tc>
        <w:tc>
          <w:tcPr>
            <w:tcW w:w="1192" w:type="dxa"/>
            <w:vAlign w:val="center"/>
          </w:tcPr>
          <w:p w14:paraId="280E9F4C" w14:textId="77777777" w:rsidR="00B458FD" w:rsidRPr="004169D6" w:rsidRDefault="00B458FD" w:rsidP="00AE2BC8">
            <w:pPr>
              <w:jc w:val="right"/>
              <w:rPr>
                <w:rFonts w:cstheme="minorHAnsi"/>
                <w:color w:val="0000E1"/>
              </w:rPr>
            </w:pPr>
            <w:r w:rsidRPr="004169D6">
              <w:rPr>
                <w:color w:val="0000E1"/>
              </w:rPr>
              <w:t>33,571</w:t>
            </w:r>
          </w:p>
        </w:tc>
        <w:tc>
          <w:tcPr>
            <w:tcW w:w="1009" w:type="dxa"/>
            <w:vAlign w:val="center"/>
          </w:tcPr>
          <w:p w14:paraId="5401E519" w14:textId="77777777" w:rsidR="00B458FD" w:rsidRPr="004169D6" w:rsidRDefault="00B458FD" w:rsidP="00AE2BC8">
            <w:pPr>
              <w:jc w:val="right"/>
              <w:rPr>
                <w:rFonts w:cstheme="minorHAnsi"/>
                <w:color w:val="0000E1"/>
              </w:rPr>
            </w:pPr>
            <w:r w:rsidRPr="004169D6">
              <w:rPr>
                <w:color w:val="0000E1"/>
              </w:rPr>
              <w:t>4.3</w:t>
            </w:r>
          </w:p>
        </w:tc>
        <w:tc>
          <w:tcPr>
            <w:tcW w:w="1192" w:type="dxa"/>
            <w:vAlign w:val="center"/>
          </w:tcPr>
          <w:p w14:paraId="67BEDCA7" w14:textId="77777777" w:rsidR="00B458FD" w:rsidRPr="004169D6" w:rsidRDefault="00B458FD" w:rsidP="00AE2BC8">
            <w:pPr>
              <w:jc w:val="right"/>
              <w:rPr>
                <w:rFonts w:cstheme="minorHAnsi"/>
                <w:color w:val="0000E1"/>
              </w:rPr>
            </w:pPr>
            <w:r w:rsidRPr="004169D6">
              <w:rPr>
                <w:color w:val="0000E1"/>
              </w:rPr>
              <w:t>34,523</w:t>
            </w:r>
          </w:p>
        </w:tc>
        <w:tc>
          <w:tcPr>
            <w:tcW w:w="1011" w:type="dxa"/>
            <w:vAlign w:val="center"/>
          </w:tcPr>
          <w:p w14:paraId="2023D414" w14:textId="77777777" w:rsidR="00B458FD" w:rsidRPr="004169D6" w:rsidRDefault="00B458FD" w:rsidP="00AE2BC8">
            <w:pPr>
              <w:jc w:val="right"/>
              <w:rPr>
                <w:rFonts w:cstheme="minorHAnsi"/>
                <w:color w:val="0000E1"/>
              </w:rPr>
            </w:pPr>
            <w:r w:rsidRPr="004169D6">
              <w:rPr>
                <w:color w:val="0000E1"/>
              </w:rPr>
              <w:t>4.0</w:t>
            </w:r>
          </w:p>
        </w:tc>
      </w:tr>
      <w:tr w:rsidR="00B458FD" w:rsidRPr="00CD5819" w14:paraId="4060DFF3" w14:textId="77777777" w:rsidTr="00AE2BC8">
        <w:trPr>
          <w:trHeight w:val="231"/>
        </w:trPr>
        <w:tc>
          <w:tcPr>
            <w:tcW w:w="2478" w:type="dxa"/>
            <w:vAlign w:val="center"/>
          </w:tcPr>
          <w:p w14:paraId="20B1DFE7" w14:textId="77777777" w:rsidR="00B458FD" w:rsidRPr="00CD5819" w:rsidRDefault="00B458FD" w:rsidP="00B458FD">
            <w:pPr>
              <w:jc w:val="right"/>
              <w:rPr>
                <w:rFonts w:cstheme="minorHAnsi"/>
                <w:color w:val="0000E1"/>
              </w:rPr>
            </w:pPr>
            <w:r w:rsidRPr="00CD5819">
              <w:rPr>
                <w:rFonts w:cstheme="minorHAnsi"/>
                <w:color w:val="0000E1"/>
              </w:rPr>
              <w:t>55-64</w:t>
            </w:r>
          </w:p>
        </w:tc>
        <w:tc>
          <w:tcPr>
            <w:tcW w:w="1192" w:type="dxa"/>
            <w:vAlign w:val="center"/>
          </w:tcPr>
          <w:p w14:paraId="62E76E9E" w14:textId="77777777" w:rsidR="00B458FD" w:rsidRPr="00CD5819" w:rsidRDefault="00B458FD" w:rsidP="00AE2BC8">
            <w:pPr>
              <w:jc w:val="right"/>
              <w:rPr>
                <w:rFonts w:cstheme="minorHAnsi"/>
                <w:color w:val="0000E1"/>
              </w:rPr>
            </w:pPr>
            <w:r w:rsidRPr="00CD5819">
              <w:rPr>
                <w:color w:val="0000E1"/>
              </w:rPr>
              <w:t xml:space="preserve"> 29,722 </w:t>
            </w:r>
          </w:p>
        </w:tc>
        <w:tc>
          <w:tcPr>
            <w:tcW w:w="1009" w:type="dxa"/>
            <w:vAlign w:val="center"/>
          </w:tcPr>
          <w:p w14:paraId="638B8B19" w14:textId="77777777" w:rsidR="00B458FD" w:rsidRPr="00CD5819" w:rsidRDefault="00B458FD" w:rsidP="00AE2BC8">
            <w:pPr>
              <w:jc w:val="right"/>
              <w:rPr>
                <w:rFonts w:cstheme="minorHAnsi"/>
                <w:color w:val="0000E1"/>
              </w:rPr>
            </w:pPr>
            <w:r w:rsidRPr="00CD5819">
              <w:rPr>
                <w:color w:val="0000E1"/>
              </w:rPr>
              <w:t>11.1</w:t>
            </w:r>
          </w:p>
        </w:tc>
        <w:tc>
          <w:tcPr>
            <w:tcW w:w="1192" w:type="dxa"/>
            <w:vAlign w:val="center"/>
          </w:tcPr>
          <w:p w14:paraId="7B6426E7" w14:textId="77777777" w:rsidR="00B458FD" w:rsidRPr="004169D6" w:rsidRDefault="00B458FD" w:rsidP="00AE2BC8">
            <w:pPr>
              <w:jc w:val="right"/>
              <w:rPr>
                <w:rFonts w:cstheme="minorHAnsi"/>
                <w:color w:val="0000E1"/>
              </w:rPr>
            </w:pPr>
            <w:r w:rsidRPr="004169D6">
              <w:rPr>
                <w:color w:val="0000E1"/>
              </w:rPr>
              <w:t>77,487</w:t>
            </w:r>
          </w:p>
        </w:tc>
        <w:tc>
          <w:tcPr>
            <w:tcW w:w="1009" w:type="dxa"/>
            <w:vAlign w:val="center"/>
          </w:tcPr>
          <w:p w14:paraId="4C35708A" w14:textId="77777777" w:rsidR="00B458FD" w:rsidRPr="004169D6" w:rsidRDefault="00B458FD" w:rsidP="00AE2BC8">
            <w:pPr>
              <w:jc w:val="right"/>
              <w:rPr>
                <w:rFonts w:cstheme="minorHAnsi"/>
                <w:color w:val="0000E1"/>
              </w:rPr>
            </w:pPr>
            <w:r w:rsidRPr="004169D6">
              <w:rPr>
                <w:color w:val="0000E1"/>
              </w:rPr>
              <w:t>10.0</w:t>
            </w:r>
          </w:p>
        </w:tc>
        <w:tc>
          <w:tcPr>
            <w:tcW w:w="1192" w:type="dxa"/>
            <w:vAlign w:val="center"/>
          </w:tcPr>
          <w:p w14:paraId="392B4B74" w14:textId="77777777" w:rsidR="00B458FD" w:rsidRPr="004169D6" w:rsidRDefault="00B458FD" w:rsidP="00AE2BC8">
            <w:pPr>
              <w:jc w:val="right"/>
              <w:rPr>
                <w:rFonts w:cstheme="minorHAnsi"/>
                <w:color w:val="0000E1"/>
              </w:rPr>
            </w:pPr>
            <w:r w:rsidRPr="004169D6">
              <w:rPr>
                <w:color w:val="0000E1"/>
              </w:rPr>
              <w:t>83,354</w:t>
            </w:r>
          </w:p>
        </w:tc>
        <w:tc>
          <w:tcPr>
            <w:tcW w:w="1011" w:type="dxa"/>
            <w:vAlign w:val="center"/>
          </w:tcPr>
          <w:p w14:paraId="4CFA7B81" w14:textId="77777777" w:rsidR="00B458FD" w:rsidRPr="004169D6" w:rsidRDefault="00B458FD" w:rsidP="00AE2BC8">
            <w:pPr>
              <w:jc w:val="right"/>
              <w:rPr>
                <w:rFonts w:cstheme="minorHAnsi"/>
                <w:color w:val="0000E1"/>
              </w:rPr>
            </w:pPr>
            <w:r w:rsidRPr="004169D6">
              <w:rPr>
                <w:color w:val="0000E1"/>
              </w:rPr>
              <w:t>9.6</w:t>
            </w:r>
          </w:p>
        </w:tc>
      </w:tr>
      <w:tr w:rsidR="00B458FD" w:rsidRPr="00CD5819" w14:paraId="607FE06E" w14:textId="77777777" w:rsidTr="00AE2BC8">
        <w:trPr>
          <w:trHeight w:val="231"/>
        </w:trPr>
        <w:tc>
          <w:tcPr>
            <w:tcW w:w="2478" w:type="dxa"/>
            <w:vAlign w:val="center"/>
          </w:tcPr>
          <w:p w14:paraId="5F7C502E" w14:textId="77777777" w:rsidR="00B458FD" w:rsidRPr="00CD5819" w:rsidRDefault="00B458FD" w:rsidP="00B458FD">
            <w:pPr>
              <w:jc w:val="right"/>
              <w:rPr>
                <w:rFonts w:cstheme="minorHAnsi"/>
                <w:color w:val="0000E1"/>
              </w:rPr>
            </w:pPr>
            <w:r w:rsidRPr="00CD5819">
              <w:rPr>
                <w:rFonts w:cstheme="minorHAnsi"/>
                <w:color w:val="0000E1"/>
              </w:rPr>
              <w:t>65-69</w:t>
            </w:r>
          </w:p>
        </w:tc>
        <w:tc>
          <w:tcPr>
            <w:tcW w:w="1192" w:type="dxa"/>
            <w:vAlign w:val="center"/>
          </w:tcPr>
          <w:p w14:paraId="3F1CEBEC" w14:textId="77777777" w:rsidR="00B458FD" w:rsidRPr="00CD5819" w:rsidRDefault="00B458FD" w:rsidP="00AE2BC8">
            <w:pPr>
              <w:jc w:val="right"/>
              <w:rPr>
                <w:rFonts w:cstheme="minorHAnsi"/>
                <w:color w:val="0000E1"/>
              </w:rPr>
            </w:pPr>
            <w:r w:rsidRPr="00CD5819">
              <w:rPr>
                <w:color w:val="0000E1"/>
              </w:rPr>
              <w:t xml:space="preserve"> 72,778 </w:t>
            </w:r>
          </w:p>
        </w:tc>
        <w:tc>
          <w:tcPr>
            <w:tcW w:w="1009" w:type="dxa"/>
            <w:vAlign w:val="center"/>
          </w:tcPr>
          <w:p w14:paraId="53939633" w14:textId="77777777" w:rsidR="00B458FD" w:rsidRPr="00CD5819" w:rsidRDefault="00B458FD" w:rsidP="00AE2BC8">
            <w:pPr>
              <w:jc w:val="right"/>
              <w:rPr>
                <w:rFonts w:cstheme="minorHAnsi"/>
                <w:color w:val="0000E1"/>
              </w:rPr>
            </w:pPr>
            <w:r w:rsidRPr="00CD5819">
              <w:rPr>
                <w:color w:val="0000E1"/>
              </w:rPr>
              <w:t>27.1</w:t>
            </w:r>
          </w:p>
        </w:tc>
        <w:tc>
          <w:tcPr>
            <w:tcW w:w="1192" w:type="dxa"/>
            <w:vAlign w:val="center"/>
          </w:tcPr>
          <w:p w14:paraId="5FF5F7B8" w14:textId="77777777" w:rsidR="00B458FD" w:rsidRPr="004169D6" w:rsidRDefault="00B458FD" w:rsidP="00AE2BC8">
            <w:pPr>
              <w:jc w:val="right"/>
              <w:rPr>
                <w:rFonts w:cstheme="minorHAnsi"/>
                <w:color w:val="0000E1"/>
              </w:rPr>
            </w:pPr>
            <w:r w:rsidRPr="004169D6">
              <w:rPr>
                <w:color w:val="0000E1"/>
              </w:rPr>
              <w:t>201,213</w:t>
            </w:r>
          </w:p>
        </w:tc>
        <w:tc>
          <w:tcPr>
            <w:tcW w:w="1009" w:type="dxa"/>
            <w:vAlign w:val="center"/>
          </w:tcPr>
          <w:p w14:paraId="7A2D3BD6" w14:textId="77777777" w:rsidR="00B458FD" w:rsidRPr="004169D6" w:rsidRDefault="00B458FD" w:rsidP="00AE2BC8">
            <w:pPr>
              <w:jc w:val="right"/>
              <w:rPr>
                <w:rFonts w:cstheme="minorHAnsi"/>
                <w:color w:val="0000E1"/>
              </w:rPr>
            </w:pPr>
            <w:r w:rsidRPr="004169D6">
              <w:rPr>
                <w:color w:val="0000E1"/>
              </w:rPr>
              <w:t>26.0</w:t>
            </w:r>
          </w:p>
        </w:tc>
        <w:tc>
          <w:tcPr>
            <w:tcW w:w="1192" w:type="dxa"/>
            <w:vAlign w:val="center"/>
          </w:tcPr>
          <w:p w14:paraId="345D7375" w14:textId="77777777" w:rsidR="00B458FD" w:rsidRPr="004169D6" w:rsidRDefault="00B458FD" w:rsidP="00AE2BC8">
            <w:pPr>
              <w:jc w:val="right"/>
              <w:rPr>
                <w:rFonts w:cstheme="minorHAnsi"/>
                <w:color w:val="0000E1"/>
              </w:rPr>
            </w:pPr>
            <w:r w:rsidRPr="004169D6">
              <w:rPr>
                <w:color w:val="0000E1"/>
              </w:rPr>
              <w:t>226,016</w:t>
            </w:r>
          </w:p>
        </w:tc>
        <w:tc>
          <w:tcPr>
            <w:tcW w:w="1011" w:type="dxa"/>
            <w:vAlign w:val="center"/>
          </w:tcPr>
          <w:p w14:paraId="00232CF2" w14:textId="77777777" w:rsidR="00B458FD" w:rsidRPr="004169D6" w:rsidRDefault="00B458FD" w:rsidP="00AE2BC8">
            <w:pPr>
              <w:jc w:val="right"/>
              <w:rPr>
                <w:rFonts w:cstheme="minorHAnsi"/>
                <w:color w:val="0000E1"/>
              </w:rPr>
            </w:pPr>
            <w:r w:rsidRPr="004169D6">
              <w:rPr>
                <w:color w:val="0000E1"/>
              </w:rPr>
              <w:t>25.9</w:t>
            </w:r>
          </w:p>
        </w:tc>
      </w:tr>
      <w:tr w:rsidR="00B458FD" w:rsidRPr="00CD5819" w14:paraId="09643920" w14:textId="77777777" w:rsidTr="00AE2BC8">
        <w:trPr>
          <w:trHeight w:val="231"/>
        </w:trPr>
        <w:tc>
          <w:tcPr>
            <w:tcW w:w="2478" w:type="dxa"/>
            <w:vAlign w:val="center"/>
          </w:tcPr>
          <w:p w14:paraId="24D1D5B9" w14:textId="77777777" w:rsidR="00B458FD" w:rsidRPr="00CD5819" w:rsidRDefault="00B458FD" w:rsidP="00B458FD">
            <w:pPr>
              <w:jc w:val="right"/>
              <w:rPr>
                <w:rFonts w:cstheme="minorHAnsi"/>
                <w:color w:val="0000E1"/>
              </w:rPr>
            </w:pPr>
            <w:r w:rsidRPr="00CD5819">
              <w:rPr>
                <w:rFonts w:cstheme="minorHAnsi"/>
                <w:color w:val="0000E1"/>
              </w:rPr>
              <w:t>70-74</w:t>
            </w:r>
          </w:p>
        </w:tc>
        <w:tc>
          <w:tcPr>
            <w:tcW w:w="1192" w:type="dxa"/>
            <w:vAlign w:val="center"/>
          </w:tcPr>
          <w:p w14:paraId="2100E271" w14:textId="77777777" w:rsidR="00B458FD" w:rsidRPr="00CD5819" w:rsidRDefault="00B458FD" w:rsidP="00AE2BC8">
            <w:pPr>
              <w:jc w:val="right"/>
              <w:rPr>
                <w:rFonts w:cstheme="minorHAnsi"/>
                <w:color w:val="0000E1"/>
              </w:rPr>
            </w:pPr>
            <w:r w:rsidRPr="00CD5819">
              <w:rPr>
                <w:color w:val="0000E1"/>
              </w:rPr>
              <w:t xml:space="preserve"> 62,332 </w:t>
            </w:r>
          </w:p>
        </w:tc>
        <w:tc>
          <w:tcPr>
            <w:tcW w:w="1009" w:type="dxa"/>
            <w:vAlign w:val="center"/>
          </w:tcPr>
          <w:p w14:paraId="39FBC06C" w14:textId="77777777" w:rsidR="00B458FD" w:rsidRPr="00CD5819" w:rsidRDefault="00B458FD" w:rsidP="00AE2BC8">
            <w:pPr>
              <w:jc w:val="right"/>
              <w:rPr>
                <w:rFonts w:cstheme="minorHAnsi"/>
                <w:color w:val="0000E1"/>
              </w:rPr>
            </w:pPr>
            <w:r w:rsidRPr="00CD5819">
              <w:rPr>
                <w:color w:val="0000E1"/>
              </w:rPr>
              <w:t>23.2</w:t>
            </w:r>
          </w:p>
        </w:tc>
        <w:tc>
          <w:tcPr>
            <w:tcW w:w="1192" w:type="dxa"/>
            <w:vAlign w:val="center"/>
          </w:tcPr>
          <w:p w14:paraId="0A11D1FE" w14:textId="77777777" w:rsidR="00B458FD" w:rsidRPr="004169D6" w:rsidRDefault="00B458FD" w:rsidP="00AE2BC8">
            <w:pPr>
              <w:jc w:val="right"/>
              <w:rPr>
                <w:rFonts w:cstheme="minorHAnsi"/>
                <w:color w:val="0000E1"/>
              </w:rPr>
            </w:pPr>
            <w:r w:rsidRPr="004169D6">
              <w:rPr>
                <w:color w:val="0000E1"/>
              </w:rPr>
              <w:t>174,978</w:t>
            </w:r>
          </w:p>
        </w:tc>
        <w:tc>
          <w:tcPr>
            <w:tcW w:w="1009" w:type="dxa"/>
            <w:vAlign w:val="center"/>
          </w:tcPr>
          <w:p w14:paraId="68B1C02F" w14:textId="77777777" w:rsidR="00B458FD" w:rsidRPr="004169D6" w:rsidRDefault="00B458FD" w:rsidP="00AE2BC8">
            <w:pPr>
              <w:jc w:val="right"/>
              <w:rPr>
                <w:rFonts w:cstheme="minorHAnsi"/>
                <w:color w:val="0000E1"/>
              </w:rPr>
            </w:pPr>
            <w:r w:rsidRPr="004169D6">
              <w:rPr>
                <w:color w:val="0000E1"/>
              </w:rPr>
              <w:t>22.6</w:t>
            </w:r>
          </w:p>
        </w:tc>
        <w:tc>
          <w:tcPr>
            <w:tcW w:w="1192" w:type="dxa"/>
            <w:vAlign w:val="center"/>
          </w:tcPr>
          <w:p w14:paraId="0626ACC9" w14:textId="77777777" w:rsidR="00B458FD" w:rsidRPr="004169D6" w:rsidRDefault="00B458FD" w:rsidP="00AE2BC8">
            <w:pPr>
              <w:jc w:val="right"/>
              <w:rPr>
                <w:rFonts w:cstheme="minorHAnsi"/>
                <w:color w:val="0000E1"/>
              </w:rPr>
            </w:pPr>
            <w:r w:rsidRPr="004169D6">
              <w:rPr>
                <w:color w:val="0000E1"/>
              </w:rPr>
              <w:t>201,962</w:t>
            </w:r>
          </w:p>
        </w:tc>
        <w:tc>
          <w:tcPr>
            <w:tcW w:w="1011" w:type="dxa"/>
            <w:vAlign w:val="center"/>
          </w:tcPr>
          <w:p w14:paraId="14BF491A" w14:textId="77777777" w:rsidR="00B458FD" w:rsidRPr="004169D6" w:rsidRDefault="00B458FD" w:rsidP="00AE2BC8">
            <w:pPr>
              <w:jc w:val="right"/>
              <w:rPr>
                <w:rFonts w:cstheme="minorHAnsi"/>
                <w:color w:val="0000E1"/>
              </w:rPr>
            </w:pPr>
            <w:r w:rsidRPr="004169D6">
              <w:rPr>
                <w:color w:val="0000E1"/>
              </w:rPr>
              <w:t>23.1</w:t>
            </w:r>
          </w:p>
        </w:tc>
      </w:tr>
      <w:tr w:rsidR="00B458FD" w:rsidRPr="00CD5819" w14:paraId="5CA7715D" w14:textId="77777777" w:rsidTr="00AE2BC8">
        <w:trPr>
          <w:trHeight w:val="231"/>
        </w:trPr>
        <w:tc>
          <w:tcPr>
            <w:tcW w:w="2478" w:type="dxa"/>
            <w:vAlign w:val="center"/>
          </w:tcPr>
          <w:p w14:paraId="64F02976" w14:textId="77777777" w:rsidR="00B458FD" w:rsidRPr="00CD5819" w:rsidRDefault="00B458FD" w:rsidP="00B458FD">
            <w:pPr>
              <w:jc w:val="right"/>
              <w:rPr>
                <w:rFonts w:cstheme="minorHAnsi"/>
                <w:color w:val="0000E1"/>
              </w:rPr>
            </w:pPr>
            <w:r w:rsidRPr="00CD5819">
              <w:rPr>
                <w:rFonts w:cstheme="minorHAnsi"/>
                <w:color w:val="0000E1"/>
              </w:rPr>
              <w:t>75-79</w:t>
            </w:r>
          </w:p>
        </w:tc>
        <w:tc>
          <w:tcPr>
            <w:tcW w:w="1192" w:type="dxa"/>
            <w:vAlign w:val="center"/>
          </w:tcPr>
          <w:p w14:paraId="6C736D7B" w14:textId="77777777" w:rsidR="00B458FD" w:rsidRPr="00CD5819" w:rsidRDefault="00B458FD" w:rsidP="00AE2BC8">
            <w:pPr>
              <w:jc w:val="right"/>
              <w:rPr>
                <w:rFonts w:cstheme="minorHAnsi"/>
                <w:color w:val="0000E1"/>
              </w:rPr>
            </w:pPr>
            <w:r w:rsidRPr="00CD5819">
              <w:rPr>
                <w:color w:val="0000E1"/>
              </w:rPr>
              <w:t xml:space="preserve"> 44,363 </w:t>
            </w:r>
          </w:p>
        </w:tc>
        <w:tc>
          <w:tcPr>
            <w:tcW w:w="1009" w:type="dxa"/>
            <w:vAlign w:val="center"/>
          </w:tcPr>
          <w:p w14:paraId="233BEAD1" w14:textId="77777777" w:rsidR="00B458FD" w:rsidRPr="00CD5819" w:rsidRDefault="00B458FD" w:rsidP="00AE2BC8">
            <w:pPr>
              <w:jc w:val="right"/>
              <w:rPr>
                <w:rFonts w:cstheme="minorHAnsi"/>
                <w:color w:val="0000E1"/>
              </w:rPr>
            </w:pPr>
            <w:r w:rsidRPr="00CD5819">
              <w:rPr>
                <w:color w:val="0000E1"/>
              </w:rPr>
              <w:t>16.5</w:t>
            </w:r>
          </w:p>
        </w:tc>
        <w:tc>
          <w:tcPr>
            <w:tcW w:w="1192" w:type="dxa"/>
            <w:vAlign w:val="center"/>
          </w:tcPr>
          <w:p w14:paraId="4CAC1364" w14:textId="77777777" w:rsidR="00B458FD" w:rsidRPr="004169D6" w:rsidRDefault="00B458FD" w:rsidP="00AE2BC8">
            <w:pPr>
              <w:jc w:val="right"/>
              <w:rPr>
                <w:rFonts w:cstheme="minorHAnsi"/>
                <w:color w:val="0000E1"/>
              </w:rPr>
            </w:pPr>
            <w:r w:rsidRPr="004169D6">
              <w:rPr>
                <w:color w:val="0000E1"/>
              </w:rPr>
              <w:t>128,778</w:t>
            </w:r>
          </w:p>
        </w:tc>
        <w:tc>
          <w:tcPr>
            <w:tcW w:w="1009" w:type="dxa"/>
            <w:vAlign w:val="center"/>
          </w:tcPr>
          <w:p w14:paraId="0070B767" w14:textId="77777777" w:rsidR="00B458FD" w:rsidRPr="004169D6" w:rsidRDefault="00B458FD" w:rsidP="00AE2BC8">
            <w:pPr>
              <w:jc w:val="right"/>
              <w:rPr>
                <w:rFonts w:cstheme="minorHAnsi"/>
                <w:color w:val="0000E1"/>
              </w:rPr>
            </w:pPr>
            <w:r w:rsidRPr="004169D6">
              <w:rPr>
                <w:color w:val="0000E1"/>
              </w:rPr>
              <w:t>16.6</w:t>
            </w:r>
          </w:p>
        </w:tc>
        <w:tc>
          <w:tcPr>
            <w:tcW w:w="1192" w:type="dxa"/>
            <w:vAlign w:val="center"/>
          </w:tcPr>
          <w:p w14:paraId="7F38963F" w14:textId="77777777" w:rsidR="00B458FD" w:rsidRPr="004169D6" w:rsidRDefault="00B458FD" w:rsidP="00AE2BC8">
            <w:pPr>
              <w:jc w:val="right"/>
              <w:rPr>
                <w:rFonts w:cstheme="minorHAnsi"/>
                <w:color w:val="0000E1"/>
              </w:rPr>
            </w:pPr>
            <w:r w:rsidRPr="004169D6">
              <w:rPr>
                <w:color w:val="0000E1"/>
              </w:rPr>
              <w:t>149,544</w:t>
            </w:r>
          </w:p>
        </w:tc>
        <w:tc>
          <w:tcPr>
            <w:tcW w:w="1011" w:type="dxa"/>
            <w:vAlign w:val="center"/>
          </w:tcPr>
          <w:p w14:paraId="38E8F90E" w14:textId="77777777" w:rsidR="00B458FD" w:rsidRPr="004169D6" w:rsidRDefault="00B458FD" w:rsidP="00AE2BC8">
            <w:pPr>
              <w:jc w:val="right"/>
              <w:rPr>
                <w:rFonts w:cstheme="minorHAnsi"/>
                <w:color w:val="0000E1"/>
              </w:rPr>
            </w:pPr>
            <w:r w:rsidRPr="004169D6">
              <w:rPr>
                <w:color w:val="0000E1"/>
              </w:rPr>
              <w:t>17.1</w:t>
            </w:r>
          </w:p>
        </w:tc>
      </w:tr>
      <w:tr w:rsidR="00B458FD" w:rsidRPr="00CD5819" w14:paraId="45213300" w14:textId="77777777" w:rsidTr="00AE2BC8">
        <w:trPr>
          <w:trHeight w:val="231"/>
        </w:trPr>
        <w:tc>
          <w:tcPr>
            <w:tcW w:w="2478" w:type="dxa"/>
            <w:vAlign w:val="center"/>
          </w:tcPr>
          <w:p w14:paraId="1EB4F07A" w14:textId="77777777" w:rsidR="00B458FD" w:rsidRPr="00CD5819" w:rsidRDefault="00B458FD" w:rsidP="00B458FD">
            <w:pPr>
              <w:jc w:val="right"/>
              <w:rPr>
                <w:rFonts w:cstheme="minorHAnsi"/>
                <w:color w:val="0000E1"/>
              </w:rPr>
            </w:pPr>
            <w:r w:rsidRPr="00CD5819">
              <w:rPr>
                <w:rFonts w:cstheme="minorHAnsi"/>
                <w:color w:val="0000E1"/>
              </w:rPr>
              <w:t>80+</w:t>
            </w:r>
          </w:p>
        </w:tc>
        <w:tc>
          <w:tcPr>
            <w:tcW w:w="1192" w:type="dxa"/>
            <w:vAlign w:val="center"/>
          </w:tcPr>
          <w:p w14:paraId="1E7A3D2F" w14:textId="77777777" w:rsidR="00B458FD" w:rsidRPr="00CD5819" w:rsidRDefault="00B458FD" w:rsidP="00AE2BC8">
            <w:pPr>
              <w:jc w:val="right"/>
              <w:rPr>
                <w:rFonts w:cstheme="minorHAnsi"/>
                <w:color w:val="0000E1"/>
              </w:rPr>
            </w:pPr>
            <w:r w:rsidRPr="00CD5819">
              <w:rPr>
                <w:color w:val="0000E1"/>
              </w:rPr>
              <w:t xml:space="preserve"> 45,411 </w:t>
            </w:r>
          </w:p>
        </w:tc>
        <w:tc>
          <w:tcPr>
            <w:tcW w:w="1009" w:type="dxa"/>
            <w:vAlign w:val="center"/>
          </w:tcPr>
          <w:p w14:paraId="5289E4C7" w14:textId="77777777" w:rsidR="00B458FD" w:rsidRPr="00CD5819" w:rsidRDefault="00B458FD" w:rsidP="00AE2BC8">
            <w:pPr>
              <w:jc w:val="right"/>
              <w:rPr>
                <w:rFonts w:cstheme="minorHAnsi"/>
                <w:color w:val="0000E1"/>
              </w:rPr>
            </w:pPr>
            <w:r w:rsidRPr="00CD5819">
              <w:rPr>
                <w:color w:val="0000E1"/>
              </w:rPr>
              <w:t>16.9</w:t>
            </w:r>
          </w:p>
        </w:tc>
        <w:tc>
          <w:tcPr>
            <w:tcW w:w="1192" w:type="dxa"/>
            <w:vAlign w:val="center"/>
          </w:tcPr>
          <w:p w14:paraId="0F1A82AF" w14:textId="77777777" w:rsidR="00B458FD" w:rsidRPr="004169D6" w:rsidRDefault="00B458FD" w:rsidP="00AE2BC8">
            <w:pPr>
              <w:jc w:val="right"/>
              <w:rPr>
                <w:rFonts w:cstheme="minorHAnsi"/>
                <w:color w:val="0000E1"/>
              </w:rPr>
            </w:pPr>
            <w:r w:rsidRPr="004169D6">
              <w:rPr>
                <w:color w:val="0000E1"/>
              </w:rPr>
              <w:t>159,199</w:t>
            </w:r>
          </w:p>
        </w:tc>
        <w:tc>
          <w:tcPr>
            <w:tcW w:w="1009" w:type="dxa"/>
            <w:vAlign w:val="center"/>
          </w:tcPr>
          <w:p w14:paraId="071425A1" w14:textId="77777777" w:rsidR="00B458FD" w:rsidRPr="004169D6" w:rsidRDefault="00B458FD" w:rsidP="00AE2BC8">
            <w:pPr>
              <w:jc w:val="right"/>
              <w:rPr>
                <w:rFonts w:cstheme="minorHAnsi"/>
                <w:color w:val="0000E1"/>
              </w:rPr>
            </w:pPr>
            <w:r w:rsidRPr="004169D6">
              <w:rPr>
                <w:color w:val="0000E1"/>
              </w:rPr>
              <w:t>20.5</w:t>
            </w:r>
          </w:p>
        </w:tc>
        <w:tc>
          <w:tcPr>
            <w:tcW w:w="1192" w:type="dxa"/>
            <w:vAlign w:val="center"/>
          </w:tcPr>
          <w:p w14:paraId="2AF451DA" w14:textId="77777777" w:rsidR="00B458FD" w:rsidRPr="004169D6" w:rsidRDefault="00B458FD" w:rsidP="00AE2BC8">
            <w:pPr>
              <w:jc w:val="right"/>
              <w:rPr>
                <w:rFonts w:cstheme="minorHAnsi"/>
                <w:color w:val="0000E1"/>
              </w:rPr>
            </w:pPr>
            <w:r w:rsidRPr="004169D6">
              <w:rPr>
                <w:color w:val="0000E1"/>
              </w:rPr>
              <w:t>177,337</w:t>
            </w:r>
          </w:p>
        </w:tc>
        <w:tc>
          <w:tcPr>
            <w:tcW w:w="1011" w:type="dxa"/>
            <w:vAlign w:val="center"/>
          </w:tcPr>
          <w:p w14:paraId="79F4F328" w14:textId="77777777" w:rsidR="00B458FD" w:rsidRPr="004169D6" w:rsidRDefault="00B458FD" w:rsidP="00AE2BC8">
            <w:pPr>
              <w:jc w:val="right"/>
              <w:rPr>
                <w:rFonts w:cstheme="minorHAnsi"/>
                <w:color w:val="0000E1"/>
              </w:rPr>
            </w:pPr>
            <w:r w:rsidRPr="004169D6">
              <w:rPr>
                <w:color w:val="0000E1"/>
              </w:rPr>
              <w:t>20.3</w:t>
            </w:r>
          </w:p>
        </w:tc>
      </w:tr>
      <w:tr w:rsidR="00B458FD" w:rsidRPr="00CD5819" w14:paraId="7D81831F" w14:textId="77777777" w:rsidTr="00AE2BC8">
        <w:trPr>
          <w:trHeight w:val="231"/>
        </w:trPr>
        <w:tc>
          <w:tcPr>
            <w:tcW w:w="2478" w:type="dxa"/>
            <w:vAlign w:val="center"/>
          </w:tcPr>
          <w:p w14:paraId="25AE6F61" w14:textId="77777777" w:rsidR="00B458FD" w:rsidRPr="00CD5819" w:rsidRDefault="00B458FD" w:rsidP="00B458FD">
            <w:pPr>
              <w:rPr>
                <w:rFonts w:cstheme="minorHAnsi"/>
                <w:b/>
                <w:color w:val="0000E1"/>
              </w:rPr>
            </w:pPr>
            <w:r w:rsidRPr="00CD5819">
              <w:rPr>
                <w:rFonts w:cstheme="minorHAnsi"/>
                <w:b/>
                <w:color w:val="0000E1"/>
              </w:rPr>
              <w:t>Gender</w:t>
            </w:r>
          </w:p>
        </w:tc>
        <w:tc>
          <w:tcPr>
            <w:tcW w:w="1192" w:type="dxa"/>
            <w:vAlign w:val="center"/>
          </w:tcPr>
          <w:p w14:paraId="2FF390B0" w14:textId="77777777" w:rsidR="00B458FD" w:rsidRPr="00CD5819" w:rsidRDefault="00B458FD" w:rsidP="00AE2BC8">
            <w:pPr>
              <w:jc w:val="right"/>
              <w:rPr>
                <w:rFonts w:cstheme="minorHAnsi"/>
                <w:color w:val="0000E1"/>
              </w:rPr>
            </w:pPr>
          </w:p>
        </w:tc>
        <w:tc>
          <w:tcPr>
            <w:tcW w:w="1009" w:type="dxa"/>
            <w:vAlign w:val="center"/>
          </w:tcPr>
          <w:p w14:paraId="2E028F79" w14:textId="77777777" w:rsidR="00B458FD" w:rsidRPr="00CD5819" w:rsidRDefault="00B458FD" w:rsidP="00AE2BC8">
            <w:pPr>
              <w:jc w:val="right"/>
              <w:rPr>
                <w:rFonts w:cstheme="minorHAnsi"/>
                <w:color w:val="0000E1"/>
              </w:rPr>
            </w:pPr>
          </w:p>
        </w:tc>
        <w:tc>
          <w:tcPr>
            <w:tcW w:w="1192" w:type="dxa"/>
            <w:vAlign w:val="center"/>
          </w:tcPr>
          <w:p w14:paraId="3346DF23" w14:textId="77777777" w:rsidR="00B458FD" w:rsidRPr="004169D6" w:rsidRDefault="00B458FD" w:rsidP="00AE2BC8">
            <w:pPr>
              <w:jc w:val="right"/>
              <w:rPr>
                <w:rFonts w:cstheme="minorHAnsi"/>
                <w:color w:val="0000E1"/>
              </w:rPr>
            </w:pPr>
          </w:p>
        </w:tc>
        <w:tc>
          <w:tcPr>
            <w:tcW w:w="1009" w:type="dxa"/>
            <w:vAlign w:val="center"/>
          </w:tcPr>
          <w:p w14:paraId="40EB14D0" w14:textId="77777777" w:rsidR="00B458FD" w:rsidRPr="004169D6" w:rsidRDefault="00B458FD" w:rsidP="00AE2BC8">
            <w:pPr>
              <w:jc w:val="right"/>
              <w:rPr>
                <w:rFonts w:cstheme="minorHAnsi"/>
                <w:color w:val="0000E1"/>
              </w:rPr>
            </w:pPr>
          </w:p>
        </w:tc>
        <w:tc>
          <w:tcPr>
            <w:tcW w:w="1192" w:type="dxa"/>
            <w:vAlign w:val="center"/>
          </w:tcPr>
          <w:p w14:paraId="158A33E6" w14:textId="77777777" w:rsidR="00B458FD" w:rsidRPr="004169D6" w:rsidRDefault="00B458FD" w:rsidP="00AE2BC8">
            <w:pPr>
              <w:jc w:val="right"/>
              <w:rPr>
                <w:rFonts w:cstheme="minorHAnsi"/>
                <w:color w:val="0000E1"/>
              </w:rPr>
            </w:pPr>
          </w:p>
        </w:tc>
        <w:tc>
          <w:tcPr>
            <w:tcW w:w="1011" w:type="dxa"/>
            <w:vAlign w:val="center"/>
          </w:tcPr>
          <w:p w14:paraId="71F5CB34" w14:textId="77777777" w:rsidR="00B458FD" w:rsidRPr="004169D6" w:rsidRDefault="00B458FD" w:rsidP="00AE2BC8">
            <w:pPr>
              <w:jc w:val="right"/>
              <w:rPr>
                <w:rFonts w:cstheme="minorHAnsi"/>
                <w:color w:val="0000E1"/>
              </w:rPr>
            </w:pPr>
          </w:p>
        </w:tc>
      </w:tr>
      <w:tr w:rsidR="00B458FD" w:rsidRPr="00CD5819" w14:paraId="19DA9699" w14:textId="77777777" w:rsidTr="00AE2BC8">
        <w:trPr>
          <w:trHeight w:val="231"/>
        </w:trPr>
        <w:tc>
          <w:tcPr>
            <w:tcW w:w="2478" w:type="dxa"/>
            <w:vAlign w:val="center"/>
          </w:tcPr>
          <w:p w14:paraId="6C903891" w14:textId="77777777" w:rsidR="00B458FD" w:rsidRPr="00CD5819" w:rsidRDefault="00B458FD" w:rsidP="00B458FD">
            <w:pPr>
              <w:jc w:val="right"/>
              <w:rPr>
                <w:rFonts w:cstheme="minorHAnsi"/>
                <w:color w:val="0000E1"/>
              </w:rPr>
            </w:pPr>
            <w:r w:rsidRPr="00CD5819">
              <w:rPr>
                <w:rFonts w:cstheme="minorHAnsi"/>
                <w:color w:val="0000E1"/>
              </w:rPr>
              <w:t>Male</w:t>
            </w:r>
          </w:p>
        </w:tc>
        <w:tc>
          <w:tcPr>
            <w:tcW w:w="1192" w:type="dxa"/>
            <w:vAlign w:val="center"/>
          </w:tcPr>
          <w:p w14:paraId="73D6F9B3" w14:textId="77777777" w:rsidR="00B458FD" w:rsidRPr="00CD5819" w:rsidRDefault="00B458FD" w:rsidP="00AE2BC8">
            <w:pPr>
              <w:jc w:val="right"/>
              <w:rPr>
                <w:rFonts w:cstheme="minorHAnsi"/>
                <w:color w:val="0000E1"/>
              </w:rPr>
            </w:pPr>
            <w:r w:rsidRPr="00CD5819">
              <w:rPr>
                <w:color w:val="0000E1"/>
              </w:rPr>
              <w:t xml:space="preserve"> 125,356 </w:t>
            </w:r>
          </w:p>
        </w:tc>
        <w:tc>
          <w:tcPr>
            <w:tcW w:w="1009" w:type="dxa"/>
            <w:vAlign w:val="center"/>
          </w:tcPr>
          <w:p w14:paraId="19363EF1" w14:textId="77777777" w:rsidR="00B458FD" w:rsidRPr="00CD5819" w:rsidRDefault="00B458FD" w:rsidP="00AE2BC8">
            <w:pPr>
              <w:jc w:val="right"/>
              <w:rPr>
                <w:rFonts w:cstheme="minorHAnsi"/>
                <w:color w:val="0000E1"/>
              </w:rPr>
            </w:pPr>
            <w:r w:rsidRPr="00CD5819">
              <w:rPr>
                <w:color w:val="0000E1"/>
              </w:rPr>
              <w:t>46.7</w:t>
            </w:r>
          </w:p>
        </w:tc>
        <w:tc>
          <w:tcPr>
            <w:tcW w:w="1192" w:type="dxa"/>
            <w:vAlign w:val="center"/>
          </w:tcPr>
          <w:p w14:paraId="51196137" w14:textId="77777777" w:rsidR="00B458FD" w:rsidRPr="004169D6" w:rsidRDefault="00B458FD" w:rsidP="00AE2BC8">
            <w:pPr>
              <w:jc w:val="right"/>
              <w:rPr>
                <w:rFonts w:cstheme="minorHAnsi"/>
                <w:color w:val="0000E1"/>
              </w:rPr>
            </w:pPr>
            <w:r w:rsidRPr="004169D6">
              <w:rPr>
                <w:color w:val="0000E1"/>
              </w:rPr>
              <w:t>344,118</w:t>
            </w:r>
          </w:p>
        </w:tc>
        <w:tc>
          <w:tcPr>
            <w:tcW w:w="1009" w:type="dxa"/>
            <w:vAlign w:val="center"/>
          </w:tcPr>
          <w:p w14:paraId="55B367A0" w14:textId="77777777" w:rsidR="00B458FD" w:rsidRPr="004169D6" w:rsidRDefault="00B458FD" w:rsidP="00AE2BC8">
            <w:pPr>
              <w:jc w:val="right"/>
              <w:rPr>
                <w:rFonts w:cstheme="minorHAnsi"/>
                <w:color w:val="0000E1"/>
              </w:rPr>
            </w:pPr>
            <w:r w:rsidRPr="004169D6">
              <w:rPr>
                <w:color w:val="0000E1"/>
              </w:rPr>
              <w:t>44.4</w:t>
            </w:r>
          </w:p>
        </w:tc>
        <w:tc>
          <w:tcPr>
            <w:tcW w:w="1192" w:type="dxa"/>
            <w:vAlign w:val="center"/>
          </w:tcPr>
          <w:p w14:paraId="5E9B4D80" w14:textId="77777777" w:rsidR="00B458FD" w:rsidRPr="004169D6" w:rsidRDefault="00B458FD" w:rsidP="00AE2BC8">
            <w:pPr>
              <w:jc w:val="right"/>
              <w:rPr>
                <w:rFonts w:cstheme="minorHAnsi"/>
                <w:color w:val="0000E1"/>
              </w:rPr>
            </w:pPr>
            <w:r w:rsidRPr="004169D6">
              <w:rPr>
                <w:color w:val="0000E1"/>
              </w:rPr>
              <w:t>394,867</w:t>
            </w:r>
          </w:p>
        </w:tc>
        <w:tc>
          <w:tcPr>
            <w:tcW w:w="1011" w:type="dxa"/>
            <w:vAlign w:val="center"/>
          </w:tcPr>
          <w:p w14:paraId="06F90251" w14:textId="77777777" w:rsidR="00B458FD" w:rsidRPr="004169D6" w:rsidRDefault="00B458FD" w:rsidP="00AE2BC8">
            <w:pPr>
              <w:jc w:val="right"/>
              <w:rPr>
                <w:rFonts w:cstheme="minorHAnsi"/>
                <w:color w:val="0000E1"/>
              </w:rPr>
            </w:pPr>
            <w:r w:rsidRPr="004169D6">
              <w:rPr>
                <w:color w:val="0000E1"/>
              </w:rPr>
              <w:t>45.2</w:t>
            </w:r>
          </w:p>
        </w:tc>
      </w:tr>
      <w:tr w:rsidR="00B458FD" w:rsidRPr="00CD5819" w14:paraId="780C493D" w14:textId="77777777" w:rsidTr="00AE2BC8">
        <w:trPr>
          <w:trHeight w:val="231"/>
        </w:trPr>
        <w:tc>
          <w:tcPr>
            <w:tcW w:w="2478" w:type="dxa"/>
            <w:vAlign w:val="center"/>
          </w:tcPr>
          <w:p w14:paraId="71D035C2" w14:textId="77777777" w:rsidR="00B458FD" w:rsidRPr="00CD5819" w:rsidRDefault="00B458FD" w:rsidP="00B458FD">
            <w:pPr>
              <w:rPr>
                <w:rFonts w:cstheme="minorHAnsi"/>
                <w:b/>
                <w:color w:val="0000E1"/>
              </w:rPr>
            </w:pPr>
            <w:r w:rsidRPr="00CD5819">
              <w:rPr>
                <w:rFonts w:cstheme="minorHAnsi"/>
                <w:b/>
                <w:color w:val="0000E1"/>
              </w:rPr>
              <w:t>Race</w:t>
            </w:r>
          </w:p>
        </w:tc>
        <w:tc>
          <w:tcPr>
            <w:tcW w:w="1192" w:type="dxa"/>
            <w:vAlign w:val="center"/>
          </w:tcPr>
          <w:p w14:paraId="5BAB4CEF" w14:textId="77777777" w:rsidR="00B458FD" w:rsidRPr="00CD5819" w:rsidRDefault="00B458FD" w:rsidP="00AE2BC8">
            <w:pPr>
              <w:jc w:val="right"/>
              <w:rPr>
                <w:rFonts w:cstheme="minorHAnsi"/>
                <w:color w:val="0000E1"/>
              </w:rPr>
            </w:pPr>
          </w:p>
        </w:tc>
        <w:tc>
          <w:tcPr>
            <w:tcW w:w="1009" w:type="dxa"/>
            <w:vAlign w:val="center"/>
          </w:tcPr>
          <w:p w14:paraId="55B35799" w14:textId="77777777" w:rsidR="00B458FD" w:rsidRPr="00CD5819" w:rsidRDefault="00B458FD" w:rsidP="00AE2BC8">
            <w:pPr>
              <w:jc w:val="right"/>
              <w:rPr>
                <w:rFonts w:cstheme="minorHAnsi"/>
                <w:color w:val="0000E1"/>
              </w:rPr>
            </w:pPr>
          </w:p>
        </w:tc>
        <w:tc>
          <w:tcPr>
            <w:tcW w:w="1192" w:type="dxa"/>
            <w:vAlign w:val="center"/>
          </w:tcPr>
          <w:p w14:paraId="5C345C33" w14:textId="77777777" w:rsidR="00B458FD" w:rsidRPr="004169D6" w:rsidRDefault="00B458FD" w:rsidP="00AE2BC8">
            <w:pPr>
              <w:jc w:val="right"/>
              <w:rPr>
                <w:rFonts w:cstheme="minorHAnsi"/>
                <w:color w:val="0000E1"/>
              </w:rPr>
            </w:pPr>
          </w:p>
        </w:tc>
        <w:tc>
          <w:tcPr>
            <w:tcW w:w="1009" w:type="dxa"/>
            <w:vAlign w:val="center"/>
          </w:tcPr>
          <w:p w14:paraId="5FC205A3" w14:textId="77777777" w:rsidR="00B458FD" w:rsidRPr="004169D6" w:rsidRDefault="00B458FD" w:rsidP="00AE2BC8">
            <w:pPr>
              <w:jc w:val="right"/>
              <w:rPr>
                <w:rFonts w:cstheme="minorHAnsi"/>
                <w:color w:val="0000E1"/>
              </w:rPr>
            </w:pPr>
          </w:p>
        </w:tc>
        <w:tc>
          <w:tcPr>
            <w:tcW w:w="1192" w:type="dxa"/>
            <w:vAlign w:val="center"/>
          </w:tcPr>
          <w:p w14:paraId="315F3ABF" w14:textId="77777777" w:rsidR="00B458FD" w:rsidRPr="004169D6" w:rsidRDefault="00B458FD" w:rsidP="00AE2BC8">
            <w:pPr>
              <w:jc w:val="right"/>
              <w:rPr>
                <w:rFonts w:cstheme="minorHAnsi"/>
                <w:color w:val="0000E1"/>
              </w:rPr>
            </w:pPr>
          </w:p>
        </w:tc>
        <w:tc>
          <w:tcPr>
            <w:tcW w:w="1011" w:type="dxa"/>
            <w:vAlign w:val="center"/>
          </w:tcPr>
          <w:p w14:paraId="2D5D86E2" w14:textId="77777777" w:rsidR="00B458FD" w:rsidRPr="004169D6" w:rsidRDefault="00B458FD" w:rsidP="00AE2BC8">
            <w:pPr>
              <w:jc w:val="right"/>
              <w:rPr>
                <w:rFonts w:cstheme="minorHAnsi"/>
                <w:color w:val="0000E1"/>
              </w:rPr>
            </w:pPr>
          </w:p>
        </w:tc>
      </w:tr>
      <w:tr w:rsidR="00B458FD" w:rsidRPr="00CD5819" w14:paraId="0BBC2C95" w14:textId="77777777" w:rsidTr="00AE2BC8">
        <w:trPr>
          <w:trHeight w:val="231"/>
        </w:trPr>
        <w:tc>
          <w:tcPr>
            <w:tcW w:w="2478" w:type="dxa"/>
            <w:vAlign w:val="center"/>
          </w:tcPr>
          <w:p w14:paraId="0A62B1C2" w14:textId="77777777" w:rsidR="00B458FD" w:rsidRPr="00CD5819" w:rsidRDefault="00B458FD" w:rsidP="00B458FD">
            <w:pPr>
              <w:jc w:val="right"/>
              <w:rPr>
                <w:rFonts w:cstheme="minorHAnsi"/>
                <w:color w:val="0000E1"/>
              </w:rPr>
            </w:pPr>
            <w:r w:rsidRPr="00CD5819">
              <w:rPr>
                <w:rFonts w:cstheme="minorHAnsi"/>
                <w:color w:val="0000E1"/>
                <w:kern w:val="24"/>
              </w:rPr>
              <w:t>White</w:t>
            </w:r>
          </w:p>
        </w:tc>
        <w:tc>
          <w:tcPr>
            <w:tcW w:w="1192" w:type="dxa"/>
            <w:vAlign w:val="center"/>
          </w:tcPr>
          <w:p w14:paraId="074A180D" w14:textId="77777777" w:rsidR="00B458FD" w:rsidRPr="00CD5819" w:rsidRDefault="00B458FD" w:rsidP="00AE2BC8">
            <w:pPr>
              <w:jc w:val="right"/>
              <w:rPr>
                <w:rFonts w:cstheme="minorHAnsi"/>
                <w:color w:val="0000E1"/>
              </w:rPr>
            </w:pPr>
            <w:r w:rsidRPr="00CD5819">
              <w:rPr>
                <w:color w:val="0000E1"/>
              </w:rPr>
              <w:t xml:space="preserve"> 200,254 </w:t>
            </w:r>
          </w:p>
        </w:tc>
        <w:tc>
          <w:tcPr>
            <w:tcW w:w="1009" w:type="dxa"/>
            <w:vAlign w:val="center"/>
          </w:tcPr>
          <w:p w14:paraId="40896385" w14:textId="77777777" w:rsidR="00B458FD" w:rsidRPr="00CD5819" w:rsidRDefault="00B458FD" w:rsidP="00AE2BC8">
            <w:pPr>
              <w:jc w:val="right"/>
              <w:rPr>
                <w:rFonts w:cstheme="minorHAnsi"/>
                <w:color w:val="0000E1"/>
              </w:rPr>
            </w:pPr>
            <w:r w:rsidRPr="00CD5819">
              <w:rPr>
                <w:color w:val="0000E1"/>
              </w:rPr>
              <w:t>74.5</w:t>
            </w:r>
          </w:p>
        </w:tc>
        <w:tc>
          <w:tcPr>
            <w:tcW w:w="1192" w:type="dxa"/>
            <w:vAlign w:val="center"/>
          </w:tcPr>
          <w:p w14:paraId="71BBB304" w14:textId="77777777" w:rsidR="00B458FD" w:rsidRPr="004169D6" w:rsidRDefault="00B458FD" w:rsidP="00AE2BC8">
            <w:pPr>
              <w:jc w:val="right"/>
              <w:rPr>
                <w:rFonts w:cstheme="minorHAnsi"/>
                <w:color w:val="0000E1"/>
              </w:rPr>
            </w:pPr>
            <w:r w:rsidRPr="004169D6">
              <w:rPr>
                <w:color w:val="0000E1"/>
              </w:rPr>
              <w:t>618,035</w:t>
            </w:r>
          </w:p>
        </w:tc>
        <w:tc>
          <w:tcPr>
            <w:tcW w:w="1009" w:type="dxa"/>
            <w:vAlign w:val="center"/>
          </w:tcPr>
          <w:p w14:paraId="48CF8827" w14:textId="77777777" w:rsidR="00B458FD" w:rsidRPr="004169D6" w:rsidRDefault="00B458FD" w:rsidP="00AE2BC8">
            <w:pPr>
              <w:jc w:val="right"/>
              <w:rPr>
                <w:rFonts w:cstheme="minorHAnsi"/>
                <w:color w:val="0000E1"/>
              </w:rPr>
            </w:pPr>
            <w:r w:rsidRPr="004169D6">
              <w:rPr>
                <w:color w:val="0000E1"/>
              </w:rPr>
              <w:t>79.7</w:t>
            </w:r>
          </w:p>
        </w:tc>
        <w:tc>
          <w:tcPr>
            <w:tcW w:w="1192" w:type="dxa"/>
            <w:vAlign w:val="center"/>
          </w:tcPr>
          <w:p w14:paraId="5CA728FE" w14:textId="77777777" w:rsidR="00B458FD" w:rsidRPr="004169D6" w:rsidRDefault="00B458FD" w:rsidP="00AE2BC8">
            <w:pPr>
              <w:jc w:val="right"/>
              <w:rPr>
                <w:rFonts w:cstheme="minorHAnsi"/>
                <w:color w:val="0000E1"/>
              </w:rPr>
            </w:pPr>
            <w:r w:rsidRPr="004169D6">
              <w:rPr>
                <w:color w:val="0000E1"/>
              </w:rPr>
              <w:t>710,176</w:t>
            </w:r>
          </w:p>
        </w:tc>
        <w:tc>
          <w:tcPr>
            <w:tcW w:w="1011" w:type="dxa"/>
            <w:vAlign w:val="center"/>
          </w:tcPr>
          <w:p w14:paraId="13DC7689" w14:textId="77777777" w:rsidR="00B458FD" w:rsidRPr="004169D6" w:rsidRDefault="00B458FD" w:rsidP="00AE2BC8">
            <w:pPr>
              <w:jc w:val="right"/>
              <w:rPr>
                <w:rFonts w:cstheme="minorHAnsi"/>
                <w:color w:val="0000E1"/>
              </w:rPr>
            </w:pPr>
            <w:r w:rsidRPr="004169D6">
              <w:rPr>
                <w:color w:val="0000E1"/>
              </w:rPr>
              <w:t>81.4</w:t>
            </w:r>
          </w:p>
        </w:tc>
      </w:tr>
      <w:tr w:rsidR="00B458FD" w:rsidRPr="00CD5819" w14:paraId="7A2D44C1" w14:textId="77777777" w:rsidTr="00AE2BC8">
        <w:trPr>
          <w:trHeight w:val="231"/>
        </w:trPr>
        <w:tc>
          <w:tcPr>
            <w:tcW w:w="2478" w:type="dxa"/>
            <w:vAlign w:val="center"/>
          </w:tcPr>
          <w:p w14:paraId="4D06F631" w14:textId="77777777" w:rsidR="00B458FD" w:rsidRPr="00CD5819" w:rsidRDefault="00B458FD" w:rsidP="00B458FD">
            <w:pPr>
              <w:jc w:val="right"/>
              <w:rPr>
                <w:rFonts w:cstheme="minorHAnsi"/>
                <w:color w:val="0000E1"/>
              </w:rPr>
            </w:pPr>
            <w:r w:rsidRPr="00CD5819">
              <w:rPr>
                <w:rFonts w:cstheme="minorHAnsi"/>
                <w:color w:val="0000E1"/>
                <w:kern w:val="24"/>
              </w:rPr>
              <w:t>Black</w:t>
            </w:r>
          </w:p>
        </w:tc>
        <w:tc>
          <w:tcPr>
            <w:tcW w:w="1192" w:type="dxa"/>
            <w:vAlign w:val="center"/>
          </w:tcPr>
          <w:p w14:paraId="1F1F9A22" w14:textId="77777777" w:rsidR="00B458FD" w:rsidRPr="00CD5819" w:rsidRDefault="00B458FD" w:rsidP="00AE2BC8">
            <w:pPr>
              <w:jc w:val="right"/>
              <w:rPr>
                <w:rFonts w:cstheme="minorHAnsi"/>
                <w:color w:val="0000E1"/>
              </w:rPr>
            </w:pPr>
            <w:r w:rsidRPr="00CD5819">
              <w:rPr>
                <w:color w:val="0000E1"/>
              </w:rPr>
              <w:t xml:space="preserve"> 35,529 </w:t>
            </w:r>
          </w:p>
        </w:tc>
        <w:tc>
          <w:tcPr>
            <w:tcW w:w="1009" w:type="dxa"/>
            <w:vAlign w:val="center"/>
          </w:tcPr>
          <w:p w14:paraId="1A68C626" w14:textId="77777777" w:rsidR="00B458FD" w:rsidRPr="00CD5819" w:rsidRDefault="00B458FD" w:rsidP="00AE2BC8">
            <w:pPr>
              <w:jc w:val="right"/>
              <w:rPr>
                <w:rFonts w:cstheme="minorHAnsi"/>
                <w:color w:val="0000E1"/>
              </w:rPr>
            </w:pPr>
            <w:r w:rsidRPr="00CD5819">
              <w:rPr>
                <w:color w:val="0000E1"/>
              </w:rPr>
              <w:t>13.2</w:t>
            </w:r>
          </w:p>
        </w:tc>
        <w:tc>
          <w:tcPr>
            <w:tcW w:w="1192" w:type="dxa"/>
            <w:vAlign w:val="center"/>
          </w:tcPr>
          <w:p w14:paraId="40865155" w14:textId="77777777" w:rsidR="00B458FD" w:rsidRPr="004169D6" w:rsidRDefault="00B458FD" w:rsidP="00AE2BC8">
            <w:pPr>
              <w:jc w:val="right"/>
              <w:rPr>
                <w:rFonts w:cstheme="minorHAnsi"/>
                <w:color w:val="0000E1"/>
              </w:rPr>
            </w:pPr>
            <w:r w:rsidRPr="004169D6">
              <w:rPr>
                <w:color w:val="0000E1"/>
              </w:rPr>
              <w:t>87,017</w:t>
            </w:r>
          </w:p>
        </w:tc>
        <w:tc>
          <w:tcPr>
            <w:tcW w:w="1009" w:type="dxa"/>
            <w:vAlign w:val="center"/>
          </w:tcPr>
          <w:p w14:paraId="7BEB0630" w14:textId="77777777" w:rsidR="00B458FD" w:rsidRPr="004169D6" w:rsidRDefault="00B458FD" w:rsidP="00AE2BC8">
            <w:pPr>
              <w:jc w:val="right"/>
              <w:rPr>
                <w:rFonts w:cstheme="minorHAnsi"/>
                <w:color w:val="0000E1"/>
              </w:rPr>
            </w:pPr>
            <w:r w:rsidRPr="004169D6">
              <w:rPr>
                <w:color w:val="0000E1"/>
              </w:rPr>
              <w:t>11.2</w:t>
            </w:r>
          </w:p>
        </w:tc>
        <w:tc>
          <w:tcPr>
            <w:tcW w:w="1192" w:type="dxa"/>
            <w:vAlign w:val="center"/>
          </w:tcPr>
          <w:p w14:paraId="02595740" w14:textId="77777777" w:rsidR="00B458FD" w:rsidRPr="004169D6" w:rsidRDefault="00B458FD" w:rsidP="00AE2BC8">
            <w:pPr>
              <w:jc w:val="right"/>
              <w:rPr>
                <w:rFonts w:cstheme="minorHAnsi"/>
                <w:color w:val="0000E1"/>
              </w:rPr>
            </w:pPr>
            <w:r w:rsidRPr="004169D6">
              <w:rPr>
                <w:color w:val="0000E1"/>
              </w:rPr>
              <w:t>83,130</w:t>
            </w:r>
          </w:p>
        </w:tc>
        <w:tc>
          <w:tcPr>
            <w:tcW w:w="1011" w:type="dxa"/>
            <w:vAlign w:val="center"/>
          </w:tcPr>
          <w:p w14:paraId="3874F6CF" w14:textId="77777777" w:rsidR="00B458FD" w:rsidRPr="004169D6" w:rsidRDefault="00B458FD" w:rsidP="00AE2BC8">
            <w:pPr>
              <w:jc w:val="right"/>
              <w:rPr>
                <w:rFonts w:cstheme="minorHAnsi"/>
                <w:color w:val="0000E1"/>
              </w:rPr>
            </w:pPr>
            <w:r w:rsidRPr="004169D6">
              <w:rPr>
                <w:color w:val="0000E1"/>
              </w:rPr>
              <w:t>9.5</w:t>
            </w:r>
          </w:p>
        </w:tc>
      </w:tr>
      <w:tr w:rsidR="00B458FD" w:rsidRPr="00CD5819" w14:paraId="2FA56C49" w14:textId="77777777" w:rsidTr="00AE2BC8">
        <w:trPr>
          <w:trHeight w:val="231"/>
        </w:trPr>
        <w:tc>
          <w:tcPr>
            <w:tcW w:w="2478" w:type="dxa"/>
            <w:vAlign w:val="center"/>
          </w:tcPr>
          <w:p w14:paraId="35B3A3FD" w14:textId="77777777" w:rsidR="00B458FD" w:rsidRPr="00CD5819" w:rsidRDefault="00B458FD" w:rsidP="00B458FD">
            <w:pPr>
              <w:jc w:val="right"/>
              <w:rPr>
                <w:rFonts w:cstheme="minorHAnsi"/>
                <w:color w:val="0000E1"/>
              </w:rPr>
            </w:pPr>
            <w:r w:rsidRPr="00CD5819">
              <w:rPr>
                <w:rFonts w:cstheme="minorHAnsi"/>
                <w:color w:val="0000E1"/>
                <w:kern w:val="24"/>
              </w:rPr>
              <w:t>Asian</w:t>
            </w:r>
          </w:p>
        </w:tc>
        <w:tc>
          <w:tcPr>
            <w:tcW w:w="1192" w:type="dxa"/>
            <w:vAlign w:val="center"/>
          </w:tcPr>
          <w:p w14:paraId="47A6EEC3" w14:textId="77777777" w:rsidR="00B458FD" w:rsidRPr="00CD5819" w:rsidRDefault="00B458FD" w:rsidP="00AE2BC8">
            <w:pPr>
              <w:jc w:val="right"/>
              <w:rPr>
                <w:rFonts w:cstheme="minorHAnsi"/>
                <w:color w:val="0000E1"/>
              </w:rPr>
            </w:pPr>
            <w:r w:rsidRPr="00CD5819">
              <w:rPr>
                <w:color w:val="0000E1"/>
              </w:rPr>
              <w:t xml:space="preserve"> 9,885 </w:t>
            </w:r>
          </w:p>
        </w:tc>
        <w:tc>
          <w:tcPr>
            <w:tcW w:w="1009" w:type="dxa"/>
            <w:vAlign w:val="center"/>
          </w:tcPr>
          <w:p w14:paraId="6A227E1D" w14:textId="77777777" w:rsidR="00B458FD" w:rsidRPr="00CD5819" w:rsidRDefault="00B458FD" w:rsidP="00AE2BC8">
            <w:pPr>
              <w:jc w:val="right"/>
              <w:rPr>
                <w:rFonts w:cstheme="minorHAnsi"/>
                <w:color w:val="0000E1"/>
              </w:rPr>
            </w:pPr>
            <w:r w:rsidRPr="00CD5819">
              <w:rPr>
                <w:color w:val="0000E1"/>
              </w:rPr>
              <w:t>3.7</w:t>
            </w:r>
          </w:p>
        </w:tc>
        <w:tc>
          <w:tcPr>
            <w:tcW w:w="1192" w:type="dxa"/>
            <w:vAlign w:val="center"/>
          </w:tcPr>
          <w:p w14:paraId="484CFF1E" w14:textId="77777777" w:rsidR="00B458FD" w:rsidRPr="004169D6" w:rsidRDefault="00B458FD" w:rsidP="00AE2BC8">
            <w:pPr>
              <w:jc w:val="right"/>
              <w:rPr>
                <w:rFonts w:cstheme="minorHAnsi"/>
                <w:color w:val="0000E1"/>
              </w:rPr>
            </w:pPr>
            <w:r w:rsidRPr="004169D6">
              <w:rPr>
                <w:color w:val="0000E1"/>
              </w:rPr>
              <w:t>18,425</w:t>
            </w:r>
          </w:p>
        </w:tc>
        <w:tc>
          <w:tcPr>
            <w:tcW w:w="1009" w:type="dxa"/>
            <w:vAlign w:val="center"/>
          </w:tcPr>
          <w:p w14:paraId="4CE400E8" w14:textId="77777777" w:rsidR="00B458FD" w:rsidRPr="004169D6" w:rsidRDefault="00B458FD" w:rsidP="00AE2BC8">
            <w:pPr>
              <w:jc w:val="right"/>
              <w:rPr>
                <w:rFonts w:cstheme="minorHAnsi"/>
                <w:color w:val="0000E1"/>
              </w:rPr>
            </w:pPr>
            <w:r w:rsidRPr="004169D6">
              <w:rPr>
                <w:color w:val="0000E1"/>
              </w:rPr>
              <w:t>2.4</w:t>
            </w:r>
          </w:p>
        </w:tc>
        <w:tc>
          <w:tcPr>
            <w:tcW w:w="1192" w:type="dxa"/>
            <w:vAlign w:val="center"/>
          </w:tcPr>
          <w:p w14:paraId="6203AA68" w14:textId="77777777" w:rsidR="00B458FD" w:rsidRPr="004169D6" w:rsidRDefault="00B458FD" w:rsidP="00AE2BC8">
            <w:pPr>
              <w:jc w:val="right"/>
              <w:rPr>
                <w:rFonts w:cstheme="minorHAnsi"/>
                <w:color w:val="0000E1"/>
              </w:rPr>
            </w:pPr>
            <w:r w:rsidRPr="004169D6">
              <w:rPr>
                <w:color w:val="0000E1"/>
              </w:rPr>
              <w:t>23,072</w:t>
            </w:r>
          </w:p>
        </w:tc>
        <w:tc>
          <w:tcPr>
            <w:tcW w:w="1011" w:type="dxa"/>
            <w:vAlign w:val="center"/>
          </w:tcPr>
          <w:p w14:paraId="41AD47B9" w14:textId="77777777" w:rsidR="00B458FD" w:rsidRPr="004169D6" w:rsidRDefault="00B458FD" w:rsidP="00AE2BC8">
            <w:pPr>
              <w:jc w:val="right"/>
              <w:rPr>
                <w:rFonts w:cstheme="minorHAnsi"/>
                <w:color w:val="0000E1"/>
              </w:rPr>
            </w:pPr>
            <w:r w:rsidRPr="004169D6">
              <w:rPr>
                <w:color w:val="0000E1"/>
              </w:rPr>
              <w:t>2.6</w:t>
            </w:r>
          </w:p>
        </w:tc>
      </w:tr>
      <w:tr w:rsidR="00B458FD" w:rsidRPr="00CD5819" w14:paraId="76827AF1" w14:textId="77777777" w:rsidTr="00AE2BC8">
        <w:trPr>
          <w:trHeight w:val="231"/>
        </w:trPr>
        <w:tc>
          <w:tcPr>
            <w:tcW w:w="2478" w:type="dxa"/>
            <w:vAlign w:val="center"/>
          </w:tcPr>
          <w:p w14:paraId="7837EB75" w14:textId="77777777" w:rsidR="00B458FD" w:rsidRPr="00CD5819" w:rsidRDefault="00B458FD" w:rsidP="00B458FD">
            <w:pPr>
              <w:jc w:val="right"/>
              <w:rPr>
                <w:rFonts w:cstheme="minorHAnsi"/>
                <w:color w:val="0000E1"/>
              </w:rPr>
            </w:pPr>
            <w:r w:rsidRPr="00CD5819">
              <w:rPr>
                <w:rFonts w:cstheme="minorHAnsi"/>
                <w:color w:val="0000E1"/>
                <w:kern w:val="24"/>
              </w:rPr>
              <w:t>Hispanic</w:t>
            </w:r>
          </w:p>
        </w:tc>
        <w:tc>
          <w:tcPr>
            <w:tcW w:w="1192" w:type="dxa"/>
            <w:vAlign w:val="center"/>
          </w:tcPr>
          <w:p w14:paraId="1450D786" w14:textId="77777777" w:rsidR="00B458FD" w:rsidRPr="00CD5819" w:rsidRDefault="00B458FD" w:rsidP="00AE2BC8">
            <w:pPr>
              <w:jc w:val="right"/>
              <w:rPr>
                <w:rFonts w:cstheme="minorHAnsi"/>
                <w:color w:val="0000E1"/>
              </w:rPr>
            </w:pPr>
            <w:r w:rsidRPr="00CD5819">
              <w:rPr>
                <w:color w:val="0000E1"/>
              </w:rPr>
              <w:t xml:space="preserve"> 11,157 </w:t>
            </w:r>
          </w:p>
        </w:tc>
        <w:tc>
          <w:tcPr>
            <w:tcW w:w="1009" w:type="dxa"/>
            <w:vAlign w:val="center"/>
          </w:tcPr>
          <w:p w14:paraId="7C68F86F" w14:textId="77777777" w:rsidR="00B458FD" w:rsidRPr="00CD5819" w:rsidRDefault="00B458FD" w:rsidP="00AE2BC8">
            <w:pPr>
              <w:jc w:val="right"/>
              <w:rPr>
                <w:rFonts w:cstheme="minorHAnsi"/>
                <w:color w:val="0000E1"/>
              </w:rPr>
            </w:pPr>
            <w:r w:rsidRPr="00CD5819">
              <w:rPr>
                <w:color w:val="0000E1"/>
              </w:rPr>
              <w:t>4.2</w:t>
            </w:r>
          </w:p>
        </w:tc>
        <w:tc>
          <w:tcPr>
            <w:tcW w:w="1192" w:type="dxa"/>
            <w:vAlign w:val="center"/>
          </w:tcPr>
          <w:p w14:paraId="620FA279" w14:textId="77777777" w:rsidR="00B458FD" w:rsidRPr="004169D6" w:rsidRDefault="00B458FD" w:rsidP="00AE2BC8">
            <w:pPr>
              <w:jc w:val="right"/>
              <w:rPr>
                <w:rFonts w:cstheme="minorHAnsi"/>
                <w:color w:val="0000E1"/>
              </w:rPr>
            </w:pPr>
            <w:r w:rsidRPr="004169D6">
              <w:rPr>
                <w:color w:val="0000E1"/>
              </w:rPr>
              <w:t>23,601</w:t>
            </w:r>
          </w:p>
        </w:tc>
        <w:tc>
          <w:tcPr>
            <w:tcW w:w="1009" w:type="dxa"/>
            <w:vAlign w:val="center"/>
          </w:tcPr>
          <w:p w14:paraId="0CD8E862" w14:textId="77777777" w:rsidR="00B458FD" w:rsidRPr="004169D6" w:rsidRDefault="00B458FD" w:rsidP="00AE2BC8">
            <w:pPr>
              <w:jc w:val="right"/>
              <w:rPr>
                <w:rFonts w:cstheme="minorHAnsi"/>
                <w:color w:val="0000E1"/>
              </w:rPr>
            </w:pPr>
            <w:r w:rsidRPr="004169D6">
              <w:rPr>
                <w:color w:val="0000E1"/>
              </w:rPr>
              <w:t>3.0</w:t>
            </w:r>
          </w:p>
        </w:tc>
        <w:tc>
          <w:tcPr>
            <w:tcW w:w="1192" w:type="dxa"/>
            <w:vAlign w:val="center"/>
          </w:tcPr>
          <w:p w14:paraId="7857A4B5" w14:textId="77777777" w:rsidR="00B458FD" w:rsidRPr="004169D6" w:rsidRDefault="00B458FD" w:rsidP="00AE2BC8">
            <w:pPr>
              <w:jc w:val="right"/>
              <w:rPr>
                <w:rFonts w:cstheme="minorHAnsi"/>
                <w:color w:val="0000E1"/>
              </w:rPr>
            </w:pPr>
            <w:r w:rsidRPr="004169D6">
              <w:rPr>
                <w:color w:val="0000E1"/>
              </w:rPr>
              <w:t>23,930</w:t>
            </w:r>
          </w:p>
        </w:tc>
        <w:tc>
          <w:tcPr>
            <w:tcW w:w="1011" w:type="dxa"/>
            <w:vAlign w:val="center"/>
          </w:tcPr>
          <w:p w14:paraId="55569AEE" w14:textId="77777777" w:rsidR="00B458FD" w:rsidRPr="004169D6" w:rsidRDefault="00B458FD" w:rsidP="00AE2BC8">
            <w:pPr>
              <w:jc w:val="right"/>
              <w:rPr>
                <w:rFonts w:cstheme="minorHAnsi"/>
                <w:color w:val="0000E1"/>
              </w:rPr>
            </w:pPr>
            <w:r w:rsidRPr="004169D6">
              <w:rPr>
                <w:color w:val="0000E1"/>
              </w:rPr>
              <w:t>2.7</w:t>
            </w:r>
          </w:p>
        </w:tc>
      </w:tr>
      <w:tr w:rsidR="00B458FD" w:rsidRPr="00CD5819" w14:paraId="67791A84" w14:textId="77777777" w:rsidTr="00AE2BC8">
        <w:trPr>
          <w:trHeight w:val="231"/>
        </w:trPr>
        <w:tc>
          <w:tcPr>
            <w:tcW w:w="2478" w:type="dxa"/>
            <w:vAlign w:val="center"/>
          </w:tcPr>
          <w:p w14:paraId="06B371A1" w14:textId="77777777" w:rsidR="00B458FD" w:rsidRPr="00CD5819" w:rsidRDefault="00B458FD" w:rsidP="00B458FD">
            <w:pPr>
              <w:jc w:val="right"/>
              <w:rPr>
                <w:rFonts w:cstheme="minorHAnsi"/>
                <w:color w:val="0000E1"/>
              </w:rPr>
            </w:pPr>
            <w:r w:rsidRPr="00CD5819">
              <w:rPr>
                <w:rFonts w:cstheme="minorHAnsi"/>
                <w:color w:val="0000E1"/>
                <w:kern w:val="24"/>
              </w:rPr>
              <w:t>North American Native</w:t>
            </w:r>
          </w:p>
        </w:tc>
        <w:tc>
          <w:tcPr>
            <w:tcW w:w="1192" w:type="dxa"/>
            <w:vAlign w:val="center"/>
          </w:tcPr>
          <w:p w14:paraId="2D1AED8E" w14:textId="77777777" w:rsidR="00B458FD" w:rsidRPr="00CD5819" w:rsidRDefault="00B458FD" w:rsidP="00AE2BC8">
            <w:pPr>
              <w:jc w:val="right"/>
              <w:rPr>
                <w:rFonts w:cstheme="minorHAnsi"/>
                <w:color w:val="0000E1"/>
              </w:rPr>
            </w:pPr>
            <w:r w:rsidRPr="00CD5819">
              <w:rPr>
                <w:color w:val="0000E1"/>
              </w:rPr>
              <w:t xml:space="preserve"> 1,072 </w:t>
            </w:r>
          </w:p>
        </w:tc>
        <w:tc>
          <w:tcPr>
            <w:tcW w:w="1009" w:type="dxa"/>
            <w:vAlign w:val="center"/>
          </w:tcPr>
          <w:p w14:paraId="7D181FAC" w14:textId="77777777" w:rsidR="00B458FD" w:rsidRPr="00CD5819" w:rsidRDefault="00B458FD" w:rsidP="00AE2BC8">
            <w:pPr>
              <w:jc w:val="right"/>
              <w:rPr>
                <w:rFonts w:cstheme="minorHAnsi"/>
                <w:color w:val="0000E1"/>
              </w:rPr>
            </w:pPr>
            <w:r w:rsidRPr="00CD5819">
              <w:rPr>
                <w:color w:val="0000E1"/>
              </w:rPr>
              <w:t>0.4</w:t>
            </w:r>
          </w:p>
        </w:tc>
        <w:tc>
          <w:tcPr>
            <w:tcW w:w="1192" w:type="dxa"/>
            <w:vAlign w:val="center"/>
          </w:tcPr>
          <w:p w14:paraId="21840771" w14:textId="77777777" w:rsidR="00B458FD" w:rsidRPr="004169D6" w:rsidRDefault="00B458FD" w:rsidP="00AE2BC8">
            <w:pPr>
              <w:jc w:val="right"/>
              <w:rPr>
                <w:rFonts w:cstheme="minorHAnsi"/>
                <w:color w:val="0000E1"/>
              </w:rPr>
            </w:pPr>
            <w:r w:rsidRPr="004169D6">
              <w:rPr>
                <w:color w:val="0000E1"/>
              </w:rPr>
              <w:t>2,798</w:t>
            </w:r>
          </w:p>
        </w:tc>
        <w:tc>
          <w:tcPr>
            <w:tcW w:w="1009" w:type="dxa"/>
            <w:vAlign w:val="center"/>
          </w:tcPr>
          <w:p w14:paraId="611E3A90" w14:textId="77777777" w:rsidR="00B458FD" w:rsidRPr="004169D6" w:rsidRDefault="00B458FD" w:rsidP="00AE2BC8">
            <w:pPr>
              <w:jc w:val="right"/>
              <w:rPr>
                <w:rFonts w:cstheme="minorHAnsi"/>
                <w:color w:val="0000E1"/>
              </w:rPr>
            </w:pPr>
            <w:r w:rsidRPr="004169D6">
              <w:rPr>
                <w:color w:val="0000E1"/>
              </w:rPr>
              <w:t>0.4</w:t>
            </w:r>
          </w:p>
        </w:tc>
        <w:tc>
          <w:tcPr>
            <w:tcW w:w="1192" w:type="dxa"/>
            <w:vAlign w:val="center"/>
          </w:tcPr>
          <w:p w14:paraId="5FB98F36" w14:textId="77777777" w:rsidR="00B458FD" w:rsidRPr="004169D6" w:rsidRDefault="00B458FD" w:rsidP="00AE2BC8">
            <w:pPr>
              <w:jc w:val="right"/>
              <w:rPr>
                <w:rFonts w:cstheme="minorHAnsi"/>
                <w:color w:val="0000E1"/>
              </w:rPr>
            </w:pPr>
            <w:r w:rsidRPr="004169D6">
              <w:rPr>
                <w:color w:val="0000E1"/>
              </w:rPr>
              <w:t>2,661</w:t>
            </w:r>
          </w:p>
        </w:tc>
        <w:tc>
          <w:tcPr>
            <w:tcW w:w="1011" w:type="dxa"/>
            <w:vAlign w:val="center"/>
          </w:tcPr>
          <w:p w14:paraId="6CB7EFD8" w14:textId="77777777" w:rsidR="00B458FD" w:rsidRPr="004169D6" w:rsidRDefault="00B458FD" w:rsidP="00AE2BC8">
            <w:pPr>
              <w:jc w:val="right"/>
              <w:rPr>
                <w:rFonts w:cstheme="minorHAnsi"/>
                <w:color w:val="0000E1"/>
              </w:rPr>
            </w:pPr>
            <w:r w:rsidRPr="004169D6">
              <w:rPr>
                <w:color w:val="0000E1"/>
              </w:rPr>
              <w:t>0.3</w:t>
            </w:r>
          </w:p>
        </w:tc>
      </w:tr>
      <w:tr w:rsidR="00B458FD" w:rsidRPr="00CD5819" w14:paraId="09F61BEB" w14:textId="77777777" w:rsidTr="00AE2BC8">
        <w:trPr>
          <w:trHeight w:val="231"/>
        </w:trPr>
        <w:tc>
          <w:tcPr>
            <w:tcW w:w="2478" w:type="dxa"/>
            <w:vAlign w:val="center"/>
          </w:tcPr>
          <w:p w14:paraId="2BFB2D45" w14:textId="77777777" w:rsidR="00B458FD" w:rsidRPr="00CD5819" w:rsidRDefault="00B458FD" w:rsidP="00B458FD">
            <w:pPr>
              <w:jc w:val="right"/>
              <w:rPr>
                <w:rFonts w:cstheme="minorHAnsi"/>
                <w:color w:val="0000E1"/>
              </w:rPr>
            </w:pPr>
            <w:r w:rsidRPr="00CD5819">
              <w:rPr>
                <w:rFonts w:cstheme="minorHAnsi"/>
                <w:color w:val="0000E1"/>
                <w:kern w:val="24"/>
              </w:rPr>
              <w:t>Other</w:t>
            </w:r>
          </w:p>
        </w:tc>
        <w:tc>
          <w:tcPr>
            <w:tcW w:w="1192" w:type="dxa"/>
            <w:vAlign w:val="center"/>
          </w:tcPr>
          <w:p w14:paraId="5E047872" w14:textId="77777777" w:rsidR="00B458FD" w:rsidRPr="00CD5819" w:rsidRDefault="00B458FD" w:rsidP="00AE2BC8">
            <w:pPr>
              <w:jc w:val="right"/>
              <w:rPr>
                <w:rFonts w:cstheme="minorHAnsi"/>
                <w:color w:val="0000E1"/>
              </w:rPr>
            </w:pPr>
            <w:r w:rsidRPr="00CD5819">
              <w:rPr>
                <w:color w:val="0000E1"/>
              </w:rPr>
              <w:t xml:space="preserve"> 7,203 </w:t>
            </w:r>
          </w:p>
        </w:tc>
        <w:tc>
          <w:tcPr>
            <w:tcW w:w="1009" w:type="dxa"/>
            <w:vAlign w:val="center"/>
          </w:tcPr>
          <w:p w14:paraId="6C8D9915" w14:textId="77777777" w:rsidR="00B458FD" w:rsidRPr="00CD5819" w:rsidRDefault="00B458FD" w:rsidP="00AE2BC8">
            <w:pPr>
              <w:jc w:val="right"/>
              <w:rPr>
                <w:rFonts w:cstheme="minorHAnsi"/>
                <w:color w:val="0000E1"/>
              </w:rPr>
            </w:pPr>
            <w:r w:rsidRPr="00CD5819">
              <w:rPr>
                <w:color w:val="0000E1"/>
              </w:rPr>
              <w:t>2.7</w:t>
            </w:r>
          </w:p>
        </w:tc>
        <w:tc>
          <w:tcPr>
            <w:tcW w:w="1192" w:type="dxa"/>
            <w:vAlign w:val="center"/>
          </w:tcPr>
          <w:p w14:paraId="0F36BB82" w14:textId="77777777" w:rsidR="00B458FD" w:rsidRPr="004169D6" w:rsidRDefault="00B458FD" w:rsidP="00AE2BC8">
            <w:pPr>
              <w:jc w:val="right"/>
              <w:rPr>
                <w:rFonts w:cstheme="minorHAnsi"/>
                <w:color w:val="0000E1"/>
              </w:rPr>
            </w:pPr>
            <w:r w:rsidRPr="004169D6">
              <w:rPr>
                <w:color w:val="0000E1"/>
              </w:rPr>
              <w:t>15,145</w:t>
            </w:r>
          </w:p>
        </w:tc>
        <w:tc>
          <w:tcPr>
            <w:tcW w:w="1009" w:type="dxa"/>
            <w:vAlign w:val="center"/>
          </w:tcPr>
          <w:p w14:paraId="41C42DE3" w14:textId="77777777" w:rsidR="00B458FD" w:rsidRPr="004169D6" w:rsidRDefault="00B458FD" w:rsidP="00AE2BC8">
            <w:pPr>
              <w:jc w:val="right"/>
              <w:rPr>
                <w:rFonts w:cstheme="minorHAnsi"/>
                <w:color w:val="0000E1"/>
              </w:rPr>
            </w:pPr>
            <w:r w:rsidRPr="004169D6">
              <w:rPr>
                <w:color w:val="0000E1"/>
              </w:rPr>
              <w:t>2.0</w:t>
            </w:r>
          </w:p>
        </w:tc>
        <w:tc>
          <w:tcPr>
            <w:tcW w:w="1192" w:type="dxa"/>
            <w:vAlign w:val="center"/>
          </w:tcPr>
          <w:p w14:paraId="1E213821" w14:textId="77777777" w:rsidR="00B458FD" w:rsidRPr="004169D6" w:rsidRDefault="00B458FD" w:rsidP="00AE2BC8">
            <w:pPr>
              <w:jc w:val="right"/>
              <w:rPr>
                <w:rFonts w:cstheme="minorHAnsi"/>
                <w:color w:val="0000E1"/>
              </w:rPr>
            </w:pPr>
            <w:r w:rsidRPr="004169D6">
              <w:rPr>
                <w:color w:val="0000E1"/>
              </w:rPr>
              <w:t>17,565</w:t>
            </w:r>
          </w:p>
        </w:tc>
        <w:tc>
          <w:tcPr>
            <w:tcW w:w="1011" w:type="dxa"/>
            <w:vAlign w:val="center"/>
          </w:tcPr>
          <w:p w14:paraId="7B731B95" w14:textId="77777777" w:rsidR="00B458FD" w:rsidRPr="004169D6" w:rsidRDefault="00B458FD" w:rsidP="00AE2BC8">
            <w:pPr>
              <w:jc w:val="right"/>
              <w:rPr>
                <w:rFonts w:cstheme="minorHAnsi"/>
                <w:color w:val="0000E1"/>
              </w:rPr>
            </w:pPr>
            <w:r w:rsidRPr="004169D6">
              <w:rPr>
                <w:color w:val="0000E1"/>
              </w:rPr>
              <w:t>2.0</w:t>
            </w:r>
          </w:p>
        </w:tc>
      </w:tr>
      <w:tr w:rsidR="00B458FD" w:rsidRPr="00CD5819" w14:paraId="074C96A4" w14:textId="77777777" w:rsidTr="00AE2BC8">
        <w:trPr>
          <w:trHeight w:val="231"/>
        </w:trPr>
        <w:tc>
          <w:tcPr>
            <w:tcW w:w="2478" w:type="dxa"/>
            <w:vAlign w:val="center"/>
          </w:tcPr>
          <w:p w14:paraId="4199B25B" w14:textId="77777777" w:rsidR="00B458FD" w:rsidRPr="00CD5819" w:rsidRDefault="00B458FD" w:rsidP="00B458FD">
            <w:pPr>
              <w:jc w:val="right"/>
              <w:rPr>
                <w:rFonts w:cstheme="minorHAnsi"/>
                <w:color w:val="0000E1"/>
              </w:rPr>
            </w:pPr>
            <w:r w:rsidRPr="00CD5819">
              <w:rPr>
                <w:rFonts w:cstheme="minorHAnsi"/>
                <w:color w:val="0000E1"/>
              </w:rPr>
              <w:t>Unknown</w:t>
            </w:r>
          </w:p>
        </w:tc>
        <w:tc>
          <w:tcPr>
            <w:tcW w:w="1192" w:type="dxa"/>
            <w:vAlign w:val="center"/>
          </w:tcPr>
          <w:p w14:paraId="405C1870" w14:textId="77777777" w:rsidR="00B458FD" w:rsidRPr="00CD5819" w:rsidRDefault="00B458FD" w:rsidP="00AE2BC8">
            <w:pPr>
              <w:jc w:val="right"/>
              <w:rPr>
                <w:rFonts w:cstheme="minorHAnsi"/>
                <w:color w:val="0000E1"/>
              </w:rPr>
            </w:pPr>
            <w:r w:rsidRPr="00CD5819">
              <w:rPr>
                <w:color w:val="0000E1"/>
              </w:rPr>
              <w:t xml:space="preserve"> 3,637 </w:t>
            </w:r>
          </w:p>
        </w:tc>
        <w:tc>
          <w:tcPr>
            <w:tcW w:w="1009" w:type="dxa"/>
            <w:vAlign w:val="center"/>
          </w:tcPr>
          <w:p w14:paraId="28225030" w14:textId="77777777" w:rsidR="00B458FD" w:rsidRPr="00CD5819" w:rsidRDefault="00B458FD" w:rsidP="00AE2BC8">
            <w:pPr>
              <w:jc w:val="right"/>
              <w:rPr>
                <w:rFonts w:cstheme="minorHAnsi"/>
                <w:color w:val="0000E1"/>
              </w:rPr>
            </w:pPr>
            <w:r w:rsidRPr="00CD5819">
              <w:rPr>
                <w:color w:val="0000E1"/>
              </w:rPr>
              <w:t>1.4</w:t>
            </w:r>
          </w:p>
        </w:tc>
        <w:tc>
          <w:tcPr>
            <w:tcW w:w="1192" w:type="dxa"/>
            <w:vAlign w:val="center"/>
          </w:tcPr>
          <w:p w14:paraId="476B1090" w14:textId="77777777" w:rsidR="00B458FD" w:rsidRPr="004169D6" w:rsidRDefault="00B458FD" w:rsidP="00AE2BC8">
            <w:pPr>
              <w:jc w:val="right"/>
              <w:rPr>
                <w:rFonts w:cstheme="minorHAnsi"/>
                <w:color w:val="0000E1"/>
              </w:rPr>
            </w:pPr>
            <w:r w:rsidRPr="004169D6">
              <w:rPr>
                <w:color w:val="0000E1"/>
              </w:rPr>
              <w:t>10,205</w:t>
            </w:r>
          </w:p>
        </w:tc>
        <w:tc>
          <w:tcPr>
            <w:tcW w:w="1009" w:type="dxa"/>
            <w:vAlign w:val="center"/>
          </w:tcPr>
          <w:p w14:paraId="716736F5" w14:textId="77777777" w:rsidR="00B458FD" w:rsidRPr="004169D6" w:rsidRDefault="00B458FD" w:rsidP="00AE2BC8">
            <w:pPr>
              <w:jc w:val="right"/>
              <w:rPr>
                <w:rFonts w:cstheme="minorHAnsi"/>
                <w:color w:val="0000E1"/>
              </w:rPr>
            </w:pPr>
            <w:r w:rsidRPr="004169D6">
              <w:rPr>
                <w:color w:val="0000E1"/>
              </w:rPr>
              <w:t>1.3</w:t>
            </w:r>
          </w:p>
        </w:tc>
        <w:tc>
          <w:tcPr>
            <w:tcW w:w="1192" w:type="dxa"/>
            <w:vAlign w:val="center"/>
          </w:tcPr>
          <w:p w14:paraId="1FB43C42" w14:textId="77777777" w:rsidR="00B458FD" w:rsidRPr="004169D6" w:rsidRDefault="00B458FD" w:rsidP="00AE2BC8">
            <w:pPr>
              <w:jc w:val="right"/>
              <w:rPr>
                <w:rFonts w:cstheme="minorHAnsi"/>
                <w:color w:val="0000E1"/>
              </w:rPr>
            </w:pPr>
            <w:r w:rsidRPr="004169D6">
              <w:rPr>
                <w:color w:val="0000E1"/>
              </w:rPr>
              <w:t>12,202</w:t>
            </w:r>
          </w:p>
        </w:tc>
        <w:tc>
          <w:tcPr>
            <w:tcW w:w="1011" w:type="dxa"/>
            <w:vAlign w:val="center"/>
          </w:tcPr>
          <w:p w14:paraId="60786F24" w14:textId="77777777" w:rsidR="00B458FD" w:rsidRPr="004169D6" w:rsidRDefault="00B458FD" w:rsidP="00AE2BC8">
            <w:pPr>
              <w:jc w:val="right"/>
              <w:rPr>
                <w:rFonts w:cstheme="minorHAnsi"/>
                <w:color w:val="0000E1"/>
              </w:rPr>
            </w:pPr>
            <w:r w:rsidRPr="004169D6">
              <w:rPr>
                <w:color w:val="0000E1"/>
              </w:rPr>
              <w:t>1.4</w:t>
            </w:r>
          </w:p>
        </w:tc>
      </w:tr>
      <w:tr w:rsidR="00B458FD" w:rsidRPr="00CD5819" w14:paraId="4EE05E8E" w14:textId="77777777" w:rsidTr="00AE2BC8">
        <w:trPr>
          <w:trHeight w:val="231"/>
        </w:trPr>
        <w:tc>
          <w:tcPr>
            <w:tcW w:w="2478" w:type="dxa"/>
            <w:vAlign w:val="center"/>
          </w:tcPr>
          <w:p w14:paraId="203BCDE6" w14:textId="77777777" w:rsidR="00B458FD" w:rsidRPr="00CD5819" w:rsidRDefault="00B458FD" w:rsidP="00B458FD">
            <w:pPr>
              <w:rPr>
                <w:rFonts w:cstheme="minorHAnsi"/>
                <w:b/>
                <w:color w:val="0000E1"/>
              </w:rPr>
            </w:pPr>
            <w:r w:rsidRPr="00CD5819">
              <w:rPr>
                <w:rFonts w:cstheme="minorHAnsi"/>
                <w:b/>
                <w:color w:val="0000E1"/>
              </w:rPr>
              <w:t xml:space="preserve">LIS and/or Dual </w:t>
            </w:r>
          </w:p>
        </w:tc>
        <w:tc>
          <w:tcPr>
            <w:tcW w:w="1192" w:type="dxa"/>
            <w:vAlign w:val="center"/>
          </w:tcPr>
          <w:p w14:paraId="3156AC80" w14:textId="77777777" w:rsidR="00B458FD" w:rsidRPr="00CD5819" w:rsidRDefault="00B458FD" w:rsidP="00AE2BC8">
            <w:pPr>
              <w:jc w:val="right"/>
              <w:rPr>
                <w:rFonts w:cstheme="minorHAnsi"/>
                <w:color w:val="0000E1"/>
              </w:rPr>
            </w:pPr>
            <w:r w:rsidRPr="00CD5819">
              <w:rPr>
                <w:color w:val="0000E1"/>
              </w:rPr>
              <w:t xml:space="preserve"> 81,294 </w:t>
            </w:r>
          </w:p>
        </w:tc>
        <w:tc>
          <w:tcPr>
            <w:tcW w:w="1009" w:type="dxa"/>
            <w:vAlign w:val="center"/>
          </w:tcPr>
          <w:p w14:paraId="652469F6" w14:textId="77777777" w:rsidR="00B458FD" w:rsidRPr="00CD5819" w:rsidRDefault="00B458FD" w:rsidP="00AE2BC8">
            <w:pPr>
              <w:jc w:val="right"/>
              <w:rPr>
                <w:rFonts w:cstheme="minorHAnsi"/>
                <w:color w:val="0000E1"/>
              </w:rPr>
            </w:pPr>
            <w:r w:rsidRPr="00CD5819">
              <w:rPr>
                <w:color w:val="0000E1"/>
              </w:rPr>
              <w:t>30.3</w:t>
            </w:r>
          </w:p>
        </w:tc>
        <w:tc>
          <w:tcPr>
            <w:tcW w:w="1192" w:type="dxa"/>
            <w:vAlign w:val="center"/>
          </w:tcPr>
          <w:p w14:paraId="4101FCCD" w14:textId="77777777" w:rsidR="00B458FD" w:rsidRPr="004169D6" w:rsidRDefault="00B458FD" w:rsidP="00AE2BC8">
            <w:pPr>
              <w:jc w:val="right"/>
              <w:rPr>
                <w:rFonts w:cstheme="minorHAnsi"/>
                <w:color w:val="0000E1"/>
              </w:rPr>
            </w:pPr>
            <w:r w:rsidRPr="004169D6">
              <w:rPr>
                <w:color w:val="0000E1"/>
              </w:rPr>
              <w:t>200,902</w:t>
            </w:r>
          </w:p>
        </w:tc>
        <w:tc>
          <w:tcPr>
            <w:tcW w:w="1009" w:type="dxa"/>
            <w:vAlign w:val="center"/>
          </w:tcPr>
          <w:p w14:paraId="044C16AC" w14:textId="77777777" w:rsidR="00B458FD" w:rsidRPr="004169D6" w:rsidRDefault="00B458FD" w:rsidP="00AE2BC8">
            <w:pPr>
              <w:jc w:val="right"/>
              <w:rPr>
                <w:rFonts w:cstheme="minorHAnsi"/>
                <w:color w:val="0000E1"/>
              </w:rPr>
            </w:pPr>
            <w:r w:rsidRPr="004169D6">
              <w:rPr>
                <w:color w:val="0000E1"/>
              </w:rPr>
              <w:t>25.9</w:t>
            </w:r>
          </w:p>
        </w:tc>
        <w:tc>
          <w:tcPr>
            <w:tcW w:w="1192" w:type="dxa"/>
            <w:vAlign w:val="center"/>
          </w:tcPr>
          <w:p w14:paraId="760E81EC" w14:textId="77777777" w:rsidR="00B458FD" w:rsidRPr="004169D6" w:rsidRDefault="00B458FD" w:rsidP="00AE2BC8">
            <w:pPr>
              <w:jc w:val="right"/>
              <w:rPr>
                <w:rFonts w:cstheme="minorHAnsi"/>
                <w:color w:val="0000E1"/>
              </w:rPr>
            </w:pPr>
            <w:r w:rsidRPr="004169D6">
              <w:rPr>
                <w:color w:val="0000E1"/>
              </w:rPr>
              <w:t>219,056</w:t>
            </w:r>
          </w:p>
        </w:tc>
        <w:tc>
          <w:tcPr>
            <w:tcW w:w="1011" w:type="dxa"/>
            <w:vAlign w:val="center"/>
          </w:tcPr>
          <w:p w14:paraId="259B38D7" w14:textId="77777777" w:rsidR="00B458FD" w:rsidRPr="004169D6" w:rsidRDefault="00B458FD" w:rsidP="00AE2BC8">
            <w:pPr>
              <w:jc w:val="right"/>
              <w:rPr>
                <w:rFonts w:cstheme="minorHAnsi"/>
                <w:color w:val="0000E1"/>
              </w:rPr>
            </w:pPr>
            <w:r w:rsidRPr="004169D6">
              <w:rPr>
                <w:color w:val="0000E1"/>
              </w:rPr>
              <w:t>25.1</w:t>
            </w:r>
          </w:p>
        </w:tc>
      </w:tr>
      <w:tr w:rsidR="00B458FD" w:rsidRPr="00CD5819" w14:paraId="0E8B245A" w14:textId="77777777" w:rsidTr="00D86E7B">
        <w:trPr>
          <w:trHeight w:val="231"/>
        </w:trPr>
        <w:tc>
          <w:tcPr>
            <w:tcW w:w="2478" w:type="dxa"/>
            <w:tcBorders>
              <w:bottom w:val="single" w:sz="4" w:space="0" w:color="auto"/>
            </w:tcBorders>
          </w:tcPr>
          <w:p w14:paraId="10984E3F" w14:textId="77777777" w:rsidR="00B458FD" w:rsidRPr="00CD5819" w:rsidRDefault="00B458FD" w:rsidP="00B458FD">
            <w:pPr>
              <w:rPr>
                <w:rFonts w:cstheme="minorHAnsi"/>
                <w:b/>
                <w:color w:val="0000E1"/>
              </w:rPr>
            </w:pPr>
            <w:r w:rsidRPr="00CD5819">
              <w:rPr>
                <w:rFonts w:cstheme="minorHAnsi"/>
                <w:b/>
                <w:color w:val="0000E1"/>
              </w:rPr>
              <w:t>Disability as reason for Medicare entitlement</w:t>
            </w:r>
          </w:p>
        </w:tc>
        <w:tc>
          <w:tcPr>
            <w:tcW w:w="1192" w:type="dxa"/>
            <w:tcBorders>
              <w:bottom w:val="single" w:sz="4" w:space="0" w:color="auto"/>
            </w:tcBorders>
            <w:vAlign w:val="center"/>
          </w:tcPr>
          <w:p w14:paraId="3DFE8680" w14:textId="77777777" w:rsidR="00B458FD" w:rsidRPr="00CD5819" w:rsidRDefault="00B458FD" w:rsidP="00AE2BC8">
            <w:pPr>
              <w:jc w:val="right"/>
              <w:rPr>
                <w:rFonts w:cstheme="minorHAnsi"/>
                <w:color w:val="0000E1"/>
              </w:rPr>
            </w:pPr>
            <w:r w:rsidRPr="00CD5819">
              <w:rPr>
                <w:color w:val="0000E1"/>
              </w:rPr>
              <w:t xml:space="preserve"> 35,606 </w:t>
            </w:r>
          </w:p>
        </w:tc>
        <w:tc>
          <w:tcPr>
            <w:tcW w:w="1009" w:type="dxa"/>
            <w:tcBorders>
              <w:bottom w:val="single" w:sz="4" w:space="0" w:color="auto"/>
            </w:tcBorders>
            <w:vAlign w:val="center"/>
          </w:tcPr>
          <w:p w14:paraId="687ABE81" w14:textId="77777777" w:rsidR="00B458FD" w:rsidRPr="00CD5819" w:rsidRDefault="00B458FD" w:rsidP="00AE2BC8">
            <w:pPr>
              <w:jc w:val="right"/>
              <w:rPr>
                <w:rFonts w:cstheme="minorHAnsi"/>
                <w:color w:val="0000E1"/>
              </w:rPr>
            </w:pPr>
            <w:r w:rsidRPr="00CD5819">
              <w:rPr>
                <w:color w:val="0000E1"/>
              </w:rPr>
              <w:t>13.3</w:t>
            </w:r>
          </w:p>
        </w:tc>
        <w:tc>
          <w:tcPr>
            <w:tcW w:w="1192" w:type="dxa"/>
            <w:tcBorders>
              <w:bottom w:val="single" w:sz="4" w:space="0" w:color="auto"/>
            </w:tcBorders>
            <w:vAlign w:val="center"/>
          </w:tcPr>
          <w:p w14:paraId="47EB4B2E" w14:textId="77777777" w:rsidR="00B458FD" w:rsidRPr="004169D6" w:rsidRDefault="00B458FD" w:rsidP="00AE2BC8">
            <w:pPr>
              <w:jc w:val="right"/>
              <w:rPr>
                <w:rFonts w:cstheme="minorHAnsi"/>
                <w:color w:val="0000E1"/>
              </w:rPr>
            </w:pPr>
            <w:r w:rsidRPr="004169D6">
              <w:rPr>
                <w:color w:val="0000E1"/>
              </w:rPr>
              <w:t>88,690</w:t>
            </w:r>
          </w:p>
        </w:tc>
        <w:tc>
          <w:tcPr>
            <w:tcW w:w="1009" w:type="dxa"/>
            <w:tcBorders>
              <w:bottom w:val="single" w:sz="4" w:space="0" w:color="auto"/>
            </w:tcBorders>
            <w:vAlign w:val="center"/>
          </w:tcPr>
          <w:p w14:paraId="28B00844" w14:textId="77777777" w:rsidR="00B458FD" w:rsidRPr="004169D6" w:rsidRDefault="00B458FD" w:rsidP="00AE2BC8">
            <w:pPr>
              <w:jc w:val="right"/>
              <w:rPr>
                <w:rFonts w:cstheme="minorHAnsi"/>
                <w:color w:val="0000E1"/>
              </w:rPr>
            </w:pPr>
            <w:r w:rsidRPr="004169D6">
              <w:rPr>
                <w:color w:val="0000E1"/>
              </w:rPr>
              <w:t>11.4</w:t>
            </w:r>
          </w:p>
        </w:tc>
        <w:tc>
          <w:tcPr>
            <w:tcW w:w="1192" w:type="dxa"/>
            <w:tcBorders>
              <w:bottom w:val="single" w:sz="4" w:space="0" w:color="auto"/>
            </w:tcBorders>
            <w:vAlign w:val="center"/>
          </w:tcPr>
          <w:p w14:paraId="0439E968" w14:textId="77777777" w:rsidR="00B458FD" w:rsidRPr="004169D6" w:rsidRDefault="00B458FD" w:rsidP="00AE2BC8">
            <w:pPr>
              <w:jc w:val="right"/>
              <w:rPr>
                <w:rFonts w:cstheme="minorHAnsi"/>
                <w:color w:val="0000E1"/>
              </w:rPr>
            </w:pPr>
            <w:r w:rsidRPr="004169D6">
              <w:rPr>
                <w:color w:val="0000E1"/>
              </w:rPr>
              <w:t>93,876</w:t>
            </w:r>
          </w:p>
        </w:tc>
        <w:tc>
          <w:tcPr>
            <w:tcW w:w="1011" w:type="dxa"/>
            <w:tcBorders>
              <w:bottom w:val="single" w:sz="4" w:space="0" w:color="auto"/>
            </w:tcBorders>
            <w:vAlign w:val="center"/>
          </w:tcPr>
          <w:p w14:paraId="3CBBDFF2" w14:textId="77777777" w:rsidR="00B458FD" w:rsidRPr="004169D6" w:rsidRDefault="00B458FD" w:rsidP="00AE2BC8">
            <w:pPr>
              <w:jc w:val="right"/>
              <w:rPr>
                <w:rFonts w:cstheme="minorHAnsi"/>
                <w:color w:val="0000E1"/>
              </w:rPr>
            </w:pPr>
            <w:r w:rsidRPr="004169D6">
              <w:rPr>
                <w:color w:val="0000E1"/>
              </w:rPr>
              <w:t>10.8</w:t>
            </w:r>
          </w:p>
        </w:tc>
      </w:tr>
      <w:tr w:rsidR="00664327" w:rsidRPr="00664327" w14:paraId="5A729C29" w14:textId="77777777" w:rsidTr="00D86E7B">
        <w:trPr>
          <w:trHeight w:val="231"/>
        </w:trPr>
        <w:tc>
          <w:tcPr>
            <w:tcW w:w="9083" w:type="dxa"/>
            <w:gridSpan w:val="7"/>
            <w:tcBorders>
              <w:top w:val="single" w:sz="4" w:space="0" w:color="auto"/>
              <w:left w:val="nil"/>
              <w:bottom w:val="nil"/>
              <w:right w:val="nil"/>
            </w:tcBorders>
            <w:shd w:val="clear" w:color="auto" w:fill="auto"/>
          </w:tcPr>
          <w:p w14:paraId="0AFE5795" w14:textId="77777777" w:rsidR="00664327" w:rsidRPr="00195C8B" w:rsidRDefault="00664327" w:rsidP="00930280">
            <w:pPr>
              <w:rPr>
                <w:i/>
                <w:color w:val="0000E1"/>
                <w:sz w:val="20"/>
              </w:rPr>
            </w:pPr>
            <w:r w:rsidRPr="00195C8B">
              <w:rPr>
                <w:i/>
                <w:color w:val="0000E1"/>
                <w:sz w:val="20"/>
              </w:rPr>
              <w:t>RASA: renin-angiotensin system antagonist; LIS: low-income subsidy</w:t>
            </w:r>
          </w:p>
        </w:tc>
      </w:tr>
    </w:tbl>
    <w:p w14:paraId="79DDB119" w14:textId="77777777" w:rsidR="00621D5A" w:rsidRPr="00CD5819" w:rsidRDefault="00621D5A" w:rsidP="008915E7">
      <w:pPr>
        <w:autoSpaceDE w:val="0"/>
        <w:autoSpaceDN w:val="0"/>
        <w:adjustRightInd w:val="0"/>
        <w:spacing w:after="0" w:line="240" w:lineRule="auto"/>
        <w:rPr>
          <w:rFonts w:cstheme="minorHAnsi"/>
          <w:bCs/>
          <w:color w:val="0000E1"/>
        </w:rPr>
      </w:pPr>
    </w:p>
    <w:p w14:paraId="48E014FA" w14:textId="77777777" w:rsidR="00405D8A" w:rsidRPr="00CD5819" w:rsidRDefault="00405D8A" w:rsidP="00DB3627">
      <w:pPr>
        <w:autoSpaceDE w:val="0"/>
        <w:autoSpaceDN w:val="0"/>
        <w:adjustRightInd w:val="0"/>
        <w:spacing w:after="0" w:line="240" w:lineRule="auto"/>
        <w:rPr>
          <w:rFonts w:cstheme="minorHAnsi"/>
          <w:bCs/>
          <w:color w:val="0000E1"/>
        </w:rPr>
      </w:pPr>
      <w:r w:rsidRPr="00CD5819">
        <w:rPr>
          <w:rFonts w:cstheme="minorHAnsi"/>
          <w:bCs/>
          <w:color w:val="0000E1"/>
        </w:rPr>
        <w:t>For the Medicaid</w:t>
      </w:r>
      <w:r w:rsidR="00DF503C" w:rsidRPr="00CD5819">
        <w:rPr>
          <w:rFonts w:cstheme="minorHAnsi"/>
          <w:bCs/>
          <w:color w:val="0000E1"/>
        </w:rPr>
        <w:t xml:space="preserve"> testing, the initial population </w:t>
      </w:r>
      <w:r w:rsidR="00282A7B">
        <w:rPr>
          <w:rFonts w:cstheme="minorHAnsi"/>
          <w:bCs/>
          <w:color w:val="0000E1"/>
        </w:rPr>
        <w:t xml:space="preserve">ages </w:t>
      </w:r>
      <w:r w:rsidR="00DF503C" w:rsidRPr="00CD5819">
        <w:rPr>
          <w:rFonts w:cstheme="minorHAnsi"/>
          <w:bCs/>
          <w:color w:val="0000E1"/>
        </w:rPr>
        <w:t xml:space="preserve">18 years and older included </w:t>
      </w:r>
      <w:r w:rsidR="00E2658D" w:rsidRPr="00CD5819">
        <w:rPr>
          <w:rFonts w:cstheme="minorHAnsi"/>
          <w:bCs/>
          <w:color w:val="0000E1"/>
        </w:rPr>
        <w:t>5,358,811</w:t>
      </w:r>
      <w:r w:rsidR="00DF503C" w:rsidRPr="00CD5819">
        <w:rPr>
          <w:rFonts w:cstheme="minorHAnsi"/>
          <w:bCs/>
          <w:color w:val="0000E1"/>
        </w:rPr>
        <w:t xml:space="preserve"> individuals. </w:t>
      </w:r>
      <w:r w:rsidR="00B97F64" w:rsidRPr="00CD5819">
        <w:rPr>
          <w:rFonts w:cstheme="minorHAnsi"/>
          <w:bCs/>
          <w:color w:val="0000E1"/>
        </w:rPr>
        <w:t>A</w:t>
      </w:r>
      <w:r w:rsidR="00195C8B">
        <w:rPr>
          <w:rFonts w:cstheme="minorHAnsi"/>
          <w:bCs/>
          <w:color w:val="0000E1"/>
        </w:rPr>
        <w:t>fter applying all inclusion</w:t>
      </w:r>
      <w:r w:rsidRPr="00CD5819">
        <w:rPr>
          <w:rFonts w:cstheme="minorHAnsi"/>
          <w:bCs/>
          <w:color w:val="0000E1"/>
        </w:rPr>
        <w:t>/exclus</w:t>
      </w:r>
      <w:r w:rsidR="00195C8B">
        <w:rPr>
          <w:rFonts w:cstheme="minorHAnsi"/>
          <w:bCs/>
          <w:color w:val="0000E1"/>
        </w:rPr>
        <w:t>ion</w:t>
      </w:r>
      <w:r w:rsidRPr="00CD5819">
        <w:rPr>
          <w:rFonts w:cstheme="minorHAnsi"/>
          <w:bCs/>
          <w:color w:val="0000E1"/>
        </w:rPr>
        <w:t xml:space="preserve"> criteria, the Diabetes population included </w:t>
      </w:r>
      <w:r w:rsidR="00185FFF" w:rsidRPr="00CD5819">
        <w:rPr>
          <w:rFonts w:cstheme="minorHAnsi"/>
          <w:bCs/>
          <w:color w:val="0000E1"/>
        </w:rPr>
        <w:t>234,185</w:t>
      </w:r>
      <w:r w:rsidRPr="00CD5819">
        <w:rPr>
          <w:rFonts w:cstheme="minorHAnsi"/>
          <w:bCs/>
          <w:color w:val="0000E1"/>
        </w:rPr>
        <w:t xml:space="preserve"> individuals, </w:t>
      </w:r>
      <w:r w:rsidR="00282A7B">
        <w:rPr>
          <w:rFonts w:cstheme="minorHAnsi"/>
          <w:bCs/>
          <w:color w:val="0000E1"/>
        </w:rPr>
        <w:t xml:space="preserve">the </w:t>
      </w:r>
      <w:r w:rsidR="004169D6" w:rsidRPr="00CD5819">
        <w:rPr>
          <w:rFonts w:cstheme="minorHAnsi"/>
          <w:bCs/>
          <w:color w:val="0000E1"/>
        </w:rPr>
        <w:t xml:space="preserve">RASA </w:t>
      </w:r>
      <w:r w:rsidR="00282A7B">
        <w:rPr>
          <w:rFonts w:cstheme="minorHAnsi"/>
          <w:bCs/>
          <w:color w:val="0000E1"/>
        </w:rPr>
        <w:t xml:space="preserve">population </w:t>
      </w:r>
      <w:r w:rsidR="004169D6" w:rsidRPr="00CD5819">
        <w:rPr>
          <w:rFonts w:cstheme="minorHAnsi"/>
          <w:bCs/>
          <w:color w:val="0000E1"/>
        </w:rPr>
        <w:t>included 572,736 individuals</w:t>
      </w:r>
      <w:r w:rsidR="004169D6">
        <w:rPr>
          <w:rFonts w:cstheme="minorHAnsi"/>
          <w:bCs/>
          <w:color w:val="0000E1"/>
        </w:rPr>
        <w:t xml:space="preserve">, and </w:t>
      </w:r>
      <w:r w:rsidR="00282A7B">
        <w:rPr>
          <w:rFonts w:cstheme="minorHAnsi"/>
          <w:bCs/>
          <w:color w:val="0000E1"/>
        </w:rPr>
        <w:t xml:space="preserve">the </w:t>
      </w:r>
      <w:r w:rsidRPr="00CD5819">
        <w:rPr>
          <w:rFonts w:cstheme="minorHAnsi"/>
          <w:bCs/>
          <w:color w:val="0000E1"/>
        </w:rPr>
        <w:t xml:space="preserve">Statins </w:t>
      </w:r>
      <w:r w:rsidR="00282A7B">
        <w:rPr>
          <w:rFonts w:cstheme="minorHAnsi"/>
          <w:bCs/>
          <w:color w:val="0000E1"/>
        </w:rPr>
        <w:t xml:space="preserve">population </w:t>
      </w:r>
      <w:r w:rsidR="00195C8B">
        <w:rPr>
          <w:rFonts w:cstheme="minorHAnsi"/>
          <w:bCs/>
          <w:color w:val="0000E1"/>
        </w:rPr>
        <w:t>included</w:t>
      </w:r>
      <w:r w:rsidRPr="00CD5819">
        <w:rPr>
          <w:rFonts w:cstheme="minorHAnsi"/>
          <w:bCs/>
          <w:color w:val="0000E1"/>
        </w:rPr>
        <w:t xml:space="preserve"> </w:t>
      </w:r>
      <w:r w:rsidR="00A71BFD" w:rsidRPr="00CD5819">
        <w:rPr>
          <w:rFonts w:cstheme="minorHAnsi"/>
          <w:bCs/>
          <w:color w:val="0000E1"/>
        </w:rPr>
        <w:t>478,586</w:t>
      </w:r>
      <w:r w:rsidR="004169D6">
        <w:rPr>
          <w:rFonts w:cstheme="minorHAnsi"/>
          <w:bCs/>
          <w:color w:val="0000E1"/>
        </w:rPr>
        <w:t xml:space="preserve"> individuals</w:t>
      </w:r>
      <w:r w:rsidRPr="00CD5819">
        <w:rPr>
          <w:rFonts w:cstheme="minorHAnsi"/>
          <w:bCs/>
          <w:color w:val="0000E1"/>
        </w:rPr>
        <w:t xml:space="preserve">. For all therapeutic classes, </w:t>
      </w:r>
      <w:r w:rsidR="00A71BFD" w:rsidRPr="00CD5819">
        <w:rPr>
          <w:rFonts w:cstheme="minorHAnsi"/>
          <w:bCs/>
          <w:color w:val="0000E1"/>
        </w:rPr>
        <w:t>over 90</w:t>
      </w:r>
      <w:r w:rsidRPr="00CD5819">
        <w:rPr>
          <w:rFonts w:cstheme="minorHAnsi"/>
          <w:bCs/>
          <w:color w:val="0000E1"/>
        </w:rPr>
        <w:t xml:space="preserve">% of beneficiaries were between </w:t>
      </w:r>
      <w:r w:rsidR="00A71BFD" w:rsidRPr="00CD5819">
        <w:rPr>
          <w:rFonts w:cstheme="minorHAnsi"/>
          <w:bCs/>
          <w:color w:val="0000E1"/>
        </w:rPr>
        <w:t>18</w:t>
      </w:r>
      <w:r w:rsidRPr="00CD5819">
        <w:rPr>
          <w:rFonts w:cstheme="minorHAnsi"/>
          <w:bCs/>
          <w:color w:val="0000E1"/>
        </w:rPr>
        <w:t xml:space="preserve"> and </w:t>
      </w:r>
      <w:r w:rsidR="00A71BFD" w:rsidRPr="00CD5819">
        <w:rPr>
          <w:rFonts w:cstheme="minorHAnsi"/>
          <w:bCs/>
          <w:color w:val="0000E1"/>
        </w:rPr>
        <w:t>64</w:t>
      </w:r>
      <w:r w:rsidRPr="00CD5819">
        <w:rPr>
          <w:rFonts w:cstheme="minorHAnsi"/>
          <w:bCs/>
          <w:color w:val="0000E1"/>
        </w:rPr>
        <w:t xml:space="preserve"> years</w:t>
      </w:r>
      <w:r w:rsidR="00B97F64" w:rsidRPr="00CD5819">
        <w:rPr>
          <w:rFonts w:cstheme="minorHAnsi"/>
          <w:bCs/>
          <w:color w:val="0000E1"/>
        </w:rPr>
        <w:t xml:space="preserve"> old</w:t>
      </w:r>
      <w:r w:rsidRPr="00CD5819">
        <w:rPr>
          <w:rFonts w:cstheme="minorHAnsi"/>
          <w:bCs/>
          <w:color w:val="0000E1"/>
        </w:rPr>
        <w:t xml:space="preserve">. For all therapeutic classes, </w:t>
      </w:r>
      <w:r w:rsidR="00074EC8" w:rsidRPr="00CD5819">
        <w:rPr>
          <w:rFonts w:cstheme="minorHAnsi"/>
          <w:bCs/>
          <w:color w:val="0000E1"/>
        </w:rPr>
        <w:t>a majority of the population was female, ranging between 59% (RASA &amp; Statins) and 64% (Diabetes), a</w:t>
      </w:r>
      <w:r w:rsidRPr="00CD5819">
        <w:rPr>
          <w:rFonts w:cstheme="minorHAnsi"/>
          <w:bCs/>
          <w:color w:val="0000E1"/>
        </w:rPr>
        <w:t xml:space="preserve">nd </w:t>
      </w:r>
      <w:r w:rsidR="00A71BFD" w:rsidRPr="00CD5819">
        <w:rPr>
          <w:rFonts w:cstheme="minorHAnsi"/>
          <w:bCs/>
          <w:color w:val="0000E1"/>
        </w:rPr>
        <w:t xml:space="preserve">the proportion of the population that identified as white race was between 35% (Diabetes) </w:t>
      </w:r>
      <w:r w:rsidR="00B97F64" w:rsidRPr="00CD5819">
        <w:rPr>
          <w:rFonts w:cstheme="minorHAnsi"/>
          <w:bCs/>
          <w:color w:val="0000E1"/>
        </w:rPr>
        <w:t>and</w:t>
      </w:r>
      <w:r w:rsidR="00A71BFD" w:rsidRPr="00CD5819">
        <w:rPr>
          <w:rFonts w:cstheme="minorHAnsi"/>
          <w:bCs/>
          <w:color w:val="0000E1"/>
        </w:rPr>
        <w:t xml:space="preserve"> 42% (Statins). For the Medicaid population</w:t>
      </w:r>
      <w:r w:rsidR="00B97F64" w:rsidRPr="00CD5819">
        <w:rPr>
          <w:rFonts w:cstheme="minorHAnsi"/>
          <w:bCs/>
          <w:color w:val="0000E1"/>
        </w:rPr>
        <w:t>,</w:t>
      </w:r>
      <w:r w:rsidR="00195C8B">
        <w:rPr>
          <w:rFonts w:cstheme="minorHAnsi"/>
          <w:bCs/>
          <w:color w:val="0000E1"/>
        </w:rPr>
        <w:t xml:space="preserve"> about 14</w:t>
      </w:r>
      <w:r w:rsidR="00A71BFD" w:rsidRPr="00CD5819">
        <w:rPr>
          <w:rFonts w:cstheme="minorHAnsi"/>
          <w:bCs/>
          <w:color w:val="0000E1"/>
        </w:rPr>
        <w:t xml:space="preserve">% of the population was classified as having an </w:t>
      </w:r>
      <w:r w:rsidR="00195C8B">
        <w:rPr>
          <w:rFonts w:cstheme="minorHAnsi"/>
          <w:bCs/>
          <w:color w:val="0000E1"/>
        </w:rPr>
        <w:t>“other</w:t>
      </w:r>
      <w:r w:rsidR="00884753">
        <w:rPr>
          <w:rFonts w:cstheme="minorHAnsi"/>
          <w:bCs/>
          <w:color w:val="0000E1"/>
        </w:rPr>
        <w:t>/unknown</w:t>
      </w:r>
      <w:r w:rsidR="00195C8B">
        <w:rPr>
          <w:rFonts w:cstheme="minorHAnsi"/>
          <w:bCs/>
          <w:color w:val="0000E1"/>
        </w:rPr>
        <w:t>”</w:t>
      </w:r>
      <w:r w:rsidR="00884753">
        <w:rPr>
          <w:rFonts w:cstheme="minorHAnsi"/>
          <w:bCs/>
          <w:color w:val="0000E1"/>
        </w:rPr>
        <w:t xml:space="preserve"> </w:t>
      </w:r>
      <w:r w:rsidR="00A71BFD" w:rsidRPr="00CD5819">
        <w:rPr>
          <w:rFonts w:cstheme="minorHAnsi"/>
          <w:bCs/>
          <w:color w:val="0000E1"/>
        </w:rPr>
        <w:t>race</w:t>
      </w:r>
      <w:r w:rsidR="00E57C81">
        <w:rPr>
          <w:rFonts w:cstheme="minorHAnsi"/>
          <w:bCs/>
          <w:color w:val="0000E1"/>
        </w:rPr>
        <w:t xml:space="preserve">. </w:t>
      </w:r>
      <w:r w:rsidRPr="00CD5819">
        <w:rPr>
          <w:rFonts w:cstheme="minorHAnsi"/>
          <w:bCs/>
          <w:color w:val="0000E1"/>
        </w:rPr>
        <w:t>(see Table 3).</w:t>
      </w:r>
    </w:p>
    <w:p w14:paraId="57918F43" w14:textId="77777777" w:rsidR="00405D8A" w:rsidRPr="00CD5819" w:rsidRDefault="00405D8A" w:rsidP="00DB3627">
      <w:pPr>
        <w:autoSpaceDE w:val="0"/>
        <w:autoSpaceDN w:val="0"/>
        <w:adjustRightInd w:val="0"/>
        <w:spacing w:after="0" w:line="240" w:lineRule="auto"/>
        <w:rPr>
          <w:rFonts w:cstheme="minorHAnsi"/>
          <w:bCs/>
          <w:color w:val="0000E1"/>
          <w:highlight w:val="yellow"/>
        </w:rPr>
      </w:pPr>
    </w:p>
    <w:p w14:paraId="0631F262" w14:textId="77777777" w:rsidR="007D4F1E" w:rsidRPr="00CD5819" w:rsidRDefault="007D4F1E" w:rsidP="00DB3627">
      <w:pPr>
        <w:autoSpaceDE w:val="0"/>
        <w:autoSpaceDN w:val="0"/>
        <w:adjustRightInd w:val="0"/>
        <w:spacing w:after="0" w:line="240" w:lineRule="auto"/>
        <w:rPr>
          <w:rFonts w:cstheme="minorHAnsi"/>
          <w:bCs/>
          <w:color w:val="0000E1"/>
          <w:highlight w:val="yellow"/>
        </w:rPr>
      </w:pPr>
    </w:p>
    <w:p w14:paraId="452C4270" w14:textId="77777777" w:rsidR="007D4F1E" w:rsidRPr="00CD5819" w:rsidRDefault="007D4F1E" w:rsidP="00DB3627">
      <w:pPr>
        <w:autoSpaceDE w:val="0"/>
        <w:autoSpaceDN w:val="0"/>
        <w:adjustRightInd w:val="0"/>
        <w:spacing w:after="0" w:line="240" w:lineRule="auto"/>
        <w:rPr>
          <w:rFonts w:cstheme="minorHAnsi"/>
          <w:bCs/>
          <w:color w:val="0000E1"/>
          <w:highlight w:val="yellow"/>
        </w:rPr>
      </w:pPr>
    </w:p>
    <w:p w14:paraId="4DFD9C4D" w14:textId="77777777" w:rsidR="004F5E7A" w:rsidRPr="00CD5819" w:rsidRDefault="004F5E7A" w:rsidP="00DB3627">
      <w:pPr>
        <w:autoSpaceDE w:val="0"/>
        <w:autoSpaceDN w:val="0"/>
        <w:adjustRightInd w:val="0"/>
        <w:spacing w:after="0" w:line="240" w:lineRule="auto"/>
        <w:rPr>
          <w:rFonts w:cstheme="minorHAnsi"/>
          <w:bCs/>
          <w:color w:val="0000E1"/>
          <w:highlight w:val="yellow"/>
        </w:rPr>
      </w:pPr>
    </w:p>
    <w:p w14:paraId="1562191B" w14:textId="77777777" w:rsidR="00405D8A" w:rsidRPr="00CD5819" w:rsidRDefault="00405D8A" w:rsidP="00405D8A">
      <w:pPr>
        <w:autoSpaceDE w:val="0"/>
        <w:autoSpaceDN w:val="0"/>
        <w:adjustRightInd w:val="0"/>
        <w:spacing w:after="0" w:line="240" w:lineRule="auto"/>
        <w:rPr>
          <w:rFonts w:cstheme="minorHAnsi"/>
          <w:b/>
          <w:bCs/>
          <w:color w:val="0000E1"/>
        </w:rPr>
      </w:pPr>
      <w:r w:rsidRPr="00CD5819">
        <w:rPr>
          <w:rFonts w:cstheme="minorHAnsi"/>
          <w:b/>
          <w:bCs/>
          <w:color w:val="0000E1"/>
        </w:rPr>
        <w:lastRenderedPageBreak/>
        <w:t>Table 3. Population Characteristics for Medicaid – By Therapeutic Category</w:t>
      </w:r>
    </w:p>
    <w:tbl>
      <w:tblPr>
        <w:tblStyle w:val="TableGrid"/>
        <w:tblW w:w="9042" w:type="dxa"/>
        <w:tblInd w:w="-5" w:type="dxa"/>
        <w:tblLayout w:type="fixed"/>
        <w:tblLook w:val="04A0" w:firstRow="1" w:lastRow="0" w:firstColumn="1" w:lastColumn="0" w:noHBand="0" w:noVBand="1"/>
      </w:tblPr>
      <w:tblGrid>
        <w:gridCol w:w="2466"/>
        <w:gridCol w:w="1186"/>
        <w:gridCol w:w="1006"/>
        <w:gridCol w:w="1186"/>
        <w:gridCol w:w="1006"/>
        <w:gridCol w:w="1186"/>
        <w:gridCol w:w="1006"/>
      </w:tblGrid>
      <w:tr w:rsidR="00CD5819" w:rsidRPr="00CD5819" w14:paraId="62C3C812" w14:textId="77777777" w:rsidTr="00972487">
        <w:trPr>
          <w:trHeight w:val="260"/>
        </w:trPr>
        <w:tc>
          <w:tcPr>
            <w:tcW w:w="2466" w:type="dxa"/>
            <w:vAlign w:val="center"/>
          </w:tcPr>
          <w:p w14:paraId="6F69E032" w14:textId="77777777" w:rsidR="00405D8A" w:rsidRPr="00CD5819" w:rsidRDefault="00405D8A" w:rsidP="00C22A2C">
            <w:pPr>
              <w:jc w:val="center"/>
              <w:rPr>
                <w:rFonts w:cstheme="minorHAnsi"/>
                <w:b/>
                <w:color w:val="0000E1"/>
              </w:rPr>
            </w:pPr>
          </w:p>
        </w:tc>
        <w:tc>
          <w:tcPr>
            <w:tcW w:w="2192" w:type="dxa"/>
            <w:gridSpan w:val="2"/>
            <w:vAlign w:val="center"/>
          </w:tcPr>
          <w:p w14:paraId="4BCAD1A1" w14:textId="77777777" w:rsidR="00405D8A" w:rsidRPr="00CD5819" w:rsidRDefault="00405D8A" w:rsidP="00C22A2C">
            <w:pPr>
              <w:jc w:val="center"/>
              <w:rPr>
                <w:rFonts w:cstheme="minorHAnsi"/>
                <w:b/>
                <w:color w:val="0000E1"/>
              </w:rPr>
            </w:pPr>
            <w:r w:rsidRPr="00CD5819">
              <w:rPr>
                <w:rFonts w:cstheme="minorHAnsi"/>
                <w:b/>
                <w:color w:val="0000E1"/>
              </w:rPr>
              <w:t>Diabetes</w:t>
            </w:r>
          </w:p>
          <w:p w14:paraId="3ED8E3E2" w14:textId="77777777" w:rsidR="00405D8A" w:rsidRPr="00CD5819" w:rsidRDefault="00405D8A" w:rsidP="00C22A2C">
            <w:pPr>
              <w:jc w:val="center"/>
              <w:rPr>
                <w:rFonts w:cstheme="minorHAnsi"/>
                <w:b/>
                <w:color w:val="0000E1"/>
              </w:rPr>
            </w:pPr>
            <w:r w:rsidRPr="00CD5819">
              <w:rPr>
                <w:rFonts w:cstheme="minorHAnsi"/>
                <w:b/>
                <w:color w:val="0000E1"/>
              </w:rPr>
              <w:t>(n =</w:t>
            </w:r>
            <w:r w:rsidR="00185FFF" w:rsidRPr="00CD5819">
              <w:rPr>
                <w:rFonts w:cstheme="minorHAnsi"/>
                <w:b/>
                <w:color w:val="0000E1"/>
              </w:rPr>
              <w:t xml:space="preserve"> 234,185</w:t>
            </w:r>
            <w:r w:rsidRPr="00CD5819">
              <w:rPr>
                <w:rFonts w:cstheme="minorHAnsi"/>
                <w:b/>
                <w:color w:val="0000E1"/>
              </w:rPr>
              <w:t>)</w:t>
            </w:r>
          </w:p>
        </w:tc>
        <w:tc>
          <w:tcPr>
            <w:tcW w:w="2192" w:type="dxa"/>
            <w:gridSpan w:val="2"/>
            <w:vAlign w:val="center"/>
          </w:tcPr>
          <w:p w14:paraId="21AB1923" w14:textId="77777777" w:rsidR="00405D8A" w:rsidRPr="00CD5819" w:rsidRDefault="004169D6" w:rsidP="00C22A2C">
            <w:pPr>
              <w:jc w:val="center"/>
              <w:rPr>
                <w:rFonts w:cstheme="minorHAnsi"/>
                <w:b/>
                <w:color w:val="0000E1"/>
              </w:rPr>
            </w:pPr>
            <w:r>
              <w:rPr>
                <w:rFonts w:cstheme="minorHAnsi"/>
                <w:b/>
                <w:color w:val="0000E1"/>
              </w:rPr>
              <w:t>RASA</w:t>
            </w:r>
          </w:p>
          <w:p w14:paraId="3BF02ADB" w14:textId="77777777" w:rsidR="00405D8A" w:rsidRPr="00CD5819" w:rsidRDefault="00405D8A" w:rsidP="00C22A2C">
            <w:pPr>
              <w:jc w:val="center"/>
              <w:rPr>
                <w:rFonts w:cstheme="minorHAnsi"/>
                <w:b/>
                <w:color w:val="0000E1"/>
              </w:rPr>
            </w:pPr>
            <w:r w:rsidRPr="00CD5819">
              <w:rPr>
                <w:rFonts w:cstheme="minorHAnsi"/>
                <w:b/>
                <w:color w:val="0000E1"/>
              </w:rPr>
              <w:t>(n =</w:t>
            </w:r>
            <w:r w:rsidR="00E51A82" w:rsidRPr="00CD5819">
              <w:rPr>
                <w:rFonts w:cstheme="minorHAnsi"/>
                <w:b/>
                <w:color w:val="0000E1"/>
              </w:rPr>
              <w:t xml:space="preserve"> </w:t>
            </w:r>
            <w:r w:rsidR="004169D6">
              <w:rPr>
                <w:rFonts w:cstheme="minorHAnsi"/>
                <w:b/>
                <w:color w:val="0000E1"/>
              </w:rPr>
              <w:t>572,736</w:t>
            </w:r>
            <w:r w:rsidRPr="00CD5819">
              <w:rPr>
                <w:rFonts w:cstheme="minorHAnsi"/>
                <w:b/>
                <w:color w:val="0000E1"/>
              </w:rPr>
              <w:t>)</w:t>
            </w:r>
          </w:p>
        </w:tc>
        <w:tc>
          <w:tcPr>
            <w:tcW w:w="2192" w:type="dxa"/>
            <w:gridSpan w:val="2"/>
            <w:vAlign w:val="center"/>
          </w:tcPr>
          <w:p w14:paraId="07A8F6EB" w14:textId="77777777" w:rsidR="00405D8A" w:rsidRPr="00CD5819" w:rsidRDefault="004169D6" w:rsidP="00C22A2C">
            <w:pPr>
              <w:jc w:val="center"/>
              <w:rPr>
                <w:rFonts w:cstheme="minorHAnsi"/>
                <w:b/>
                <w:color w:val="0000E1"/>
              </w:rPr>
            </w:pPr>
            <w:r>
              <w:rPr>
                <w:rFonts w:cstheme="minorHAnsi"/>
                <w:b/>
                <w:color w:val="0000E1"/>
              </w:rPr>
              <w:t>Statins</w:t>
            </w:r>
          </w:p>
          <w:p w14:paraId="7815434D" w14:textId="77777777" w:rsidR="00405D8A" w:rsidRPr="00CD5819" w:rsidRDefault="00405D8A" w:rsidP="00C22A2C">
            <w:pPr>
              <w:jc w:val="center"/>
              <w:rPr>
                <w:rFonts w:cstheme="minorHAnsi"/>
                <w:b/>
                <w:color w:val="0000E1"/>
              </w:rPr>
            </w:pPr>
            <w:r w:rsidRPr="00CD5819">
              <w:rPr>
                <w:rFonts w:cstheme="minorHAnsi"/>
                <w:b/>
                <w:color w:val="0000E1"/>
              </w:rPr>
              <w:t>(n =</w:t>
            </w:r>
            <w:r w:rsidR="00E51A82" w:rsidRPr="00CD5819">
              <w:rPr>
                <w:rFonts w:cstheme="minorHAnsi"/>
                <w:b/>
                <w:color w:val="0000E1"/>
              </w:rPr>
              <w:t xml:space="preserve"> </w:t>
            </w:r>
            <w:r w:rsidR="004169D6">
              <w:rPr>
                <w:rFonts w:cstheme="minorHAnsi"/>
                <w:b/>
                <w:color w:val="0000E1"/>
              </w:rPr>
              <w:t>478,586</w:t>
            </w:r>
            <w:r w:rsidRPr="00CD5819">
              <w:rPr>
                <w:rFonts w:cstheme="minorHAnsi"/>
                <w:b/>
                <w:color w:val="0000E1"/>
              </w:rPr>
              <w:t>)</w:t>
            </w:r>
          </w:p>
        </w:tc>
      </w:tr>
      <w:tr w:rsidR="00CD5819" w:rsidRPr="00CD5819" w14:paraId="2B4DA374" w14:textId="77777777" w:rsidTr="00972487">
        <w:trPr>
          <w:trHeight w:val="260"/>
        </w:trPr>
        <w:tc>
          <w:tcPr>
            <w:tcW w:w="2466" w:type="dxa"/>
            <w:vAlign w:val="center"/>
          </w:tcPr>
          <w:p w14:paraId="0BDF5859" w14:textId="77777777" w:rsidR="00405D8A" w:rsidRPr="00CD5819" w:rsidRDefault="00405D8A" w:rsidP="00C22A2C">
            <w:pPr>
              <w:rPr>
                <w:rFonts w:cstheme="minorHAnsi"/>
                <w:b/>
                <w:color w:val="0000E1"/>
              </w:rPr>
            </w:pPr>
            <w:r w:rsidRPr="00CD5819">
              <w:rPr>
                <w:rFonts w:cstheme="minorHAnsi"/>
                <w:b/>
                <w:color w:val="0000E1"/>
              </w:rPr>
              <w:t>Characteristic</w:t>
            </w:r>
          </w:p>
        </w:tc>
        <w:tc>
          <w:tcPr>
            <w:tcW w:w="1186" w:type="dxa"/>
            <w:vAlign w:val="center"/>
          </w:tcPr>
          <w:p w14:paraId="124D00D6" w14:textId="77777777" w:rsidR="00405D8A" w:rsidRPr="00CD5819" w:rsidRDefault="00405D8A" w:rsidP="00C22A2C">
            <w:pPr>
              <w:jc w:val="center"/>
              <w:rPr>
                <w:rFonts w:cstheme="minorHAnsi"/>
                <w:b/>
                <w:color w:val="0000E1"/>
              </w:rPr>
            </w:pPr>
            <w:r w:rsidRPr="00CD5819">
              <w:rPr>
                <w:rFonts w:cstheme="minorHAnsi"/>
                <w:b/>
                <w:color w:val="0000E1"/>
              </w:rPr>
              <w:t>n</w:t>
            </w:r>
          </w:p>
        </w:tc>
        <w:tc>
          <w:tcPr>
            <w:tcW w:w="1006" w:type="dxa"/>
            <w:vAlign w:val="center"/>
          </w:tcPr>
          <w:p w14:paraId="2F25D58E" w14:textId="77777777" w:rsidR="00405D8A" w:rsidRPr="00CD5819" w:rsidRDefault="00405D8A" w:rsidP="00C22A2C">
            <w:pPr>
              <w:jc w:val="center"/>
              <w:rPr>
                <w:rFonts w:cstheme="minorHAnsi"/>
                <w:b/>
                <w:color w:val="0000E1"/>
              </w:rPr>
            </w:pPr>
            <w:r w:rsidRPr="00CD5819">
              <w:rPr>
                <w:rFonts w:cstheme="minorHAnsi"/>
                <w:b/>
                <w:color w:val="0000E1"/>
              </w:rPr>
              <w:t>%</w:t>
            </w:r>
          </w:p>
        </w:tc>
        <w:tc>
          <w:tcPr>
            <w:tcW w:w="1186" w:type="dxa"/>
            <w:vAlign w:val="center"/>
          </w:tcPr>
          <w:p w14:paraId="597E6AD2" w14:textId="77777777" w:rsidR="00405D8A" w:rsidRPr="00CD5819" w:rsidRDefault="00405D8A" w:rsidP="00C22A2C">
            <w:pPr>
              <w:jc w:val="center"/>
              <w:rPr>
                <w:rFonts w:cstheme="minorHAnsi"/>
                <w:b/>
                <w:color w:val="0000E1"/>
              </w:rPr>
            </w:pPr>
            <w:r w:rsidRPr="00CD5819">
              <w:rPr>
                <w:rFonts w:cstheme="minorHAnsi"/>
                <w:b/>
                <w:color w:val="0000E1"/>
              </w:rPr>
              <w:t>n</w:t>
            </w:r>
          </w:p>
        </w:tc>
        <w:tc>
          <w:tcPr>
            <w:tcW w:w="1006" w:type="dxa"/>
            <w:vAlign w:val="center"/>
          </w:tcPr>
          <w:p w14:paraId="61D4EA01" w14:textId="77777777" w:rsidR="00405D8A" w:rsidRPr="00CD5819" w:rsidRDefault="00405D8A" w:rsidP="00C22A2C">
            <w:pPr>
              <w:jc w:val="center"/>
              <w:rPr>
                <w:rFonts w:cstheme="minorHAnsi"/>
                <w:b/>
                <w:color w:val="0000E1"/>
              </w:rPr>
            </w:pPr>
            <w:r w:rsidRPr="00CD5819">
              <w:rPr>
                <w:rFonts w:cstheme="minorHAnsi"/>
                <w:b/>
                <w:color w:val="0000E1"/>
              </w:rPr>
              <w:t>%</w:t>
            </w:r>
          </w:p>
        </w:tc>
        <w:tc>
          <w:tcPr>
            <w:tcW w:w="1186" w:type="dxa"/>
            <w:vAlign w:val="center"/>
          </w:tcPr>
          <w:p w14:paraId="402221E6" w14:textId="77777777" w:rsidR="00405D8A" w:rsidRPr="00CD5819" w:rsidRDefault="00405D8A" w:rsidP="00C22A2C">
            <w:pPr>
              <w:jc w:val="center"/>
              <w:rPr>
                <w:rFonts w:cstheme="minorHAnsi"/>
                <w:b/>
                <w:color w:val="0000E1"/>
              </w:rPr>
            </w:pPr>
            <w:r w:rsidRPr="00CD5819">
              <w:rPr>
                <w:rFonts w:cstheme="minorHAnsi"/>
                <w:b/>
                <w:color w:val="0000E1"/>
              </w:rPr>
              <w:t>n</w:t>
            </w:r>
          </w:p>
        </w:tc>
        <w:tc>
          <w:tcPr>
            <w:tcW w:w="1006" w:type="dxa"/>
            <w:vAlign w:val="center"/>
          </w:tcPr>
          <w:p w14:paraId="787B3FDB" w14:textId="77777777" w:rsidR="00405D8A" w:rsidRPr="00CD5819" w:rsidRDefault="00405D8A" w:rsidP="00C22A2C">
            <w:pPr>
              <w:jc w:val="center"/>
              <w:rPr>
                <w:rFonts w:cstheme="minorHAnsi"/>
                <w:b/>
                <w:color w:val="0000E1"/>
              </w:rPr>
            </w:pPr>
            <w:r w:rsidRPr="00CD5819">
              <w:rPr>
                <w:rFonts w:cstheme="minorHAnsi"/>
                <w:b/>
                <w:color w:val="0000E1"/>
              </w:rPr>
              <w:t>%</w:t>
            </w:r>
          </w:p>
        </w:tc>
      </w:tr>
      <w:tr w:rsidR="00CD5819" w:rsidRPr="00CD5819" w14:paraId="33659FC4" w14:textId="77777777" w:rsidTr="00972487">
        <w:trPr>
          <w:trHeight w:val="260"/>
        </w:trPr>
        <w:tc>
          <w:tcPr>
            <w:tcW w:w="2466" w:type="dxa"/>
            <w:vAlign w:val="center"/>
          </w:tcPr>
          <w:p w14:paraId="5C846C62" w14:textId="77777777" w:rsidR="00405D8A" w:rsidRPr="00CD5819" w:rsidRDefault="00405D8A" w:rsidP="00C22A2C">
            <w:pPr>
              <w:rPr>
                <w:rFonts w:cstheme="minorHAnsi"/>
                <w:b/>
                <w:color w:val="0000E1"/>
              </w:rPr>
            </w:pPr>
            <w:r w:rsidRPr="00CD5819">
              <w:rPr>
                <w:rFonts w:cstheme="minorHAnsi"/>
                <w:b/>
                <w:color w:val="0000E1"/>
              </w:rPr>
              <w:t>Age Group</w:t>
            </w:r>
          </w:p>
        </w:tc>
        <w:tc>
          <w:tcPr>
            <w:tcW w:w="1186" w:type="dxa"/>
            <w:vAlign w:val="center"/>
          </w:tcPr>
          <w:p w14:paraId="5F3EE43C" w14:textId="77777777" w:rsidR="00405D8A" w:rsidRPr="00CD5819" w:rsidRDefault="00405D8A" w:rsidP="00C22A2C">
            <w:pPr>
              <w:rPr>
                <w:rFonts w:cstheme="minorHAnsi"/>
                <w:color w:val="0000E1"/>
              </w:rPr>
            </w:pPr>
          </w:p>
        </w:tc>
        <w:tc>
          <w:tcPr>
            <w:tcW w:w="1006" w:type="dxa"/>
            <w:vAlign w:val="center"/>
          </w:tcPr>
          <w:p w14:paraId="0AC6BC93" w14:textId="77777777" w:rsidR="00405D8A" w:rsidRPr="00CD5819" w:rsidRDefault="00405D8A" w:rsidP="00C22A2C">
            <w:pPr>
              <w:rPr>
                <w:rFonts w:cstheme="minorHAnsi"/>
                <w:color w:val="0000E1"/>
              </w:rPr>
            </w:pPr>
          </w:p>
        </w:tc>
        <w:tc>
          <w:tcPr>
            <w:tcW w:w="1186" w:type="dxa"/>
            <w:vAlign w:val="center"/>
          </w:tcPr>
          <w:p w14:paraId="053D00AA" w14:textId="77777777" w:rsidR="00405D8A" w:rsidRPr="00CD5819" w:rsidRDefault="00405D8A" w:rsidP="00C22A2C">
            <w:pPr>
              <w:rPr>
                <w:rFonts w:cstheme="minorHAnsi"/>
                <w:color w:val="0000E1"/>
              </w:rPr>
            </w:pPr>
          </w:p>
        </w:tc>
        <w:tc>
          <w:tcPr>
            <w:tcW w:w="1006" w:type="dxa"/>
            <w:vAlign w:val="center"/>
          </w:tcPr>
          <w:p w14:paraId="104F2226" w14:textId="77777777" w:rsidR="00405D8A" w:rsidRPr="00CD5819" w:rsidRDefault="00405D8A" w:rsidP="00C22A2C">
            <w:pPr>
              <w:rPr>
                <w:rFonts w:cstheme="minorHAnsi"/>
                <w:color w:val="0000E1"/>
              </w:rPr>
            </w:pPr>
          </w:p>
        </w:tc>
        <w:tc>
          <w:tcPr>
            <w:tcW w:w="1186" w:type="dxa"/>
            <w:vAlign w:val="center"/>
          </w:tcPr>
          <w:p w14:paraId="46DDBB9C" w14:textId="77777777" w:rsidR="00405D8A" w:rsidRPr="00CD5819" w:rsidRDefault="00405D8A" w:rsidP="00C22A2C">
            <w:pPr>
              <w:rPr>
                <w:rFonts w:cstheme="minorHAnsi"/>
                <w:color w:val="0000E1"/>
              </w:rPr>
            </w:pPr>
          </w:p>
        </w:tc>
        <w:tc>
          <w:tcPr>
            <w:tcW w:w="1006" w:type="dxa"/>
            <w:vAlign w:val="center"/>
          </w:tcPr>
          <w:p w14:paraId="4373252A" w14:textId="77777777" w:rsidR="00405D8A" w:rsidRPr="00CD5819" w:rsidRDefault="00405D8A" w:rsidP="00C22A2C">
            <w:pPr>
              <w:rPr>
                <w:rFonts w:cstheme="minorHAnsi"/>
                <w:color w:val="0000E1"/>
              </w:rPr>
            </w:pPr>
          </w:p>
        </w:tc>
      </w:tr>
      <w:tr w:rsidR="004169D6" w:rsidRPr="00CD5819" w14:paraId="625A77F5" w14:textId="77777777" w:rsidTr="00AE2BC8">
        <w:trPr>
          <w:trHeight w:val="260"/>
        </w:trPr>
        <w:tc>
          <w:tcPr>
            <w:tcW w:w="2466" w:type="dxa"/>
            <w:vAlign w:val="center"/>
          </w:tcPr>
          <w:p w14:paraId="5CAEDE12" w14:textId="77777777" w:rsidR="004169D6" w:rsidRPr="00CD5819" w:rsidRDefault="004169D6" w:rsidP="004169D6">
            <w:pPr>
              <w:jc w:val="right"/>
              <w:rPr>
                <w:rFonts w:cstheme="minorHAnsi"/>
                <w:color w:val="0000E1"/>
              </w:rPr>
            </w:pPr>
            <w:r w:rsidRPr="00CD5819">
              <w:rPr>
                <w:rFonts w:cstheme="minorHAnsi"/>
                <w:color w:val="0000E1"/>
              </w:rPr>
              <w:t>18-54</w:t>
            </w:r>
          </w:p>
        </w:tc>
        <w:tc>
          <w:tcPr>
            <w:tcW w:w="1186" w:type="dxa"/>
            <w:vAlign w:val="center"/>
          </w:tcPr>
          <w:p w14:paraId="3B8A3766" w14:textId="77777777" w:rsidR="004169D6" w:rsidRPr="00CD5819" w:rsidRDefault="004169D6" w:rsidP="00AE2BC8">
            <w:pPr>
              <w:jc w:val="right"/>
              <w:rPr>
                <w:rFonts w:cstheme="minorHAnsi"/>
                <w:color w:val="0000E1"/>
              </w:rPr>
            </w:pPr>
            <w:r w:rsidRPr="00CD5819">
              <w:rPr>
                <w:rFonts w:ascii="Calibri" w:hAnsi="Calibri" w:cs="Calibri"/>
                <w:color w:val="0000E1"/>
              </w:rPr>
              <w:t xml:space="preserve">    140,882 </w:t>
            </w:r>
          </w:p>
        </w:tc>
        <w:tc>
          <w:tcPr>
            <w:tcW w:w="1006" w:type="dxa"/>
            <w:vAlign w:val="center"/>
          </w:tcPr>
          <w:p w14:paraId="407C1C3F" w14:textId="77777777" w:rsidR="004169D6" w:rsidRPr="00CD5819" w:rsidRDefault="004169D6" w:rsidP="00AE2BC8">
            <w:pPr>
              <w:jc w:val="right"/>
              <w:rPr>
                <w:rFonts w:cstheme="minorHAnsi"/>
                <w:color w:val="0000E1"/>
              </w:rPr>
            </w:pPr>
            <w:r w:rsidRPr="00CD5819">
              <w:rPr>
                <w:rFonts w:ascii="Calibri" w:hAnsi="Calibri" w:cs="Calibri"/>
                <w:color w:val="0000E1"/>
              </w:rPr>
              <w:t>60.2</w:t>
            </w:r>
          </w:p>
        </w:tc>
        <w:tc>
          <w:tcPr>
            <w:tcW w:w="1186" w:type="dxa"/>
            <w:vAlign w:val="center"/>
          </w:tcPr>
          <w:p w14:paraId="74546EB5" w14:textId="77777777" w:rsidR="004169D6" w:rsidRPr="004169D6" w:rsidRDefault="004169D6" w:rsidP="00AE2BC8">
            <w:pPr>
              <w:jc w:val="right"/>
              <w:rPr>
                <w:rFonts w:cstheme="minorHAnsi"/>
                <w:color w:val="0000E1"/>
              </w:rPr>
            </w:pPr>
            <w:r w:rsidRPr="004169D6">
              <w:rPr>
                <w:rFonts w:ascii="Calibri" w:hAnsi="Calibri" w:cs="Calibri"/>
                <w:color w:val="0000E1"/>
              </w:rPr>
              <w:t>339,519</w:t>
            </w:r>
          </w:p>
        </w:tc>
        <w:tc>
          <w:tcPr>
            <w:tcW w:w="1006" w:type="dxa"/>
            <w:vAlign w:val="center"/>
          </w:tcPr>
          <w:p w14:paraId="6627FD14" w14:textId="77777777" w:rsidR="004169D6" w:rsidRPr="004169D6" w:rsidRDefault="004169D6" w:rsidP="00AE2BC8">
            <w:pPr>
              <w:jc w:val="right"/>
              <w:rPr>
                <w:rFonts w:cstheme="minorHAnsi"/>
                <w:color w:val="0000E1"/>
              </w:rPr>
            </w:pPr>
            <w:r w:rsidRPr="004169D6">
              <w:rPr>
                <w:rFonts w:ascii="Calibri" w:hAnsi="Calibri" w:cs="Calibri"/>
                <w:color w:val="0000E1"/>
              </w:rPr>
              <w:t>59.3</w:t>
            </w:r>
          </w:p>
        </w:tc>
        <w:tc>
          <w:tcPr>
            <w:tcW w:w="1186" w:type="dxa"/>
            <w:vAlign w:val="center"/>
          </w:tcPr>
          <w:p w14:paraId="2724D4B0" w14:textId="77777777" w:rsidR="004169D6" w:rsidRPr="004169D6" w:rsidRDefault="004169D6" w:rsidP="00AE2BC8">
            <w:pPr>
              <w:jc w:val="right"/>
              <w:rPr>
                <w:rFonts w:cstheme="minorHAnsi"/>
                <w:color w:val="0000E1"/>
              </w:rPr>
            </w:pPr>
            <w:r w:rsidRPr="004169D6">
              <w:rPr>
                <w:color w:val="0000E1"/>
              </w:rPr>
              <w:t>259,195</w:t>
            </w:r>
          </w:p>
        </w:tc>
        <w:tc>
          <w:tcPr>
            <w:tcW w:w="1006" w:type="dxa"/>
            <w:vAlign w:val="center"/>
          </w:tcPr>
          <w:p w14:paraId="4B003768" w14:textId="77777777" w:rsidR="004169D6" w:rsidRPr="004169D6" w:rsidRDefault="004169D6" w:rsidP="00AE2BC8">
            <w:pPr>
              <w:jc w:val="right"/>
              <w:rPr>
                <w:rFonts w:cstheme="minorHAnsi"/>
                <w:color w:val="0000E1"/>
              </w:rPr>
            </w:pPr>
            <w:r w:rsidRPr="004169D6">
              <w:rPr>
                <w:color w:val="0000E1"/>
              </w:rPr>
              <w:t>54.2</w:t>
            </w:r>
          </w:p>
        </w:tc>
      </w:tr>
      <w:tr w:rsidR="004169D6" w:rsidRPr="00CD5819" w14:paraId="55BFA24E" w14:textId="77777777" w:rsidTr="00AE2BC8">
        <w:trPr>
          <w:trHeight w:val="260"/>
        </w:trPr>
        <w:tc>
          <w:tcPr>
            <w:tcW w:w="2466" w:type="dxa"/>
            <w:vAlign w:val="center"/>
          </w:tcPr>
          <w:p w14:paraId="43B8D06A" w14:textId="77777777" w:rsidR="004169D6" w:rsidRPr="00CD5819" w:rsidRDefault="004169D6" w:rsidP="004169D6">
            <w:pPr>
              <w:jc w:val="right"/>
              <w:rPr>
                <w:rFonts w:cstheme="minorHAnsi"/>
                <w:color w:val="0000E1"/>
              </w:rPr>
            </w:pPr>
            <w:r w:rsidRPr="00CD5819">
              <w:rPr>
                <w:rFonts w:cstheme="minorHAnsi"/>
                <w:color w:val="0000E1"/>
              </w:rPr>
              <w:t>55-64</w:t>
            </w:r>
          </w:p>
        </w:tc>
        <w:tc>
          <w:tcPr>
            <w:tcW w:w="1186" w:type="dxa"/>
            <w:vAlign w:val="center"/>
          </w:tcPr>
          <w:p w14:paraId="24204741" w14:textId="77777777" w:rsidR="004169D6" w:rsidRPr="00CD5819" w:rsidRDefault="004169D6" w:rsidP="00AE2BC8">
            <w:pPr>
              <w:jc w:val="right"/>
              <w:rPr>
                <w:rFonts w:cstheme="minorHAnsi"/>
                <w:color w:val="0000E1"/>
              </w:rPr>
            </w:pPr>
            <w:r w:rsidRPr="00CD5819">
              <w:rPr>
                <w:rFonts w:ascii="Calibri" w:hAnsi="Calibri" w:cs="Calibri"/>
                <w:color w:val="0000E1"/>
              </w:rPr>
              <w:t xml:space="preserve">      79,185 </w:t>
            </w:r>
          </w:p>
        </w:tc>
        <w:tc>
          <w:tcPr>
            <w:tcW w:w="1006" w:type="dxa"/>
            <w:vAlign w:val="center"/>
          </w:tcPr>
          <w:p w14:paraId="055A4CCD" w14:textId="77777777" w:rsidR="004169D6" w:rsidRPr="00CD5819" w:rsidRDefault="004169D6" w:rsidP="00AE2BC8">
            <w:pPr>
              <w:jc w:val="right"/>
              <w:rPr>
                <w:rFonts w:cstheme="minorHAnsi"/>
                <w:color w:val="0000E1"/>
              </w:rPr>
            </w:pPr>
            <w:r w:rsidRPr="00CD5819">
              <w:rPr>
                <w:rFonts w:ascii="Calibri" w:hAnsi="Calibri" w:cs="Calibri"/>
                <w:color w:val="0000E1"/>
              </w:rPr>
              <w:t>33.8</w:t>
            </w:r>
          </w:p>
        </w:tc>
        <w:tc>
          <w:tcPr>
            <w:tcW w:w="1186" w:type="dxa"/>
            <w:vAlign w:val="center"/>
          </w:tcPr>
          <w:p w14:paraId="7441132F" w14:textId="77777777" w:rsidR="004169D6" w:rsidRPr="004169D6" w:rsidRDefault="004169D6" w:rsidP="00AE2BC8">
            <w:pPr>
              <w:jc w:val="right"/>
              <w:rPr>
                <w:rFonts w:cstheme="minorHAnsi"/>
                <w:color w:val="0000E1"/>
              </w:rPr>
            </w:pPr>
            <w:r w:rsidRPr="004169D6">
              <w:rPr>
                <w:rFonts w:ascii="Calibri" w:hAnsi="Calibri" w:cs="Calibri"/>
                <w:color w:val="0000E1"/>
              </w:rPr>
              <w:t>201,415</w:t>
            </w:r>
          </w:p>
        </w:tc>
        <w:tc>
          <w:tcPr>
            <w:tcW w:w="1006" w:type="dxa"/>
            <w:vAlign w:val="center"/>
          </w:tcPr>
          <w:p w14:paraId="7F89F38C" w14:textId="77777777" w:rsidR="004169D6" w:rsidRPr="004169D6" w:rsidRDefault="004169D6" w:rsidP="00AE2BC8">
            <w:pPr>
              <w:jc w:val="right"/>
              <w:rPr>
                <w:rFonts w:cstheme="minorHAnsi"/>
                <w:color w:val="0000E1"/>
              </w:rPr>
            </w:pPr>
            <w:r w:rsidRPr="004169D6">
              <w:rPr>
                <w:rFonts w:ascii="Calibri" w:hAnsi="Calibri" w:cs="Calibri"/>
                <w:color w:val="0000E1"/>
              </w:rPr>
              <w:t>35.2</w:t>
            </w:r>
          </w:p>
        </w:tc>
        <w:tc>
          <w:tcPr>
            <w:tcW w:w="1186" w:type="dxa"/>
            <w:vAlign w:val="center"/>
          </w:tcPr>
          <w:p w14:paraId="6A513D44" w14:textId="77777777" w:rsidR="004169D6" w:rsidRPr="004169D6" w:rsidRDefault="004169D6" w:rsidP="00AE2BC8">
            <w:pPr>
              <w:jc w:val="right"/>
              <w:rPr>
                <w:rFonts w:cstheme="minorHAnsi"/>
                <w:color w:val="0000E1"/>
              </w:rPr>
            </w:pPr>
            <w:r w:rsidRPr="004169D6">
              <w:rPr>
                <w:color w:val="0000E1"/>
              </w:rPr>
              <w:t>189,561</w:t>
            </w:r>
          </w:p>
        </w:tc>
        <w:tc>
          <w:tcPr>
            <w:tcW w:w="1006" w:type="dxa"/>
            <w:vAlign w:val="center"/>
          </w:tcPr>
          <w:p w14:paraId="49A839D6" w14:textId="77777777" w:rsidR="004169D6" w:rsidRPr="004169D6" w:rsidRDefault="004169D6" w:rsidP="00AE2BC8">
            <w:pPr>
              <w:jc w:val="right"/>
              <w:rPr>
                <w:rFonts w:cstheme="minorHAnsi"/>
                <w:color w:val="0000E1"/>
              </w:rPr>
            </w:pPr>
            <w:r w:rsidRPr="004169D6">
              <w:rPr>
                <w:color w:val="0000E1"/>
              </w:rPr>
              <w:t>39.6</w:t>
            </w:r>
          </w:p>
        </w:tc>
      </w:tr>
      <w:tr w:rsidR="004169D6" w:rsidRPr="00CD5819" w14:paraId="1A321F8F" w14:textId="77777777" w:rsidTr="00AE2BC8">
        <w:trPr>
          <w:trHeight w:val="260"/>
        </w:trPr>
        <w:tc>
          <w:tcPr>
            <w:tcW w:w="2466" w:type="dxa"/>
            <w:vAlign w:val="center"/>
          </w:tcPr>
          <w:p w14:paraId="33C262D4" w14:textId="77777777" w:rsidR="004169D6" w:rsidRPr="00CD5819" w:rsidRDefault="004169D6" w:rsidP="004169D6">
            <w:pPr>
              <w:jc w:val="right"/>
              <w:rPr>
                <w:rFonts w:cstheme="minorHAnsi"/>
                <w:color w:val="0000E1"/>
              </w:rPr>
            </w:pPr>
            <w:r w:rsidRPr="00CD5819">
              <w:rPr>
                <w:rFonts w:cstheme="minorHAnsi"/>
                <w:color w:val="0000E1"/>
              </w:rPr>
              <w:t>65-69</w:t>
            </w:r>
          </w:p>
        </w:tc>
        <w:tc>
          <w:tcPr>
            <w:tcW w:w="1186" w:type="dxa"/>
            <w:vAlign w:val="center"/>
          </w:tcPr>
          <w:p w14:paraId="43562659" w14:textId="77777777" w:rsidR="004169D6" w:rsidRPr="00CD5819" w:rsidRDefault="004169D6" w:rsidP="00AE2BC8">
            <w:pPr>
              <w:jc w:val="right"/>
              <w:rPr>
                <w:rFonts w:cstheme="minorHAnsi"/>
                <w:color w:val="0000E1"/>
              </w:rPr>
            </w:pPr>
            <w:r w:rsidRPr="00CD5819">
              <w:rPr>
                <w:rFonts w:ascii="Calibri" w:hAnsi="Calibri" w:cs="Calibri"/>
                <w:color w:val="0000E1"/>
              </w:rPr>
              <w:t xml:space="preserve">        4,820 </w:t>
            </w:r>
          </w:p>
        </w:tc>
        <w:tc>
          <w:tcPr>
            <w:tcW w:w="1006" w:type="dxa"/>
            <w:vAlign w:val="center"/>
          </w:tcPr>
          <w:p w14:paraId="5B09FB2C" w14:textId="77777777" w:rsidR="004169D6" w:rsidRPr="00CD5819" w:rsidRDefault="004169D6" w:rsidP="00AE2BC8">
            <w:pPr>
              <w:jc w:val="right"/>
              <w:rPr>
                <w:rFonts w:cstheme="minorHAnsi"/>
                <w:color w:val="0000E1"/>
              </w:rPr>
            </w:pPr>
            <w:r w:rsidRPr="00CD5819">
              <w:rPr>
                <w:rFonts w:ascii="Calibri" w:hAnsi="Calibri" w:cs="Calibri"/>
                <w:color w:val="0000E1"/>
              </w:rPr>
              <w:t>2.1</w:t>
            </w:r>
          </w:p>
        </w:tc>
        <w:tc>
          <w:tcPr>
            <w:tcW w:w="1186" w:type="dxa"/>
            <w:vAlign w:val="center"/>
          </w:tcPr>
          <w:p w14:paraId="28F5B4D5" w14:textId="77777777" w:rsidR="004169D6" w:rsidRPr="004169D6" w:rsidRDefault="004169D6" w:rsidP="00AE2BC8">
            <w:pPr>
              <w:jc w:val="right"/>
              <w:rPr>
                <w:rFonts w:cstheme="minorHAnsi"/>
                <w:color w:val="0000E1"/>
              </w:rPr>
            </w:pPr>
            <w:r w:rsidRPr="004169D6">
              <w:rPr>
                <w:rFonts w:ascii="Calibri" w:hAnsi="Calibri" w:cs="Calibri"/>
                <w:color w:val="0000E1"/>
              </w:rPr>
              <w:t>10,081</w:t>
            </w:r>
          </w:p>
        </w:tc>
        <w:tc>
          <w:tcPr>
            <w:tcW w:w="1006" w:type="dxa"/>
            <w:vAlign w:val="center"/>
          </w:tcPr>
          <w:p w14:paraId="75270DCB" w14:textId="77777777" w:rsidR="004169D6" w:rsidRPr="004169D6" w:rsidRDefault="004169D6" w:rsidP="00AE2BC8">
            <w:pPr>
              <w:jc w:val="right"/>
              <w:rPr>
                <w:rFonts w:cstheme="minorHAnsi"/>
                <w:color w:val="0000E1"/>
              </w:rPr>
            </w:pPr>
            <w:r w:rsidRPr="004169D6">
              <w:rPr>
                <w:rFonts w:ascii="Calibri" w:hAnsi="Calibri" w:cs="Calibri"/>
                <w:color w:val="0000E1"/>
              </w:rPr>
              <w:t>1.8</w:t>
            </w:r>
          </w:p>
        </w:tc>
        <w:tc>
          <w:tcPr>
            <w:tcW w:w="1186" w:type="dxa"/>
            <w:vAlign w:val="center"/>
          </w:tcPr>
          <w:p w14:paraId="76490A59" w14:textId="77777777" w:rsidR="004169D6" w:rsidRPr="004169D6" w:rsidRDefault="004169D6" w:rsidP="00AE2BC8">
            <w:pPr>
              <w:jc w:val="right"/>
              <w:rPr>
                <w:rFonts w:cstheme="minorHAnsi"/>
                <w:color w:val="0000E1"/>
              </w:rPr>
            </w:pPr>
            <w:r w:rsidRPr="004169D6">
              <w:rPr>
                <w:color w:val="0000E1"/>
              </w:rPr>
              <w:t>9,953</w:t>
            </w:r>
          </w:p>
        </w:tc>
        <w:tc>
          <w:tcPr>
            <w:tcW w:w="1006" w:type="dxa"/>
            <w:vAlign w:val="center"/>
          </w:tcPr>
          <w:p w14:paraId="6B1EDDDC" w14:textId="77777777" w:rsidR="004169D6" w:rsidRPr="004169D6" w:rsidRDefault="004169D6" w:rsidP="00AE2BC8">
            <w:pPr>
              <w:jc w:val="right"/>
              <w:rPr>
                <w:rFonts w:cstheme="minorHAnsi"/>
                <w:color w:val="0000E1"/>
              </w:rPr>
            </w:pPr>
            <w:r w:rsidRPr="004169D6">
              <w:rPr>
                <w:color w:val="0000E1"/>
              </w:rPr>
              <w:t>2.1</w:t>
            </w:r>
          </w:p>
        </w:tc>
      </w:tr>
      <w:tr w:rsidR="004169D6" w:rsidRPr="00CD5819" w14:paraId="7B36410B" w14:textId="77777777" w:rsidTr="00AE2BC8">
        <w:trPr>
          <w:trHeight w:val="260"/>
        </w:trPr>
        <w:tc>
          <w:tcPr>
            <w:tcW w:w="2466" w:type="dxa"/>
            <w:vAlign w:val="center"/>
          </w:tcPr>
          <w:p w14:paraId="0FF17450" w14:textId="77777777" w:rsidR="004169D6" w:rsidRPr="00CD5819" w:rsidRDefault="004169D6" w:rsidP="004169D6">
            <w:pPr>
              <w:jc w:val="right"/>
              <w:rPr>
                <w:rFonts w:cstheme="minorHAnsi"/>
                <w:color w:val="0000E1"/>
              </w:rPr>
            </w:pPr>
            <w:r w:rsidRPr="00CD5819">
              <w:rPr>
                <w:rFonts w:cstheme="minorHAnsi"/>
                <w:color w:val="0000E1"/>
              </w:rPr>
              <w:t>70-74</w:t>
            </w:r>
          </w:p>
        </w:tc>
        <w:tc>
          <w:tcPr>
            <w:tcW w:w="1186" w:type="dxa"/>
            <w:vAlign w:val="center"/>
          </w:tcPr>
          <w:p w14:paraId="3D07DFDA" w14:textId="77777777" w:rsidR="004169D6" w:rsidRPr="00CD5819" w:rsidRDefault="004169D6" w:rsidP="00AE2BC8">
            <w:pPr>
              <w:jc w:val="right"/>
              <w:rPr>
                <w:rFonts w:cstheme="minorHAnsi"/>
                <w:color w:val="0000E1"/>
              </w:rPr>
            </w:pPr>
            <w:r w:rsidRPr="00CD5819">
              <w:rPr>
                <w:rFonts w:ascii="Calibri" w:hAnsi="Calibri" w:cs="Calibri"/>
                <w:color w:val="0000E1"/>
              </w:rPr>
              <w:t xml:space="preserve">        4,156 </w:t>
            </w:r>
          </w:p>
        </w:tc>
        <w:tc>
          <w:tcPr>
            <w:tcW w:w="1006" w:type="dxa"/>
            <w:vAlign w:val="center"/>
          </w:tcPr>
          <w:p w14:paraId="72239046" w14:textId="77777777" w:rsidR="004169D6" w:rsidRPr="00CD5819" w:rsidRDefault="004169D6" w:rsidP="00AE2BC8">
            <w:pPr>
              <w:jc w:val="right"/>
              <w:rPr>
                <w:rFonts w:cstheme="minorHAnsi"/>
                <w:color w:val="0000E1"/>
              </w:rPr>
            </w:pPr>
            <w:r w:rsidRPr="00CD5819">
              <w:rPr>
                <w:rFonts w:ascii="Calibri" w:hAnsi="Calibri" w:cs="Calibri"/>
                <w:color w:val="0000E1"/>
              </w:rPr>
              <w:t>1.8</w:t>
            </w:r>
          </w:p>
        </w:tc>
        <w:tc>
          <w:tcPr>
            <w:tcW w:w="1186" w:type="dxa"/>
            <w:vAlign w:val="center"/>
          </w:tcPr>
          <w:p w14:paraId="5962C4B7" w14:textId="77777777" w:rsidR="004169D6" w:rsidRPr="004169D6" w:rsidRDefault="004169D6" w:rsidP="00AE2BC8">
            <w:pPr>
              <w:jc w:val="right"/>
              <w:rPr>
                <w:rFonts w:cstheme="minorHAnsi"/>
                <w:color w:val="0000E1"/>
              </w:rPr>
            </w:pPr>
            <w:r w:rsidRPr="004169D6">
              <w:rPr>
                <w:rFonts w:ascii="Calibri" w:hAnsi="Calibri" w:cs="Calibri"/>
                <w:color w:val="0000E1"/>
              </w:rPr>
              <w:t>9,007</w:t>
            </w:r>
          </w:p>
        </w:tc>
        <w:tc>
          <w:tcPr>
            <w:tcW w:w="1006" w:type="dxa"/>
            <w:vAlign w:val="center"/>
          </w:tcPr>
          <w:p w14:paraId="3D2180EA" w14:textId="77777777" w:rsidR="004169D6" w:rsidRPr="004169D6" w:rsidRDefault="004169D6" w:rsidP="00AE2BC8">
            <w:pPr>
              <w:jc w:val="right"/>
              <w:rPr>
                <w:rFonts w:cstheme="minorHAnsi"/>
                <w:color w:val="0000E1"/>
              </w:rPr>
            </w:pPr>
            <w:r w:rsidRPr="004169D6">
              <w:rPr>
                <w:rFonts w:ascii="Calibri" w:hAnsi="Calibri" w:cs="Calibri"/>
                <w:color w:val="0000E1"/>
              </w:rPr>
              <w:t>1.6</w:t>
            </w:r>
          </w:p>
        </w:tc>
        <w:tc>
          <w:tcPr>
            <w:tcW w:w="1186" w:type="dxa"/>
            <w:vAlign w:val="center"/>
          </w:tcPr>
          <w:p w14:paraId="495B6214" w14:textId="77777777" w:rsidR="004169D6" w:rsidRPr="004169D6" w:rsidRDefault="004169D6" w:rsidP="00AE2BC8">
            <w:pPr>
              <w:jc w:val="right"/>
              <w:rPr>
                <w:rFonts w:cstheme="minorHAnsi"/>
                <w:color w:val="0000E1"/>
              </w:rPr>
            </w:pPr>
            <w:r w:rsidRPr="004169D6">
              <w:rPr>
                <w:color w:val="0000E1"/>
              </w:rPr>
              <w:t>8,688</w:t>
            </w:r>
          </w:p>
        </w:tc>
        <w:tc>
          <w:tcPr>
            <w:tcW w:w="1006" w:type="dxa"/>
            <w:vAlign w:val="center"/>
          </w:tcPr>
          <w:p w14:paraId="51CE87A2" w14:textId="77777777" w:rsidR="004169D6" w:rsidRPr="004169D6" w:rsidRDefault="004169D6" w:rsidP="00AE2BC8">
            <w:pPr>
              <w:jc w:val="right"/>
              <w:rPr>
                <w:rFonts w:cstheme="minorHAnsi"/>
                <w:color w:val="0000E1"/>
              </w:rPr>
            </w:pPr>
            <w:r w:rsidRPr="004169D6">
              <w:rPr>
                <w:color w:val="0000E1"/>
              </w:rPr>
              <w:t>1.8</w:t>
            </w:r>
          </w:p>
        </w:tc>
      </w:tr>
      <w:tr w:rsidR="004169D6" w:rsidRPr="00CD5819" w14:paraId="22696E2F" w14:textId="77777777" w:rsidTr="00AE2BC8">
        <w:trPr>
          <w:trHeight w:val="260"/>
        </w:trPr>
        <w:tc>
          <w:tcPr>
            <w:tcW w:w="2466" w:type="dxa"/>
            <w:vAlign w:val="center"/>
          </w:tcPr>
          <w:p w14:paraId="6B6A321D" w14:textId="77777777" w:rsidR="004169D6" w:rsidRPr="00CD5819" w:rsidRDefault="004169D6" w:rsidP="004169D6">
            <w:pPr>
              <w:jc w:val="right"/>
              <w:rPr>
                <w:rFonts w:cstheme="minorHAnsi"/>
                <w:color w:val="0000E1"/>
              </w:rPr>
            </w:pPr>
            <w:r w:rsidRPr="00CD5819">
              <w:rPr>
                <w:rFonts w:cstheme="minorHAnsi"/>
                <w:color w:val="0000E1"/>
              </w:rPr>
              <w:t>75-79</w:t>
            </w:r>
          </w:p>
        </w:tc>
        <w:tc>
          <w:tcPr>
            <w:tcW w:w="1186" w:type="dxa"/>
            <w:vAlign w:val="center"/>
          </w:tcPr>
          <w:p w14:paraId="64116AC2" w14:textId="77777777" w:rsidR="004169D6" w:rsidRPr="00CD5819" w:rsidRDefault="004169D6" w:rsidP="00AE2BC8">
            <w:pPr>
              <w:jc w:val="right"/>
              <w:rPr>
                <w:rFonts w:cstheme="minorHAnsi"/>
                <w:color w:val="0000E1"/>
              </w:rPr>
            </w:pPr>
            <w:r w:rsidRPr="00CD5819">
              <w:rPr>
                <w:rFonts w:ascii="Calibri" w:hAnsi="Calibri" w:cs="Calibri"/>
                <w:color w:val="0000E1"/>
              </w:rPr>
              <w:t xml:space="preserve">        2,935 </w:t>
            </w:r>
          </w:p>
        </w:tc>
        <w:tc>
          <w:tcPr>
            <w:tcW w:w="1006" w:type="dxa"/>
            <w:vAlign w:val="center"/>
          </w:tcPr>
          <w:p w14:paraId="0B3987CB" w14:textId="77777777" w:rsidR="004169D6" w:rsidRPr="00CD5819" w:rsidRDefault="004169D6" w:rsidP="00AE2BC8">
            <w:pPr>
              <w:jc w:val="right"/>
              <w:rPr>
                <w:rFonts w:cstheme="minorHAnsi"/>
                <w:color w:val="0000E1"/>
              </w:rPr>
            </w:pPr>
            <w:r w:rsidRPr="00CD5819">
              <w:rPr>
                <w:rFonts w:ascii="Calibri" w:hAnsi="Calibri" w:cs="Calibri"/>
                <w:color w:val="0000E1"/>
              </w:rPr>
              <w:t>1.3</w:t>
            </w:r>
          </w:p>
        </w:tc>
        <w:tc>
          <w:tcPr>
            <w:tcW w:w="1186" w:type="dxa"/>
            <w:vAlign w:val="center"/>
          </w:tcPr>
          <w:p w14:paraId="391B3F21" w14:textId="77777777" w:rsidR="004169D6" w:rsidRPr="004169D6" w:rsidRDefault="004169D6" w:rsidP="00AE2BC8">
            <w:pPr>
              <w:jc w:val="right"/>
              <w:rPr>
                <w:rFonts w:cstheme="minorHAnsi"/>
                <w:color w:val="0000E1"/>
              </w:rPr>
            </w:pPr>
            <w:r w:rsidRPr="004169D6">
              <w:rPr>
                <w:rFonts w:ascii="Calibri" w:hAnsi="Calibri" w:cs="Calibri"/>
                <w:color w:val="0000E1"/>
              </w:rPr>
              <w:t>6,790</w:t>
            </w:r>
          </w:p>
        </w:tc>
        <w:tc>
          <w:tcPr>
            <w:tcW w:w="1006" w:type="dxa"/>
            <w:vAlign w:val="center"/>
          </w:tcPr>
          <w:p w14:paraId="65519A4C" w14:textId="77777777" w:rsidR="004169D6" w:rsidRPr="004169D6" w:rsidRDefault="004169D6" w:rsidP="00AE2BC8">
            <w:pPr>
              <w:jc w:val="right"/>
              <w:rPr>
                <w:rFonts w:cstheme="minorHAnsi"/>
                <w:color w:val="0000E1"/>
              </w:rPr>
            </w:pPr>
            <w:r w:rsidRPr="004169D6">
              <w:rPr>
                <w:rFonts w:ascii="Calibri" w:hAnsi="Calibri" w:cs="Calibri"/>
                <w:color w:val="0000E1"/>
              </w:rPr>
              <w:t>1.2</w:t>
            </w:r>
          </w:p>
        </w:tc>
        <w:tc>
          <w:tcPr>
            <w:tcW w:w="1186" w:type="dxa"/>
            <w:vAlign w:val="center"/>
          </w:tcPr>
          <w:p w14:paraId="06993020" w14:textId="77777777" w:rsidR="004169D6" w:rsidRPr="004169D6" w:rsidRDefault="004169D6" w:rsidP="00AE2BC8">
            <w:pPr>
              <w:jc w:val="right"/>
              <w:rPr>
                <w:rFonts w:cstheme="minorHAnsi"/>
                <w:color w:val="0000E1"/>
              </w:rPr>
            </w:pPr>
            <w:r w:rsidRPr="004169D6">
              <w:rPr>
                <w:color w:val="0000E1"/>
              </w:rPr>
              <w:t>6,298</w:t>
            </w:r>
          </w:p>
        </w:tc>
        <w:tc>
          <w:tcPr>
            <w:tcW w:w="1006" w:type="dxa"/>
            <w:vAlign w:val="center"/>
          </w:tcPr>
          <w:p w14:paraId="3DD7FF49" w14:textId="77777777" w:rsidR="004169D6" w:rsidRPr="004169D6" w:rsidRDefault="004169D6" w:rsidP="00AE2BC8">
            <w:pPr>
              <w:jc w:val="right"/>
              <w:rPr>
                <w:rFonts w:cstheme="minorHAnsi"/>
                <w:color w:val="0000E1"/>
              </w:rPr>
            </w:pPr>
            <w:r w:rsidRPr="004169D6">
              <w:rPr>
                <w:color w:val="0000E1"/>
              </w:rPr>
              <w:t>1.3</w:t>
            </w:r>
          </w:p>
        </w:tc>
      </w:tr>
      <w:tr w:rsidR="004169D6" w:rsidRPr="00CD5819" w14:paraId="42366B35" w14:textId="77777777" w:rsidTr="00AE2BC8">
        <w:trPr>
          <w:trHeight w:val="260"/>
        </w:trPr>
        <w:tc>
          <w:tcPr>
            <w:tcW w:w="2466" w:type="dxa"/>
            <w:vAlign w:val="center"/>
          </w:tcPr>
          <w:p w14:paraId="41B4D2AC" w14:textId="77777777" w:rsidR="004169D6" w:rsidRPr="00CD5819" w:rsidRDefault="004169D6" w:rsidP="004169D6">
            <w:pPr>
              <w:jc w:val="right"/>
              <w:rPr>
                <w:rFonts w:cstheme="minorHAnsi"/>
                <w:color w:val="0000E1"/>
              </w:rPr>
            </w:pPr>
            <w:r w:rsidRPr="00CD5819">
              <w:rPr>
                <w:rFonts w:cstheme="minorHAnsi"/>
                <w:color w:val="0000E1"/>
              </w:rPr>
              <w:t>80+</w:t>
            </w:r>
          </w:p>
        </w:tc>
        <w:tc>
          <w:tcPr>
            <w:tcW w:w="1186" w:type="dxa"/>
            <w:vAlign w:val="center"/>
          </w:tcPr>
          <w:p w14:paraId="5102E2E8" w14:textId="77777777" w:rsidR="004169D6" w:rsidRPr="00CD5819" w:rsidRDefault="004169D6" w:rsidP="00AE2BC8">
            <w:pPr>
              <w:jc w:val="right"/>
              <w:rPr>
                <w:rFonts w:cstheme="minorHAnsi"/>
                <w:color w:val="0000E1"/>
              </w:rPr>
            </w:pPr>
            <w:r w:rsidRPr="00CD5819">
              <w:rPr>
                <w:rFonts w:ascii="Calibri" w:hAnsi="Calibri" w:cs="Calibri"/>
                <w:color w:val="0000E1"/>
              </w:rPr>
              <w:t xml:space="preserve">        2,207 </w:t>
            </w:r>
          </w:p>
        </w:tc>
        <w:tc>
          <w:tcPr>
            <w:tcW w:w="1006" w:type="dxa"/>
            <w:vAlign w:val="center"/>
          </w:tcPr>
          <w:p w14:paraId="76C7B0A0" w14:textId="77777777" w:rsidR="004169D6" w:rsidRPr="00CD5819" w:rsidRDefault="004169D6" w:rsidP="00AE2BC8">
            <w:pPr>
              <w:jc w:val="right"/>
              <w:rPr>
                <w:rFonts w:cstheme="minorHAnsi"/>
                <w:color w:val="0000E1"/>
              </w:rPr>
            </w:pPr>
            <w:r w:rsidRPr="00CD5819">
              <w:rPr>
                <w:rFonts w:ascii="Calibri" w:hAnsi="Calibri" w:cs="Calibri"/>
                <w:color w:val="0000E1"/>
              </w:rPr>
              <w:t>0.9</w:t>
            </w:r>
          </w:p>
        </w:tc>
        <w:tc>
          <w:tcPr>
            <w:tcW w:w="1186" w:type="dxa"/>
            <w:vAlign w:val="center"/>
          </w:tcPr>
          <w:p w14:paraId="65CFDBDD" w14:textId="77777777" w:rsidR="004169D6" w:rsidRPr="004169D6" w:rsidRDefault="004169D6" w:rsidP="00AE2BC8">
            <w:pPr>
              <w:jc w:val="right"/>
              <w:rPr>
                <w:rFonts w:cstheme="minorHAnsi"/>
                <w:color w:val="0000E1"/>
              </w:rPr>
            </w:pPr>
            <w:r w:rsidRPr="004169D6">
              <w:rPr>
                <w:rFonts w:ascii="Calibri" w:hAnsi="Calibri" w:cs="Calibri"/>
                <w:color w:val="0000E1"/>
              </w:rPr>
              <w:t>5,924</w:t>
            </w:r>
          </w:p>
        </w:tc>
        <w:tc>
          <w:tcPr>
            <w:tcW w:w="1006" w:type="dxa"/>
            <w:vAlign w:val="center"/>
          </w:tcPr>
          <w:p w14:paraId="7232A34B" w14:textId="77777777" w:rsidR="004169D6" w:rsidRPr="004169D6" w:rsidRDefault="004169D6" w:rsidP="00AE2BC8">
            <w:pPr>
              <w:jc w:val="right"/>
              <w:rPr>
                <w:rFonts w:cstheme="minorHAnsi"/>
                <w:color w:val="0000E1"/>
              </w:rPr>
            </w:pPr>
            <w:r w:rsidRPr="004169D6">
              <w:rPr>
                <w:rFonts w:ascii="Calibri" w:hAnsi="Calibri" w:cs="Calibri"/>
                <w:color w:val="0000E1"/>
              </w:rPr>
              <w:t>1.0</w:t>
            </w:r>
          </w:p>
        </w:tc>
        <w:tc>
          <w:tcPr>
            <w:tcW w:w="1186" w:type="dxa"/>
            <w:vAlign w:val="center"/>
          </w:tcPr>
          <w:p w14:paraId="1BAF77AC" w14:textId="77777777" w:rsidR="004169D6" w:rsidRPr="004169D6" w:rsidRDefault="004169D6" w:rsidP="00AE2BC8">
            <w:pPr>
              <w:jc w:val="right"/>
              <w:rPr>
                <w:rFonts w:cstheme="minorHAnsi"/>
                <w:color w:val="0000E1"/>
              </w:rPr>
            </w:pPr>
            <w:r w:rsidRPr="004169D6">
              <w:rPr>
                <w:color w:val="0000E1"/>
              </w:rPr>
              <w:t>4,891</w:t>
            </w:r>
          </w:p>
        </w:tc>
        <w:tc>
          <w:tcPr>
            <w:tcW w:w="1006" w:type="dxa"/>
            <w:vAlign w:val="center"/>
          </w:tcPr>
          <w:p w14:paraId="358ECC0A" w14:textId="77777777" w:rsidR="004169D6" w:rsidRPr="004169D6" w:rsidRDefault="004169D6" w:rsidP="00AE2BC8">
            <w:pPr>
              <w:jc w:val="right"/>
              <w:rPr>
                <w:rFonts w:cstheme="minorHAnsi"/>
                <w:color w:val="0000E1"/>
              </w:rPr>
            </w:pPr>
            <w:r w:rsidRPr="004169D6">
              <w:rPr>
                <w:color w:val="0000E1"/>
              </w:rPr>
              <w:t>1.0</w:t>
            </w:r>
          </w:p>
        </w:tc>
      </w:tr>
      <w:tr w:rsidR="004169D6" w:rsidRPr="00CD5819" w14:paraId="79C2C34B" w14:textId="77777777" w:rsidTr="00AE2BC8">
        <w:trPr>
          <w:trHeight w:val="260"/>
        </w:trPr>
        <w:tc>
          <w:tcPr>
            <w:tcW w:w="2466" w:type="dxa"/>
            <w:vAlign w:val="center"/>
          </w:tcPr>
          <w:p w14:paraId="3CBBA659" w14:textId="77777777" w:rsidR="004169D6" w:rsidRPr="00CD5819" w:rsidRDefault="004169D6" w:rsidP="004169D6">
            <w:pPr>
              <w:rPr>
                <w:rFonts w:cstheme="minorHAnsi"/>
                <w:b/>
                <w:color w:val="0000E1"/>
              </w:rPr>
            </w:pPr>
            <w:r w:rsidRPr="00CD5819">
              <w:rPr>
                <w:rFonts w:cstheme="minorHAnsi"/>
                <w:b/>
                <w:color w:val="0000E1"/>
              </w:rPr>
              <w:t>Gender</w:t>
            </w:r>
          </w:p>
        </w:tc>
        <w:tc>
          <w:tcPr>
            <w:tcW w:w="1186" w:type="dxa"/>
            <w:vAlign w:val="center"/>
          </w:tcPr>
          <w:p w14:paraId="05E972DC" w14:textId="77777777" w:rsidR="004169D6" w:rsidRPr="00CD5819" w:rsidRDefault="004169D6" w:rsidP="00AE2BC8">
            <w:pPr>
              <w:jc w:val="right"/>
              <w:rPr>
                <w:rFonts w:cstheme="minorHAnsi"/>
                <w:color w:val="0000E1"/>
              </w:rPr>
            </w:pPr>
          </w:p>
        </w:tc>
        <w:tc>
          <w:tcPr>
            <w:tcW w:w="1006" w:type="dxa"/>
            <w:vAlign w:val="center"/>
          </w:tcPr>
          <w:p w14:paraId="67E8232F" w14:textId="77777777" w:rsidR="004169D6" w:rsidRPr="00CD5819" w:rsidRDefault="004169D6" w:rsidP="00AE2BC8">
            <w:pPr>
              <w:jc w:val="right"/>
              <w:rPr>
                <w:rFonts w:cstheme="minorHAnsi"/>
                <w:color w:val="0000E1"/>
              </w:rPr>
            </w:pPr>
          </w:p>
        </w:tc>
        <w:tc>
          <w:tcPr>
            <w:tcW w:w="1186" w:type="dxa"/>
            <w:vAlign w:val="center"/>
          </w:tcPr>
          <w:p w14:paraId="4F9AA3EE" w14:textId="77777777" w:rsidR="004169D6" w:rsidRPr="004169D6" w:rsidRDefault="004169D6" w:rsidP="00AE2BC8">
            <w:pPr>
              <w:jc w:val="right"/>
              <w:rPr>
                <w:rFonts w:cstheme="minorHAnsi"/>
                <w:color w:val="0000E1"/>
              </w:rPr>
            </w:pPr>
          </w:p>
        </w:tc>
        <w:tc>
          <w:tcPr>
            <w:tcW w:w="1006" w:type="dxa"/>
            <w:vAlign w:val="center"/>
          </w:tcPr>
          <w:p w14:paraId="7A8FC3D7" w14:textId="77777777" w:rsidR="004169D6" w:rsidRPr="004169D6" w:rsidRDefault="004169D6" w:rsidP="00AE2BC8">
            <w:pPr>
              <w:jc w:val="right"/>
              <w:rPr>
                <w:rFonts w:cstheme="minorHAnsi"/>
                <w:color w:val="0000E1"/>
              </w:rPr>
            </w:pPr>
          </w:p>
        </w:tc>
        <w:tc>
          <w:tcPr>
            <w:tcW w:w="1186" w:type="dxa"/>
            <w:vAlign w:val="center"/>
          </w:tcPr>
          <w:p w14:paraId="7858FBE6" w14:textId="77777777" w:rsidR="004169D6" w:rsidRPr="004169D6" w:rsidRDefault="004169D6" w:rsidP="00AE2BC8">
            <w:pPr>
              <w:jc w:val="right"/>
              <w:rPr>
                <w:rFonts w:cstheme="minorHAnsi"/>
                <w:color w:val="0000E1"/>
              </w:rPr>
            </w:pPr>
          </w:p>
        </w:tc>
        <w:tc>
          <w:tcPr>
            <w:tcW w:w="1006" w:type="dxa"/>
            <w:vAlign w:val="center"/>
          </w:tcPr>
          <w:p w14:paraId="08C49CDF" w14:textId="77777777" w:rsidR="004169D6" w:rsidRPr="004169D6" w:rsidRDefault="004169D6" w:rsidP="00AE2BC8">
            <w:pPr>
              <w:jc w:val="right"/>
              <w:rPr>
                <w:rFonts w:cstheme="minorHAnsi"/>
                <w:color w:val="0000E1"/>
              </w:rPr>
            </w:pPr>
          </w:p>
        </w:tc>
      </w:tr>
      <w:tr w:rsidR="004169D6" w:rsidRPr="00CD5819" w14:paraId="382DE8C1" w14:textId="77777777" w:rsidTr="00AE2BC8">
        <w:trPr>
          <w:trHeight w:val="260"/>
        </w:trPr>
        <w:tc>
          <w:tcPr>
            <w:tcW w:w="2466" w:type="dxa"/>
            <w:vAlign w:val="center"/>
          </w:tcPr>
          <w:p w14:paraId="3FCAFB7F" w14:textId="77777777" w:rsidR="004169D6" w:rsidRPr="00CD5819" w:rsidRDefault="004169D6" w:rsidP="004169D6">
            <w:pPr>
              <w:jc w:val="right"/>
              <w:rPr>
                <w:rFonts w:cstheme="minorHAnsi"/>
                <w:color w:val="0000E1"/>
              </w:rPr>
            </w:pPr>
            <w:r w:rsidRPr="00CD5819">
              <w:rPr>
                <w:rFonts w:cstheme="minorHAnsi"/>
                <w:color w:val="0000E1"/>
              </w:rPr>
              <w:t>Male</w:t>
            </w:r>
          </w:p>
        </w:tc>
        <w:tc>
          <w:tcPr>
            <w:tcW w:w="1186" w:type="dxa"/>
            <w:vAlign w:val="center"/>
          </w:tcPr>
          <w:p w14:paraId="691F1CAA" w14:textId="77777777" w:rsidR="004169D6" w:rsidRPr="00CD5819" w:rsidRDefault="004169D6" w:rsidP="00AE2BC8">
            <w:pPr>
              <w:jc w:val="right"/>
              <w:rPr>
                <w:rFonts w:cstheme="minorHAnsi"/>
                <w:color w:val="0000E1"/>
              </w:rPr>
            </w:pPr>
            <w:r w:rsidRPr="00CD5819">
              <w:rPr>
                <w:rFonts w:ascii="Calibri" w:hAnsi="Calibri" w:cs="Calibri"/>
                <w:color w:val="0000E1"/>
              </w:rPr>
              <w:t xml:space="preserve">      85,145 </w:t>
            </w:r>
          </w:p>
        </w:tc>
        <w:tc>
          <w:tcPr>
            <w:tcW w:w="1006" w:type="dxa"/>
            <w:vAlign w:val="center"/>
          </w:tcPr>
          <w:p w14:paraId="699B8451" w14:textId="77777777" w:rsidR="004169D6" w:rsidRPr="00CD5819" w:rsidRDefault="004169D6" w:rsidP="00AE2BC8">
            <w:pPr>
              <w:jc w:val="right"/>
              <w:rPr>
                <w:rFonts w:cstheme="minorHAnsi"/>
                <w:color w:val="0000E1"/>
              </w:rPr>
            </w:pPr>
            <w:r w:rsidRPr="00CD5819">
              <w:rPr>
                <w:rFonts w:ascii="Calibri" w:hAnsi="Calibri" w:cs="Calibri"/>
                <w:color w:val="0000E1"/>
              </w:rPr>
              <w:t>36.4</w:t>
            </w:r>
          </w:p>
        </w:tc>
        <w:tc>
          <w:tcPr>
            <w:tcW w:w="1186" w:type="dxa"/>
            <w:vAlign w:val="center"/>
          </w:tcPr>
          <w:p w14:paraId="0E2FFA1C" w14:textId="77777777" w:rsidR="004169D6" w:rsidRPr="004169D6" w:rsidRDefault="004169D6" w:rsidP="00AE2BC8">
            <w:pPr>
              <w:jc w:val="right"/>
              <w:rPr>
                <w:rFonts w:cstheme="minorHAnsi"/>
                <w:color w:val="0000E1"/>
              </w:rPr>
            </w:pPr>
            <w:r w:rsidRPr="004169D6">
              <w:rPr>
                <w:rFonts w:ascii="Calibri" w:hAnsi="Calibri" w:cs="Calibri"/>
                <w:color w:val="0000E1"/>
              </w:rPr>
              <w:t>237,688</w:t>
            </w:r>
          </w:p>
        </w:tc>
        <w:tc>
          <w:tcPr>
            <w:tcW w:w="1006" w:type="dxa"/>
            <w:vAlign w:val="center"/>
          </w:tcPr>
          <w:p w14:paraId="619AC01D" w14:textId="77777777" w:rsidR="004169D6" w:rsidRPr="004169D6" w:rsidRDefault="004169D6" w:rsidP="00AE2BC8">
            <w:pPr>
              <w:jc w:val="right"/>
              <w:rPr>
                <w:rFonts w:cstheme="minorHAnsi"/>
                <w:color w:val="0000E1"/>
              </w:rPr>
            </w:pPr>
            <w:r w:rsidRPr="004169D6">
              <w:rPr>
                <w:rFonts w:ascii="Calibri" w:hAnsi="Calibri" w:cs="Calibri"/>
                <w:color w:val="0000E1"/>
              </w:rPr>
              <w:t>41.5</w:t>
            </w:r>
          </w:p>
        </w:tc>
        <w:tc>
          <w:tcPr>
            <w:tcW w:w="1186" w:type="dxa"/>
            <w:vAlign w:val="center"/>
          </w:tcPr>
          <w:p w14:paraId="08C8FE5E" w14:textId="77777777" w:rsidR="004169D6" w:rsidRPr="004169D6" w:rsidRDefault="004169D6" w:rsidP="00AE2BC8">
            <w:pPr>
              <w:jc w:val="right"/>
              <w:rPr>
                <w:rFonts w:cstheme="minorHAnsi"/>
                <w:color w:val="0000E1"/>
              </w:rPr>
            </w:pPr>
            <w:r w:rsidRPr="004169D6">
              <w:rPr>
                <w:color w:val="0000E1"/>
              </w:rPr>
              <w:t>195,843</w:t>
            </w:r>
          </w:p>
        </w:tc>
        <w:tc>
          <w:tcPr>
            <w:tcW w:w="1006" w:type="dxa"/>
            <w:vAlign w:val="center"/>
          </w:tcPr>
          <w:p w14:paraId="21D309DB" w14:textId="77777777" w:rsidR="004169D6" w:rsidRPr="004169D6" w:rsidRDefault="004169D6" w:rsidP="00AE2BC8">
            <w:pPr>
              <w:jc w:val="right"/>
              <w:rPr>
                <w:rFonts w:cstheme="minorHAnsi"/>
                <w:color w:val="0000E1"/>
              </w:rPr>
            </w:pPr>
            <w:r w:rsidRPr="004169D6">
              <w:rPr>
                <w:color w:val="0000E1"/>
              </w:rPr>
              <w:t>40.9</w:t>
            </w:r>
          </w:p>
        </w:tc>
      </w:tr>
      <w:tr w:rsidR="004169D6" w:rsidRPr="00CD5819" w14:paraId="4183C566" w14:textId="77777777" w:rsidTr="00AE2BC8">
        <w:trPr>
          <w:trHeight w:val="260"/>
        </w:trPr>
        <w:tc>
          <w:tcPr>
            <w:tcW w:w="2466" w:type="dxa"/>
            <w:vAlign w:val="center"/>
          </w:tcPr>
          <w:p w14:paraId="544717EB" w14:textId="77777777" w:rsidR="004169D6" w:rsidRPr="00CD5819" w:rsidRDefault="004169D6" w:rsidP="004169D6">
            <w:pPr>
              <w:rPr>
                <w:rFonts w:cstheme="minorHAnsi"/>
                <w:b/>
                <w:color w:val="0000E1"/>
              </w:rPr>
            </w:pPr>
            <w:r w:rsidRPr="00CD5819">
              <w:rPr>
                <w:rFonts w:cstheme="minorHAnsi"/>
                <w:b/>
                <w:color w:val="0000E1"/>
              </w:rPr>
              <w:t>Race</w:t>
            </w:r>
          </w:p>
        </w:tc>
        <w:tc>
          <w:tcPr>
            <w:tcW w:w="1186" w:type="dxa"/>
            <w:vAlign w:val="center"/>
          </w:tcPr>
          <w:p w14:paraId="466D6A1D" w14:textId="77777777" w:rsidR="004169D6" w:rsidRPr="00CD5819" w:rsidRDefault="004169D6" w:rsidP="00AE2BC8">
            <w:pPr>
              <w:jc w:val="right"/>
              <w:rPr>
                <w:rFonts w:cstheme="minorHAnsi"/>
                <w:color w:val="0000E1"/>
              </w:rPr>
            </w:pPr>
          </w:p>
        </w:tc>
        <w:tc>
          <w:tcPr>
            <w:tcW w:w="1006" w:type="dxa"/>
            <w:vAlign w:val="center"/>
          </w:tcPr>
          <w:p w14:paraId="6E8CA8E8" w14:textId="77777777" w:rsidR="004169D6" w:rsidRPr="00CD5819" w:rsidRDefault="004169D6" w:rsidP="00AE2BC8">
            <w:pPr>
              <w:jc w:val="right"/>
              <w:rPr>
                <w:rFonts w:cstheme="minorHAnsi"/>
                <w:color w:val="0000E1"/>
              </w:rPr>
            </w:pPr>
          </w:p>
        </w:tc>
        <w:tc>
          <w:tcPr>
            <w:tcW w:w="1186" w:type="dxa"/>
            <w:vAlign w:val="center"/>
          </w:tcPr>
          <w:p w14:paraId="2538CC56" w14:textId="77777777" w:rsidR="004169D6" w:rsidRPr="004169D6" w:rsidRDefault="004169D6" w:rsidP="00AE2BC8">
            <w:pPr>
              <w:jc w:val="right"/>
              <w:rPr>
                <w:rFonts w:cstheme="minorHAnsi"/>
                <w:color w:val="0000E1"/>
              </w:rPr>
            </w:pPr>
          </w:p>
        </w:tc>
        <w:tc>
          <w:tcPr>
            <w:tcW w:w="1006" w:type="dxa"/>
            <w:vAlign w:val="center"/>
          </w:tcPr>
          <w:p w14:paraId="0F03C30E" w14:textId="77777777" w:rsidR="004169D6" w:rsidRPr="004169D6" w:rsidRDefault="004169D6" w:rsidP="00AE2BC8">
            <w:pPr>
              <w:jc w:val="right"/>
              <w:rPr>
                <w:rFonts w:cstheme="minorHAnsi"/>
                <w:color w:val="0000E1"/>
              </w:rPr>
            </w:pPr>
          </w:p>
        </w:tc>
        <w:tc>
          <w:tcPr>
            <w:tcW w:w="1186" w:type="dxa"/>
            <w:vAlign w:val="center"/>
          </w:tcPr>
          <w:p w14:paraId="1E5EB253" w14:textId="77777777" w:rsidR="004169D6" w:rsidRPr="004169D6" w:rsidRDefault="004169D6" w:rsidP="00AE2BC8">
            <w:pPr>
              <w:jc w:val="right"/>
              <w:rPr>
                <w:rFonts w:cstheme="minorHAnsi"/>
                <w:color w:val="0000E1"/>
              </w:rPr>
            </w:pPr>
          </w:p>
        </w:tc>
        <w:tc>
          <w:tcPr>
            <w:tcW w:w="1006" w:type="dxa"/>
            <w:vAlign w:val="center"/>
          </w:tcPr>
          <w:p w14:paraId="31EBE382" w14:textId="77777777" w:rsidR="004169D6" w:rsidRPr="004169D6" w:rsidRDefault="004169D6" w:rsidP="00AE2BC8">
            <w:pPr>
              <w:jc w:val="right"/>
              <w:rPr>
                <w:rFonts w:cstheme="minorHAnsi"/>
                <w:color w:val="0000E1"/>
              </w:rPr>
            </w:pPr>
          </w:p>
        </w:tc>
      </w:tr>
      <w:tr w:rsidR="004169D6" w:rsidRPr="00CD5819" w14:paraId="5398998E" w14:textId="77777777" w:rsidTr="00AE2BC8">
        <w:trPr>
          <w:trHeight w:val="260"/>
        </w:trPr>
        <w:tc>
          <w:tcPr>
            <w:tcW w:w="2466" w:type="dxa"/>
            <w:vAlign w:val="center"/>
          </w:tcPr>
          <w:p w14:paraId="7738A55B" w14:textId="77777777" w:rsidR="004169D6" w:rsidRPr="00CD5819" w:rsidRDefault="004169D6" w:rsidP="004169D6">
            <w:pPr>
              <w:jc w:val="right"/>
              <w:rPr>
                <w:rFonts w:cstheme="minorHAnsi"/>
                <w:color w:val="0000E1"/>
              </w:rPr>
            </w:pPr>
            <w:r w:rsidRPr="00CD5819">
              <w:rPr>
                <w:rFonts w:cstheme="minorHAnsi"/>
                <w:color w:val="0000E1"/>
                <w:kern w:val="24"/>
              </w:rPr>
              <w:t>White</w:t>
            </w:r>
          </w:p>
        </w:tc>
        <w:tc>
          <w:tcPr>
            <w:tcW w:w="1186" w:type="dxa"/>
            <w:vAlign w:val="center"/>
          </w:tcPr>
          <w:p w14:paraId="532C82F4" w14:textId="77777777" w:rsidR="004169D6" w:rsidRPr="00CD5819" w:rsidRDefault="004169D6" w:rsidP="00AE2BC8">
            <w:pPr>
              <w:jc w:val="right"/>
              <w:rPr>
                <w:rFonts w:cstheme="minorHAnsi"/>
                <w:color w:val="0000E1"/>
              </w:rPr>
            </w:pPr>
            <w:r w:rsidRPr="00CD5819">
              <w:rPr>
                <w:rFonts w:ascii="Calibri" w:hAnsi="Calibri" w:cs="Calibri"/>
                <w:color w:val="0000E1"/>
              </w:rPr>
              <w:t xml:space="preserve">      82,416 </w:t>
            </w:r>
          </w:p>
        </w:tc>
        <w:tc>
          <w:tcPr>
            <w:tcW w:w="1006" w:type="dxa"/>
            <w:vAlign w:val="center"/>
          </w:tcPr>
          <w:p w14:paraId="6DA89DE2" w14:textId="77777777" w:rsidR="004169D6" w:rsidRPr="00CD5819" w:rsidRDefault="004169D6" w:rsidP="00AE2BC8">
            <w:pPr>
              <w:jc w:val="right"/>
              <w:rPr>
                <w:rFonts w:cstheme="minorHAnsi"/>
                <w:color w:val="0000E1"/>
              </w:rPr>
            </w:pPr>
            <w:r w:rsidRPr="00CD5819">
              <w:rPr>
                <w:rFonts w:ascii="Calibri" w:hAnsi="Calibri" w:cs="Calibri"/>
                <w:color w:val="0000E1"/>
              </w:rPr>
              <w:t>35.2</w:t>
            </w:r>
          </w:p>
        </w:tc>
        <w:tc>
          <w:tcPr>
            <w:tcW w:w="1186" w:type="dxa"/>
            <w:vAlign w:val="center"/>
          </w:tcPr>
          <w:p w14:paraId="78BDDFBC" w14:textId="77777777" w:rsidR="004169D6" w:rsidRPr="004169D6" w:rsidRDefault="004169D6" w:rsidP="00AE2BC8">
            <w:pPr>
              <w:jc w:val="right"/>
              <w:rPr>
                <w:rFonts w:cstheme="minorHAnsi"/>
                <w:color w:val="0000E1"/>
              </w:rPr>
            </w:pPr>
            <w:r w:rsidRPr="004169D6">
              <w:rPr>
                <w:rFonts w:ascii="Calibri" w:hAnsi="Calibri" w:cs="Calibri"/>
                <w:color w:val="0000E1"/>
              </w:rPr>
              <w:t>222,499</w:t>
            </w:r>
          </w:p>
        </w:tc>
        <w:tc>
          <w:tcPr>
            <w:tcW w:w="1006" w:type="dxa"/>
            <w:vAlign w:val="center"/>
          </w:tcPr>
          <w:p w14:paraId="273D1A39" w14:textId="77777777" w:rsidR="004169D6" w:rsidRPr="004169D6" w:rsidRDefault="004169D6" w:rsidP="00AE2BC8">
            <w:pPr>
              <w:jc w:val="right"/>
              <w:rPr>
                <w:rFonts w:cstheme="minorHAnsi"/>
                <w:color w:val="0000E1"/>
              </w:rPr>
            </w:pPr>
            <w:r w:rsidRPr="004169D6">
              <w:rPr>
                <w:rFonts w:ascii="Calibri" w:hAnsi="Calibri" w:cs="Calibri"/>
                <w:color w:val="0000E1"/>
              </w:rPr>
              <w:t>38.9</w:t>
            </w:r>
          </w:p>
        </w:tc>
        <w:tc>
          <w:tcPr>
            <w:tcW w:w="1186" w:type="dxa"/>
            <w:vAlign w:val="center"/>
          </w:tcPr>
          <w:p w14:paraId="6E23B7F9" w14:textId="77777777" w:rsidR="004169D6" w:rsidRPr="004169D6" w:rsidRDefault="004169D6" w:rsidP="00AE2BC8">
            <w:pPr>
              <w:jc w:val="right"/>
              <w:rPr>
                <w:rFonts w:cstheme="minorHAnsi"/>
                <w:color w:val="0000E1"/>
              </w:rPr>
            </w:pPr>
            <w:r w:rsidRPr="004169D6">
              <w:rPr>
                <w:color w:val="0000E1"/>
              </w:rPr>
              <w:t>200,878</w:t>
            </w:r>
          </w:p>
        </w:tc>
        <w:tc>
          <w:tcPr>
            <w:tcW w:w="1006" w:type="dxa"/>
            <w:vAlign w:val="center"/>
          </w:tcPr>
          <w:p w14:paraId="6B55BF4B" w14:textId="77777777" w:rsidR="004169D6" w:rsidRPr="004169D6" w:rsidRDefault="004169D6" w:rsidP="00AE2BC8">
            <w:pPr>
              <w:jc w:val="right"/>
              <w:rPr>
                <w:rFonts w:cstheme="minorHAnsi"/>
                <w:color w:val="0000E1"/>
              </w:rPr>
            </w:pPr>
            <w:r w:rsidRPr="004169D6">
              <w:rPr>
                <w:color w:val="0000E1"/>
              </w:rPr>
              <w:t>42.0</w:t>
            </w:r>
          </w:p>
        </w:tc>
      </w:tr>
      <w:tr w:rsidR="004169D6" w:rsidRPr="00CD5819" w14:paraId="0DB1A3A5" w14:textId="77777777" w:rsidTr="00AE2BC8">
        <w:trPr>
          <w:trHeight w:val="260"/>
        </w:trPr>
        <w:tc>
          <w:tcPr>
            <w:tcW w:w="2466" w:type="dxa"/>
            <w:vAlign w:val="center"/>
          </w:tcPr>
          <w:p w14:paraId="2047B96D" w14:textId="77777777" w:rsidR="004169D6" w:rsidRPr="00CD5819" w:rsidRDefault="004169D6" w:rsidP="004169D6">
            <w:pPr>
              <w:jc w:val="right"/>
              <w:rPr>
                <w:rFonts w:cstheme="minorHAnsi"/>
                <w:color w:val="0000E1"/>
              </w:rPr>
            </w:pPr>
            <w:r w:rsidRPr="00CD5819">
              <w:rPr>
                <w:rFonts w:cstheme="minorHAnsi"/>
                <w:color w:val="0000E1"/>
                <w:kern w:val="24"/>
              </w:rPr>
              <w:t>Black</w:t>
            </w:r>
          </w:p>
        </w:tc>
        <w:tc>
          <w:tcPr>
            <w:tcW w:w="1186" w:type="dxa"/>
            <w:vAlign w:val="center"/>
          </w:tcPr>
          <w:p w14:paraId="7AA14018" w14:textId="77777777" w:rsidR="004169D6" w:rsidRPr="00CD5819" w:rsidRDefault="004169D6" w:rsidP="00AE2BC8">
            <w:pPr>
              <w:jc w:val="right"/>
              <w:rPr>
                <w:rFonts w:cstheme="minorHAnsi"/>
                <w:color w:val="0000E1"/>
              </w:rPr>
            </w:pPr>
            <w:r w:rsidRPr="00CD5819">
              <w:rPr>
                <w:rFonts w:ascii="Calibri" w:hAnsi="Calibri" w:cs="Calibri"/>
                <w:color w:val="0000E1"/>
              </w:rPr>
              <w:t xml:space="preserve">      44,398 </w:t>
            </w:r>
          </w:p>
        </w:tc>
        <w:tc>
          <w:tcPr>
            <w:tcW w:w="1006" w:type="dxa"/>
            <w:vAlign w:val="center"/>
          </w:tcPr>
          <w:p w14:paraId="1724CD16" w14:textId="77777777" w:rsidR="004169D6" w:rsidRPr="00CD5819" w:rsidRDefault="004169D6" w:rsidP="00AE2BC8">
            <w:pPr>
              <w:jc w:val="right"/>
              <w:rPr>
                <w:rFonts w:cstheme="minorHAnsi"/>
                <w:color w:val="0000E1"/>
              </w:rPr>
            </w:pPr>
            <w:r w:rsidRPr="00CD5819">
              <w:rPr>
                <w:rFonts w:ascii="Calibri" w:hAnsi="Calibri" w:cs="Calibri"/>
                <w:color w:val="0000E1"/>
              </w:rPr>
              <w:t>19.0</w:t>
            </w:r>
          </w:p>
        </w:tc>
        <w:tc>
          <w:tcPr>
            <w:tcW w:w="1186" w:type="dxa"/>
            <w:vAlign w:val="center"/>
          </w:tcPr>
          <w:p w14:paraId="79DC7BE9" w14:textId="77777777" w:rsidR="004169D6" w:rsidRPr="004169D6" w:rsidRDefault="004169D6" w:rsidP="00AE2BC8">
            <w:pPr>
              <w:jc w:val="right"/>
              <w:rPr>
                <w:rFonts w:cstheme="minorHAnsi"/>
                <w:color w:val="0000E1"/>
              </w:rPr>
            </w:pPr>
            <w:r w:rsidRPr="004169D6">
              <w:rPr>
                <w:rFonts w:ascii="Calibri" w:hAnsi="Calibri" w:cs="Calibri"/>
                <w:color w:val="0000E1"/>
              </w:rPr>
              <w:t>138,581</w:t>
            </w:r>
          </w:p>
        </w:tc>
        <w:tc>
          <w:tcPr>
            <w:tcW w:w="1006" w:type="dxa"/>
            <w:vAlign w:val="center"/>
          </w:tcPr>
          <w:p w14:paraId="1A8A9F52" w14:textId="77777777" w:rsidR="004169D6" w:rsidRPr="004169D6" w:rsidRDefault="004169D6" w:rsidP="00AE2BC8">
            <w:pPr>
              <w:jc w:val="right"/>
              <w:rPr>
                <w:rFonts w:cstheme="minorHAnsi"/>
                <w:color w:val="0000E1"/>
              </w:rPr>
            </w:pPr>
            <w:r w:rsidRPr="004169D6">
              <w:rPr>
                <w:rFonts w:ascii="Calibri" w:hAnsi="Calibri" w:cs="Calibri"/>
                <w:color w:val="0000E1"/>
              </w:rPr>
              <w:t>24.2</w:t>
            </w:r>
          </w:p>
        </w:tc>
        <w:tc>
          <w:tcPr>
            <w:tcW w:w="1186" w:type="dxa"/>
            <w:vAlign w:val="center"/>
          </w:tcPr>
          <w:p w14:paraId="530EC210" w14:textId="77777777" w:rsidR="004169D6" w:rsidRPr="004169D6" w:rsidRDefault="004169D6" w:rsidP="00AE2BC8">
            <w:pPr>
              <w:jc w:val="right"/>
              <w:rPr>
                <w:rFonts w:cstheme="minorHAnsi"/>
                <w:color w:val="0000E1"/>
              </w:rPr>
            </w:pPr>
            <w:r w:rsidRPr="004169D6">
              <w:rPr>
                <w:color w:val="0000E1"/>
              </w:rPr>
              <w:t>86,970</w:t>
            </w:r>
          </w:p>
        </w:tc>
        <w:tc>
          <w:tcPr>
            <w:tcW w:w="1006" w:type="dxa"/>
            <w:vAlign w:val="center"/>
          </w:tcPr>
          <w:p w14:paraId="7837BF45" w14:textId="77777777" w:rsidR="004169D6" w:rsidRPr="004169D6" w:rsidRDefault="004169D6" w:rsidP="00AE2BC8">
            <w:pPr>
              <w:jc w:val="right"/>
              <w:rPr>
                <w:rFonts w:cstheme="minorHAnsi"/>
                <w:color w:val="0000E1"/>
              </w:rPr>
            </w:pPr>
            <w:r w:rsidRPr="004169D6">
              <w:rPr>
                <w:color w:val="0000E1"/>
              </w:rPr>
              <w:t>18.2</w:t>
            </w:r>
          </w:p>
        </w:tc>
      </w:tr>
      <w:tr w:rsidR="004169D6" w:rsidRPr="00CD5819" w14:paraId="2A70B7CD" w14:textId="77777777" w:rsidTr="00AE2BC8">
        <w:trPr>
          <w:trHeight w:val="260"/>
        </w:trPr>
        <w:tc>
          <w:tcPr>
            <w:tcW w:w="2466" w:type="dxa"/>
            <w:vAlign w:val="center"/>
          </w:tcPr>
          <w:p w14:paraId="72DFA1DE" w14:textId="77777777" w:rsidR="004169D6" w:rsidRPr="00CD5819" w:rsidRDefault="004169D6" w:rsidP="004169D6">
            <w:pPr>
              <w:jc w:val="right"/>
              <w:rPr>
                <w:rFonts w:cstheme="minorHAnsi"/>
                <w:color w:val="0000E1"/>
              </w:rPr>
            </w:pPr>
            <w:r w:rsidRPr="00CD5819">
              <w:rPr>
                <w:rFonts w:cstheme="minorHAnsi"/>
                <w:color w:val="0000E1"/>
                <w:kern w:val="24"/>
              </w:rPr>
              <w:t>Asian</w:t>
            </w:r>
          </w:p>
        </w:tc>
        <w:tc>
          <w:tcPr>
            <w:tcW w:w="1186" w:type="dxa"/>
            <w:vAlign w:val="center"/>
          </w:tcPr>
          <w:p w14:paraId="0851B2F2" w14:textId="77777777" w:rsidR="004169D6" w:rsidRPr="00CD5819" w:rsidRDefault="004169D6" w:rsidP="00AE2BC8">
            <w:pPr>
              <w:jc w:val="right"/>
              <w:rPr>
                <w:rFonts w:cstheme="minorHAnsi"/>
                <w:color w:val="0000E1"/>
              </w:rPr>
            </w:pPr>
            <w:r w:rsidRPr="00CD5819">
              <w:rPr>
                <w:rFonts w:ascii="Calibri" w:hAnsi="Calibri" w:cs="Calibri"/>
                <w:color w:val="0000E1"/>
              </w:rPr>
              <w:t xml:space="preserve">      14,347 </w:t>
            </w:r>
          </w:p>
        </w:tc>
        <w:tc>
          <w:tcPr>
            <w:tcW w:w="1006" w:type="dxa"/>
            <w:vAlign w:val="center"/>
          </w:tcPr>
          <w:p w14:paraId="414A939A" w14:textId="77777777" w:rsidR="004169D6" w:rsidRPr="00CD5819" w:rsidRDefault="004169D6" w:rsidP="00AE2BC8">
            <w:pPr>
              <w:jc w:val="right"/>
              <w:rPr>
                <w:rFonts w:cstheme="minorHAnsi"/>
                <w:color w:val="0000E1"/>
              </w:rPr>
            </w:pPr>
            <w:r w:rsidRPr="00CD5819">
              <w:rPr>
                <w:rFonts w:ascii="Calibri" w:hAnsi="Calibri" w:cs="Calibri"/>
                <w:color w:val="0000E1"/>
              </w:rPr>
              <w:t>6.1</w:t>
            </w:r>
          </w:p>
        </w:tc>
        <w:tc>
          <w:tcPr>
            <w:tcW w:w="1186" w:type="dxa"/>
            <w:vAlign w:val="center"/>
          </w:tcPr>
          <w:p w14:paraId="650D62CB" w14:textId="77777777" w:rsidR="004169D6" w:rsidRPr="004169D6" w:rsidRDefault="004169D6" w:rsidP="00AE2BC8">
            <w:pPr>
              <w:jc w:val="right"/>
              <w:rPr>
                <w:rFonts w:cstheme="minorHAnsi"/>
                <w:color w:val="0000E1"/>
              </w:rPr>
            </w:pPr>
            <w:r w:rsidRPr="004169D6">
              <w:rPr>
                <w:rFonts w:ascii="Calibri" w:hAnsi="Calibri" w:cs="Calibri"/>
                <w:color w:val="0000E1"/>
              </w:rPr>
              <w:t>24,851</w:t>
            </w:r>
          </w:p>
        </w:tc>
        <w:tc>
          <w:tcPr>
            <w:tcW w:w="1006" w:type="dxa"/>
            <w:vAlign w:val="center"/>
          </w:tcPr>
          <w:p w14:paraId="4D93FC82" w14:textId="77777777" w:rsidR="004169D6" w:rsidRPr="004169D6" w:rsidRDefault="004169D6" w:rsidP="00AE2BC8">
            <w:pPr>
              <w:jc w:val="right"/>
              <w:rPr>
                <w:rFonts w:cstheme="minorHAnsi"/>
                <w:color w:val="0000E1"/>
              </w:rPr>
            </w:pPr>
            <w:r w:rsidRPr="004169D6">
              <w:rPr>
                <w:rFonts w:ascii="Calibri" w:hAnsi="Calibri" w:cs="Calibri"/>
                <w:color w:val="0000E1"/>
              </w:rPr>
              <w:t>4.3</w:t>
            </w:r>
          </w:p>
        </w:tc>
        <w:tc>
          <w:tcPr>
            <w:tcW w:w="1186" w:type="dxa"/>
            <w:vAlign w:val="center"/>
          </w:tcPr>
          <w:p w14:paraId="414ADD3F" w14:textId="77777777" w:rsidR="004169D6" w:rsidRPr="004169D6" w:rsidRDefault="004169D6" w:rsidP="00AE2BC8">
            <w:pPr>
              <w:jc w:val="right"/>
              <w:rPr>
                <w:rFonts w:cstheme="minorHAnsi"/>
                <w:color w:val="0000E1"/>
              </w:rPr>
            </w:pPr>
            <w:r w:rsidRPr="004169D6">
              <w:rPr>
                <w:color w:val="0000E1"/>
              </w:rPr>
              <w:t>30,052</w:t>
            </w:r>
          </w:p>
        </w:tc>
        <w:tc>
          <w:tcPr>
            <w:tcW w:w="1006" w:type="dxa"/>
            <w:vAlign w:val="center"/>
          </w:tcPr>
          <w:p w14:paraId="70168171" w14:textId="77777777" w:rsidR="004169D6" w:rsidRPr="004169D6" w:rsidRDefault="004169D6" w:rsidP="00AE2BC8">
            <w:pPr>
              <w:jc w:val="right"/>
              <w:rPr>
                <w:rFonts w:cstheme="minorHAnsi"/>
                <w:color w:val="0000E1"/>
              </w:rPr>
            </w:pPr>
            <w:r w:rsidRPr="004169D6">
              <w:rPr>
                <w:color w:val="0000E1"/>
              </w:rPr>
              <w:t>6.3</w:t>
            </w:r>
          </w:p>
        </w:tc>
      </w:tr>
      <w:tr w:rsidR="004169D6" w:rsidRPr="00CD5819" w14:paraId="4E9A33B6" w14:textId="77777777" w:rsidTr="00AE2BC8">
        <w:trPr>
          <w:trHeight w:val="260"/>
        </w:trPr>
        <w:tc>
          <w:tcPr>
            <w:tcW w:w="2466" w:type="dxa"/>
            <w:vAlign w:val="center"/>
          </w:tcPr>
          <w:p w14:paraId="4147EEBE" w14:textId="77777777" w:rsidR="004169D6" w:rsidRPr="00CD5819" w:rsidRDefault="004169D6" w:rsidP="004169D6">
            <w:pPr>
              <w:jc w:val="right"/>
              <w:rPr>
                <w:rFonts w:cstheme="minorHAnsi"/>
                <w:color w:val="0000E1"/>
              </w:rPr>
            </w:pPr>
            <w:r w:rsidRPr="00CD5819">
              <w:rPr>
                <w:rFonts w:cstheme="minorHAnsi"/>
                <w:color w:val="0000E1"/>
                <w:kern w:val="24"/>
              </w:rPr>
              <w:t>Hispanic</w:t>
            </w:r>
          </w:p>
        </w:tc>
        <w:tc>
          <w:tcPr>
            <w:tcW w:w="1186" w:type="dxa"/>
            <w:vAlign w:val="center"/>
          </w:tcPr>
          <w:p w14:paraId="7F9EBC7F" w14:textId="77777777" w:rsidR="004169D6" w:rsidRPr="00CD5819" w:rsidRDefault="004169D6" w:rsidP="00AE2BC8">
            <w:pPr>
              <w:jc w:val="right"/>
              <w:rPr>
                <w:rFonts w:cstheme="minorHAnsi"/>
                <w:color w:val="0000E1"/>
              </w:rPr>
            </w:pPr>
            <w:r w:rsidRPr="00CD5819">
              <w:rPr>
                <w:rFonts w:ascii="Calibri" w:hAnsi="Calibri" w:cs="Calibri"/>
                <w:color w:val="0000E1"/>
              </w:rPr>
              <w:t xml:space="preserve">      56,617 </w:t>
            </w:r>
          </w:p>
        </w:tc>
        <w:tc>
          <w:tcPr>
            <w:tcW w:w="1006" w:type="dxa"/>
            <w:vAlign w:val="center"/>
          </w:tcPr>
          <w:p w14:paraId="07B24D4D" w14:textId="77777777" w:rsidR="004169D6" w:rsidRPr="00CD5819" w:rsidRDefault="004169D6" w:rsidP="00AE2BC8">
            <w:pPr>
              <w:jc w:val="right"/>
              <w:rPr>
                <w:rFonts w:cstheme="minorHAnsi"/>
                <w:color w:val="0000E1"/>
              </w:rPr>
            </w:pPr>
            <w:r w:rsidRPr="00CD5819">
              <w:rPr>
                <w:rFonts w:ascii="Calibri" w:hAnsi="Calibri" w:cs="Calibri"/>
                <w:color w:val="0000E1"/>
              </w:rPr>
              <w:t>24.2</w:t>
            </w:r>
          </w:p>
        </w:tc>
        <w:tc>
          <w:tcPr>
            <w:tcW w:w="1186" w:type="dxa"/>
            <w:vAlign w:val="center"/>
          </w:tcPr>
          <w:p w14:paraId="5E4C2B82" w14:textId="77777777" w:rsidR="004169D6" w:rsidRPr="004169D6" w:rsidRDefault="004169D6" w:rsidP="00AE2BC8">
            <w:pPr>
              <w:jc w:val="right"/>
              <w:rPr>
                <w:rFonts w:cstheme="minorHAnsi"/>
                <w:color w:val="0000E1"/>
              </w:rPr>
            </w:pPr>
            <w:r w:rsidRPr="004169D6">
              <w:rPr>
                <w:rFonts w:ascii="Calibri" w:hAnsi="Calibri" w:cs="Calibri"/>
                <w:color w:val="0000E1"/>
              </w:rPr>
              <w:t>103,417</w:t>
            </w:r>
          </w:p>
        </w:tc>
        <w:tc>
          <w:tcPr>
            <w:tcW w:w="1006" w:type="dxa"/>
            <w:vAlign w:val="center"/>
          </w:tcPr>
          <w:p w14:paraId="2B2DFE55" w14:textId="77777777" w:rsidR="004169D6" w:rsidRPr="004169D6" w:rsidRDefault="004169D6" w:rsidP="00AE2BC8">
            <w:pPr>
              <w:jc w:val="right"/>
              <w:rPr>
                <w:rFonts w:cstheme="minorHAnsi"/>
                <w:color w:val="0000E1"/>
              </w:rPr>
            </w:pPr>
            <w:r w:rsidRPr="004169D6">
              <w:rPr>
                <w:rFonts w:ascii="Calibri" w:hAnsi="Calibri" w:cs="Calibri"/>
                <w:color w:val="0000E1"/>
              </w:rPr>
              <w:t>18.1</w:t>
            </w:r>
          </w:p>
        </w:tc>
        <w:tc>
          <w:tcPr>
            <w:tcW w:w="1186" w:type="dxa"/>
            <w:vAlign w:val="center"/>
          </w:tcPr>
          <w:p w14:paraId="1E82D022" w14:textId="77777777" w:rsidR="004169D6" w:rsidRPr="004169D6" w:rsidRDefault="004169D6" w:rsidP="00AE2BC8">
            <w:pPr>
              <w:jc w:val="right"/>
              <w:rPr>
                <w:rFonts w:cstheme="minorHAnsi"/>
                <w:color w:val="0000E1"/>
              </w:rPr>
            </w:pPr>
            <w:r w:rsidRPr="004169D6">
              <w:rPr>
                <w:color w:val="0000E1"/>
              </w:rPr>
              <w:t>84,094</w:t>
            </w:r>
          </w:p>
        </w:tc>
        <w:tc>
          <w:tcPr>
            <w:tcW w:w="1006" w:type="dxa"/>
            <w:vAlign w:val="center"/>
          </w:tcPr>
          <w:p w14:paraId="1B77663F" w14:textId="77777777" w:rsidR="004169D6" w:rsidRPr="004169D6" w:rsidRDefault="004169D6" w:rsidP="00AE2BC8">
            <w:pPr>
              <w:jc w:val="right"/>
              <w:rPr>
                <w:rFonts w:cstheme="minorHAnsi"/>
                <w:color w:val="0000E1"/>
              </w:rPr>
            </w:pPr>
            <w:r w:rsidRPr="004169D6">
              <w:rPr>
                <w:color w:val="0000E1"/>
              </w:rPr>
              <w:t>17.6</w:t>
            </w:r>
          </w:p>
        </w:tc>
      </w:tr>
      <w:tr w:rsidR="004169D6" w:rsidRPr="00CD5819" w14:paraId="64F2CB5D" w14:textId="77777777" w:rsidTr="00AE2BC8">
        <w:trPr>
          <w:trHeight w:val="260"/>
        </w:trPr>
        <w:tc>
          <w:tcPr>
            <w:tcW w:w="2466" w:type="dxa"/>
            <w:vAlign w:val="center"/>
          </w:tcPr>
          <w:p w14:paraId="0CBEA922" w14:textId="77777777" w:rsidR="004169D6" w:rsidRPr="00CD5819" w:rsidRDefault="004169D6" w:rsidP="004169D6">
            <w:pPr>
              <w:jc w:val="right"/>
              <w:rPr>
                <w:rFonts w:cstheme="minorHAnsi"/>
                <w:color w:val="0000E1"/>
              </w:rPr>
            </w:pPr>
            <w:r w:rsidRPr="00CD5819">
              <w:rPr>
                <w:rFonts w:cstheme="minorHAnsi"/>
                <w:color w:val="0000E1"/>
                <w:kern w:val="24"/>
              </w:rPr>
              <w:t>North American Native</w:t>
            </w:r>
          </w:p>
        </w:tc>
        <w:tc>
          <w:tcPr>
            <w:tcW w:w="1186" w:type="dxa"/>
            <w:vAlign w:val="center"/>
          </w:tcPr>
          <w:p w14:paraId="096B32EE" w14:textId="77777777" w:rsidR="004169D6" w:rsidRPr="00CD5819" w:rsidRDefault="004169D6" w:rsidP="00AE2BC8">
            <w:pPr>
              <w:jc w:val="right"/>
              <w:rPr>
                <w:rFonts w:cstheme="minorHAnsi"/>
                <w:color w:val="0000E1"/>
              </w:rPr>
            </w:pPr>
            <w:r w:rsidRPr="00CD5819">
              <w:rPr>
                <w:rFonts w:ascii="Calibri" w:hAnsi="Calibri" w:cs="Calibri"/>
                <w:color w:val="0000E1"/>
              </w:rPr>
              <w:t xml:space="preserve">        1,560 </w:t>
            </w:r>
          </w:p>
        </w:tc>
        <w:tc>
          <w:tcPr>
            <w:tcW w:w="1006" w:type="dxa"/>
            <w:vAlign w:val="center"/>
          </w:tcPr>
          <w:p w14:paraId="708D8310" w14:textId="77777777" w:rsidR="004169D6" w:rsidRPr="00CD5819" w:rsidRDefault="004169D6" w:rsidP="00AE2BC8">
            <w:pPr>
              <w:jc w:val="right"/>
              <w:rPr>
                <w:rFonts w:cstheme="minorHAnsi"/>
                <w:color w:val="0000E1"/>
              </w:rPr>
            </w:pPr>
            <w:r w:rsidRPr="00CD5819">
              <w:rPr>
                <w:rFonts w:ascii="Calibri" w:hAnsi="Calibri" w:cs="Calibri"/>
                <w:color w:val="0000E1"/>
              </w:rPr>
              <w:t>0.7</w:t>
            </w:r>
          </w:p>
        </w:tc>
        <w:tc>
          <w:tcPr>
            <w:tcW w:w="1186" w:type="dxa"/>
            <w:vAlign w:val="center"/>
          </w:tcPr>
          <w:p w14:paraId="7FE9FC43" w14:textId="77777777" w:rsidR="004169D6" w:rsidRPr="004169D6" w:rsidRDefault="004169D6" w:rsidP="00AE2BC8">
            <w:pPr>
              <w:jc w:val="right"/>
              <w:rPr>
                <w:rFonts w:cstheme="minorHAnsi"/>
                <w:color w:val="0000E1"/>
              </w:rPr>
            </w:pPr>
            <w:r w:rsidRPr="004169D6">
              <w:rPr>
                <w:rFonts w:ascii="Calibri" w:hAnsi="Calibri" w:cs="Calibri"/>
                <w:color w:val="0000E1"/>
              </w:rPr>
              <w:t>3,583</w:t>
            </w:r>
          </w:p>
        </w:tc>
        <w:tc>
          <w:tcPr>
            <w:tcW w:w="1006" w:type="dxa"/>
            <w:vAlign w:val="center"/>
          </w:tcPr>
          <w:p w14:paraId="4E7F957E" w14:textId="77777777" w:rsidR="004169D6" w:rsidRPr="004169D6" w:rsidRDefault="004169D6" w:rsidP="00AE2BC8">
            <w:pPr>
              <w:jc w:val="right"/>
              <w:rPr>
                <w:rFonts w:cstheme="minorHAnsi"/>
                <w:color w:val="0000E1"/>
              </w:rPr>
            </w:pPr>
            <w:r w:rsidRPr="004169D6">
              <w:rPr>
                <w:rFonts w:ascii="Calibri" w:hAnsi="Calibri" w:cs="Calibri"/>
                <w:color w:val="0000E1"/>
              </w:rPr>
              <w:t>0.6</w:t>
            </w:r>
          </w:p>
        </w:tc>
        <w:tc>
          <w:tcPr>
            <w:tcW w:w="1186" w:type="dxa"/>
            <w:vAlign w:val="center"/>
          </w:tcPr>
          <w:p w14:paraId="0F96E60F" w14:textId="77777777" w:rsidR="004169D6" w:rsidRPr="004169D6" w:rsidRDefault="004169D6" w:rsidP="00AE2BC8">
            <w:pPr>
              <w:jc w:val="right"/>
              <w:rPr>
                <w:rFonts w:cstheme="minorHAnsi"/>
                <w:color w:val="0000E1"/>
              </w:rPr>
            </w:pPr>
            <w:r w:rsidRPr="004169D6">
              <w:rPr>
                <w:color w:val="0000E1"/>
              </w:rPr>
              <w:t>2,574</w:t>
            </w:r>
          </w:p>
        </w:tc>
        <w:tc>
          <w:tcPr>
            <w:tcW w:w="1006" w:type="dxa"/>
            <w:vAlign w:val="center"/>
          </w:tcPr>
          <w:p w14:paraId="2B04746A" w14:textId="77777777" w:rsidR="004169D6" w:rsidRPr="004169D6" w:rsidRDefault="004169D6" w:rsidP="00AE2BC8">
            <w:pPr>
              <w:jc w:val="right"/>
              <w:rPr>
                <w:rFonts w:cstheme="minorHAnsi"/>
                <w:color w:val="0000E1"/>
              </w:rPr>
            </w:pPr>
            <w:r w:rsidRPr="004169D6">
              <w:rPr>
                <w:color w:val="0000E1"/>
              </w:rPr>
              <w:t>0.5</w:t>
            </w:r>
          </w:p>
        </w:tc>
      </w:tr>
      <w:tr w:rsidR="004169D6" w:rsidRPr="00CD5819" w14:paraId="786A9D00" w14:textId="77777777" w:rsidTr="00AE2BC8">
        <w:trPr>
          <w:trHeight w:val="260"/>
        </w:trPr>
        <w:tc>
          <w:tcPr>
            <w:tcW w:w="2466" w:type="dxa"/>
            <w:vAlign w:val="center"/>
          </w:tcPr>
          <w:p w14:paraId="5170AC37" w14:textId="77777777" w:rsidR="004169D6" w:rsidRPr="00CD5819" w:rsidRDefault="004169D6" w:rsidP="004169D6">
            <w:pPr>
              <w:jc w:val="right"/>
              <w:rPr>
                <w:rFonts w:cstheme="minorHAnsi"/>
                <w:color w:val="0000E1"/>
              </w:rPr>
            </w:pPr>
            <w:r w:rsidRPr="00CD5819">
              <w:rPr>
                <w:rFonts w:cstheme="minorHAnsi"/>
                <w:color w:val="0000E1"/>
                <w:kern w:val="24"/>
              </w:rPr>
              <w:t>Other</w:t>
            </w:r>
          </w:p>
        </w:tc>
        <w:tc>
          <w:tcPr>
            <w:tcW w:w="1186" w:type="dxa"/>
            <w:vAlign w:val="center"/>
          </w:tcPr>
          <w:p w14:paraId="6A8B965D" w14:textId="77777777" w:rsidR="004169D6" w:rsidRPr="00CD5819" w:rsidRDefault="004169D6" w:rsidP="00AE2BC8">
            <w:pPr>
              <w:jc w:val="right"/>
              <w:rPr>
                <w:rFonts w:cstheme="minorHAnsi"/>
                <w:color w:val="0000E1"/>
              </w:rPr>
            </w:pPr>
            <w:r w:rsidRPr="00CD5819">
              <w:rPr>
                <w:rFonts w:ascii="Calibri" w:hAnsi="Calibri" w:cs="Calibri"/>
                <w:color w:val="0000E1"/>
              </w:rPr>
              <w:t xml:space="preserve">      11,137 </w:t>
            </w:r>
          </w:p>
        </w:tc>
        <w:tc>
          <w:tcPr>
            <w:tcW w:w="1006" w:type="dxa"/>
            <w:vAlign w:val="center"/>
          </w:tcPr>
          <w:p w14:paraId="08146C91" w14:textId="77777777" w:rsidR="004169D6" w:rsidRPr="00CD5819" w:rsidRDefault="004169D6" w:rsidP="00AE2BC8">
            <w:pPr>
              <w:jc w:val="right"/>
              <w:rPr>
                <w:rFonts w:cstheme="minorHAnsi"/>
                <w:color w:val="0000E1"/>
              </w:rPr>
            </w:pPr>
            <w:r w:rsidRPr="00CD5819">
              <w:rPr>
                <w:rFonts w:ascii="Calibri" w:hAnsi="Calibri" w:cs="Calibri"/>
                <w:color w:val="0000E1"/>
              </w:rPr>
              <w:t>4.8</w:t>
            </w:r>
          </w:p>
        </w:tc>
        <w:tc>
          <w:tcPr>
            <w:tcW w:w="1186" w:type="dxa"/>
            <w:vAlign w:val="center"/>
          </w:tcPr>
          <w:p w14:paraId="1295B70B" w14:textId="77777777" w:rsidR="004169D6" w:rsidRPr="004169D6" w:rsidRDefault="004169D6" w:rsidP="00AE2BC8">
            <w:pPr>
              <w:jc w:val="right"/>
              <w:rPr>
                <w:rFonts w:cstheme="minorHAnsi"/>
                <w:color w:val="0000E1"/>
              </w:rPr>
            </w:pPr>
            <w:r w:rsidRPr="004169D6">
              <w:rPr>
                <w:rFonts w:ascii="Calibri" w:hAnsi="Calibri" w:cs="Calibri"/>
                <w:color w:val="0000E1"/>
              </w:rPr>
              <w:t>22,515</w:t>
            </w:r>
          </w:p>
        </w:tc>
        <w:tc>
          <w:tcPr>
            <w:tcW w:w="1006" w:type="dxa"/>
            <w:vAlign w:val="center"/>
          </w:tcPr>
          <w:p w14:paraId="149BD599" w14:textId="77777777" w:rsidR="004169D6" w:rsidRPr="004169D6" w:rsidRDefault="004169D6" w:rsidP="00AE2BC8">
            <w:pPr>
              <w:jc w:val="right"/>
              <w:rPr>
                <w:rFonts w:cstheme="minorHAnsi"/>
                <w:color w:val="0000E1"/>
              </w:rPr>
            </w:pPr>
            <w:r w:rsidRPr="004169D6">
              <w:rPr>
                <w:rFonts w:ascii="Calibri" w:hAnsi="Calibri" w:cs="Calibri"/>
                <w:color w:val="0000E1"/>
              </w:rPr>
              <w:t>3.9</w:t>
            </w:r>
          </w:p>
        </w:tc>
        <w:tc>
          <w:tcPr>
            <w:tcW w:w="1186" w:type="dxa"/>
            <w:vAlign w:val="center"/>
          </w:tcPr>
          <w:p w14:paraId="395E15B1" w14:textId="77777777" w:rsidR="004169D6" w:rsidRPr="004169D6" w:rsidRDefault="004169D6" w:rsidP="00AE2BC8">
            <w:pPr>
              <w:jc w:val="right"/>
              <w:rPr>
                <w:rFonts w:cstheme="minorHAnsi"/>
                <w:color w:val="0000E1"/>
              </w:rPr>
            </w:pPr>
            <w:r w:rsidRPr="004169D6">
              <w:rPr>
                <w:color w:val="0000E1"/>
              </w:rPr>
              <w:t>22,155</w:t>
            </w:r>
          </w:p>
        </w:tc>
        <w:tc>
          <w:tcPr>
            <w:tcW w:w="1006" w:type="dxa"/>
            <w:vAlign w:val="center"/>
          </w:tcPr>
          <w:p w14:paraId="6972E93C" w14:textId="77777777" w:rsidR="004169D6" w:rsidRPr="004169D6" w:rsidRDefault="004169D6" w:rsidP="00AE2BC8">
            <w:pPr>
              <w:jc w:val="right"/>
              <w:rPr>
                <w:rFonts w:cstheme="minorHAnsi"/>
                <w:color w:val="0000E1"/>
              </w:rPr>
            </w:pPr>
            <w:r w:rsidRPr="004169D6">
              <w:rPr>
                <w:color w:val="0000E1"/>
              </w:rPr>
              <w:t>4.6</w:t>
            </w:r>
          </w:p>
        </w:tc>
      </w:tr>
      <w:tr w:rsidR="004169D6" w:rsidRPr="00CD5819" w14:paraId="287CC41F" w14:textId="77777777" w:rsidTr="00D86E7B">
        <w:trPr>
          <w:trHeight w:val="260"/>
        </w:trPr>
        <w:tc>
          <w:tcPr>
            <w:tcW w:w="2466" w:type="dxa"/>
            <w:tcBorders>
              <w:bottom w:val="single" w:sz="4" w:space="0" w:color="auto"/>
            </w:tcBorders>
            <w:vAlign w:val="center"/>
          </w:tcPr>
          <w:p w14:paraId="2D161305" w14:textId="77777777" w:rsidR="004169D6" w:rsidRPr="00CD5819" w:rsidRDefault="004169D6" w:rsidP="004169D6">
            <w:pPr>
              <w:jc w:val="right"/>
              <w:rPr>
                <w:rFonts w:cstheme="minorHAnsi"/>
                <w:color w:val="0000E1"/>
              </w:rPr>
            </w:pPr>
            <w:r w:rsidRPr="00CD5819">
              <w:rPr>
                <w:rFonts w:cstheme="minorHAnsi"/>
                <w:color w:val="0000E1"/>
              </w:rPr>
              <w:t>Unknown</w:t>
            </w:r>
          </w:p>
        </w:tc>
        <w:tc>
          <w:tcPr>
            <w:tcW w:w="1186" w:type="dxa"/>
            <w:tcBorders>
              <w:bottom w:val="single" w:sz="4" w:space="0" w:color="auto"/>
            </w:tcBorders>
            <w:vAlign w:val="center"/>
          </w:tcPr>
          <w:p w14:paraId="42E470C5" w14:textId="77777777" w:rsidR="004169D6" w:rsidRPr="00CD5819" w:rsidRDefault="004169D6" w:rsidP="00AE2BC8">
            <w:pPr>
              <w:jc w:val="right"/>
              <w:rPr>
                <w:rFonts w:cstheme="minorHAnsi"/>
                <w:color w:val="0000E1"/>
              </w:rPr>
            </w:pPr>
            <w:r w:rsidRPr="00CD5819">
              <w:rPr>
                <w:rFonts w:ascii="Calibri" w:hAnsi="Calibri" w:cs="Calibri"/>
                <w:color w:val="0000E1"/>
              </w:rPr>
              <w:t xml:space="preserve">      23,710 </w:t>
            </w:r>
          </w:p>
        </w:tc>
        <w:tc>
          <w:tcPr>
            <w:tcW w:w="1006" w:type="dxa"/>
            <w:tcBorders>
              <w:bottom w:val="single" w:sz="4" w:space="0" w:color="auto"/>
            </w:tcBorders>
            <w:vAlign w:val="center"/>
          </w:tcPr>
          <w:p w14:paraId="50C71A1F" w14:textId="77777777" w:rsidR="004169D6" w:rsidRPr="00CD5819" w:rsidRDefault="004169D6" w:rsidP="00AE2BC8">
            <w:pPr>
              <w:jc w:val="right"/>
              <w:rPr>
                <w:rFonts w:cstheme="minorHAnsi"/>
                <w:color w:val="0000E1"/>
              </w:rPr>
            </w:pPr>
            <w:r w:rsidRPr="00CD5819">
              <w:rPr>
                <w:rFonts w:ascii="Calibri" w:hAnsi="Calibri" w:cs="Calibri"/>
                <w:color w:val="0000E1"/>
              </w:rPr>
              <w:t>10.1</w:t>
            </w:r>
          </w:p>
        </w:tc>
        <w:tc>
          <w:tcPr>
            <w:tcW w:w="1186" w:type="dxa"/>
            <w:tcBorders>
              <w:bottom w:val="single" w:sz="4" w:space="0" w:color="auto"/>
            </w:tcBorders>
            <w:vAlign w:val="center"/>
          </w:tcPr>
          <w:p w14:paraId="0141E7F7" w14:textId="77777777" w:rsidR="004169D6" w:rsidRPr="004169D6" w:rsidRDefault="004169D6" w:rsidP="00AE2BC8">
            <w:pPr>
              <w:jc w:val="right"/>
              <w:rPr>
                <w:rFonts w:cstheme="minorHAnsi"/>
                <w:color w:val="0000E1"/>
              </w:rPr>
            </w:pPr>
            <w:r w:rsidRPr="004169D6">
              <w:rPr>
                <w:rFonts w:ascii="Calibri" w:hAnsi="Calibri" w:cs="Calibri"/>
                <w:color w:val="0000E1"/>
              </w:rPr>
              <w:t>57,290</w:t>
            </w:r>
          </w:p>
        </w:tc>
        <w:tc>
          <w:tcPr>
            <w:tcW w:w="1006" w:type="dxa"/>
            <w:tcBorders>
              <w:bottom w:val="single" w:sz="4" w:space="0" w:color="auto"/>
            </w:tcBorders>
            <w:vAlign w:val="center"/>
          </w:tcPr>
          <w:p w14:paraId="586C93E5" w14:textId="77777777" w:rsidR="004169D6" w:rsidRPr="004169D6" w:rsidRDefault="004169D6" w:rsidP="00AE2BC8">
            <w:pPr>
              <w:jc w:val="right"/>
              <w:rPr>
                <w:rFonts w:cstheme="minorHAnsi"/>
                <w:color w:val="0000E1"/>
              </w:rPr>
            </w:pPr>
            <w:r w:rsidRPr="004169D6">
              <w:rPr>
                <w:rFonts w:ascii="Calibri" w:hAnsi="Calibri" w:cs="Calibri"/>
                <w:color w:val="0000E1"/>
              </w:rPr>
              <w:t>10.0</w:t>
            </w:r>
          </w:p>
        </w:tc>
        <w:tc>
          <w:tcPr>
            <w:tcW w:w="1186" w:type="dxa"/>
            <w:tcBorders>
              <w:bottom w:val="single" w:sz="4" w:space="0" w:color="auto"/>
            </w:tcBorders>
            <w:vAlign w:val="center"/>
          </w:tcPr>
          <w:p w14:paraId="587295A1" w14:textId="77777777" w:rsidR="004169D6" w:rsidRPr="004169D6" w:rsidRDefault="004169D6" w:rsidP="00AE2BC8">
            <w:pPr>
              <w:jc w:val="right"/>
              <w:rPr>
                <w:rFonts w:cstheme="minorHAnsi"/>
                <w:color w:val="0000E1"/>
              </w:rPr>
            </w:pPr>
            <w:r w:rsidRPr="004169D6">
              <w:rPr>
                <w:color w:val="0000E1"/>
              </w:rPr>
              <w:t>51,863</w:t>
            </w:r>
          </w:p>
        </w:tc>
        <w:tc>
          <w:tcPr>
            <w:tcW w:w="1006" w:type="dxa"/>
            <w:tcBorders>
              <w:bottom w:val="single" w:sz="4" w:space="0" w:color="auto"/>
            </w:tcBorders>
            <w:vAlign w:val="center"/>
          </w:tcPr>
          <w:p w14:paraId="3EE313D6" w14:textId="77777777" w:rsidR="004169D6" w:rsidRPr="004169D6" w:rsidRDefault="004169D6" w:rsidP="00AE2BC8">
            <w:pPr>
              <w:jc w:val="right"/>
              <w:rPr>
                <w:rFonts w:cstheme="minorHAnsi"/>
                <w:color w:val="0000E1"/>
              </w:rPr>
            </w:pPr>
            <w:r w:rsidRPr="004169D6">
              <w:rPr>
                <w:color w:val="0000E1"/>
              </w:rPr>
              <w:t>10.8</w:t>
            </w:r>
          </w:p>
        </w:tc>
      </w:tr>
      <w:tr w:rsidR="00664327" w:rsidRPr="00CD5819" w14:paraId="2A630FF7" w14:textId="77777777" w:rsidTr="00D86E7B">
        <w:trPr>
          <w:trHeight w:val="260"/>
        </w:trPr>
        <w:tc>
          <w:tcPr>
            <w:tcW w:w="9042" w:type="dxa"/>
            <w:gridSpan w:val="7"/>
            <w:tcBorders>
              <w:top w:val="single" w:sz="4" w:space="0" w:color="auto"/>
              <w:left w:val="nil"/>
              <w:bottom w:val="nil"/>
              <w:right w:val="nil"/>
            </w:tcBorders>
            <w:shd w:val="clear" w:color="auto" w:fill="auto"/>
            <w:vAlign w:val="center"/>
          </w:tcPr>
          <w:p w14:paraId="557CA8C2" w14:textId="77777777" w:rsidR="00664327" w:rsidRPr="0061194B" w:rsidRDefault="00664327" w:rsidP="00930280">
            <w:pPr>
              <w:rPr>
                <w:rFonts w:ascii="Calibri" w:hAnsi="Calibri" w:cs="Calibri"/>
                <w:i/>
                <w:color w:val="0000E1"/>
                <w:sz w:val="20"/>
              </w:rPr>
            </w:pPr>
            <w:r w:rsidRPr="0061194B">
              <w:rPr>
                <w:rFonts w:ascii="Calibri" w:hAnsi="Calibri" w:cs="Calibri"/>
                <w:i/>
                <w:color w:val="0000E1"/>
                <w:sz w:val="20"/>
              </w:rPr>
              <w:t>RASA: renin-angiotensin system antagonist</w:t>
            </w:r>
          </w:p>
        </w:tc>
      </w:tr>
    </w:tbl>
    <w:p w14:paraId="35684961" w14:textId="77777777" w:rsidR="00405D8A" w:rsidRDefault="00405D8A" w:rsidP="00DB3627">
      <w:pPr>
        <w:autoSpaceDE w:val="0"/>
        <w:autoSpaceDN w:val="0"/>
        <w:adjustRightInd w:val="0"/>
        <w:spacing w:after="0" w:line="240" w:lineRule="auto"/>
        <w:rPr>
          <w:rFonts w:cstheme="minorHAnsi"/>
          <w:bCs/>
          <w:highlight w:val="yellow"/>
        </w:rPr>
      </w:pPr>
    </w:p>
    <w:p w14:paraId="7CD3CF1F"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64BDE400" w14:textId="77777777" w:rsidR="00E37E1B" w:rsidRDefault="00E37E1B" w:rsidP="00D86E7B">
      <w:pPr>
        <w:autoSpaceDE w:val="0"/>
        <w:autoSpaceDN w:val="0"/>
        <w:adjustRightInd w:val="0"/>
        <w:spacing w:after="0" w:line="240" w:lineRule="auto"/>
        <w:rPr>
          <w:rFonts w:cstheme="minorHAnsi"/>
          <w:bCs/>
        </w:rPr>
      </w:pPr>
    </w:p>
    <w:p w14:paraId="63E0CB0F" w14:textId="77777777" w:rsidR="003E2319" w:rsidRPr="00D716EF" w:rsidRDefault="00DB4F7C" w:rsidP="00D86E7B">
      <w:pPr>
        <w:autoSpaceDE w:val="0"/>
        <w:autoSpaceDN w:val="0"/>
        <w:adjustRightInd w:val="0"/>
        <w:spacing w:after="0" w:line="240" w:lineRule="auto"/>
        <w:rPr>
          <w:rFonts w:cstheme="minorHAnsi"/>
          <w:bCs/>
          <w:color w:val="0000E1"/>
        </w:rPr>
      </w:pPr>
      <w:r w:rsidRPr="00D716EF">
        <w:rPr>
          <w:rFonts w:cstheme="minorHAnsi"/>
          <w:bCs/>
          <w:color w:val="0000E1"/>
        </w:rPr>
        <w:t xml:space="preserve">All </w:t>
      </w:r>
      <w:r w:rsidR="005A5510" w:rsidRPr="00D716EF">
        <w:rPr>
          <w:rFonts w:cstheme="minorHAnsi"/>
          <w:bCs/>
          <w:color w:val="0000E1"/>
        </w:rPr>
        <w:t xml:space="preserve">testing </w:t>
      </w:r>
      <w:r w:rsidR="002F5821" w:rsidRPr="00D716EF">
        <w:rPr>
          <w:rFonts w:cstheme="minorHAnsi"/>
          <w:bCs/>
          <w:color w:val="0000E1"/>
        </w:rPr>
        <w:t>was</w:t>
      </w:r>
      <w:r w:rsidR="005A5510" w:rsidRPr="00D716EF">
        <w:rPr>
          <w:rFonts w:cstheme="minorHAnsi"/>
          <w:bCs/>
          <w:color w:val="0000E1"/>
        </w:rPr>
        <w:t xml:space="preserve"> conducted using the same datasets</w:t>
      </w:r>
      <w:r w:rsidRPr="00D716EF">
        <w:rPr>
          <w:rFonts w:cstheme="minorHAnsi"/>
          <w:bCs/>
          <w:color w:val="0000E1"/>
        </w:rPr>
        <w:t xml:space="preserve"> for each line of business</w:t>
      </w:r>
      <w:r w:rsidR="00E24A1B" w:rsidRPr="00D716EF">
        <w:rPr>
          <w:rFonts w:cstheme="minorHAnsi"/>
          <w:bCs/>
          <w:color w:val="0000E1"/>
        </w:rPr>
        <w:t xml:space="preserve"> </w:t>
      </w:r>
      <w:r w:rsidR="003E2319" w:rsidRPr="00D716EF">
        <w:rPr>
          <w:rFonts w:cstheme="minorHAnsi"/>
          <w:bCs/>
          <w:color w:val="0000E1"/>
        </w:rPr>
        <w:t>except the following:</w:t>
      </w:r>
    </w:p>
    <w:p w14:paraId="41DAF057" w14:textId="3BF18AB5" w:rsidR="003E2319" w:rsidRPr="00D716EF" w:rsidRDefault="0073776E" w:rsidP="00D86E7B">
      <w:pPr>
        <w:pStyle w:val="ListParagraph"/>
        <w:numPr>
          <w:ilvl w:val="0"/>
          <w:numId w:val="6"/>
        </w:numPr>
        <w:autoSpaceDE w:val="0"/>
        <w:autoSpaceDN w:val="0"/>
        <w:adjustRightInd w:val="0"/>
        <w:spacing w:after="0" w:line="240" w:lineRule="auto"/>
        <w:rPr>
          <w:rFonts w:cstheme="minorHAnsi"/>
          <w:bCs/>
          <w:color w:val="0000E1"/>
        </w:rPr>
      </w:pPr>
      <w:r w:rsidRPr="00D716EF">
        <w:rPr>
          <w:rFonts w:cstheme="minorHAnsi"/>
          <w:bCs/>
          <w:color w:val="0000E1"/>
        </w:rPr>
        <w:t>e</w:t>
      </w:r>
      <w:r w:rsidR="003E2319" w:rsidRPr="00D716EF">
        <w:rPr>
          <w:rFonts w:cstheme="minorHAnsi"/>
          <w:bCs/>
          <w:color w:val="0000E1"/>
        </w:rPr>
        <w:t>mpirical validity testing: conducted using</w:t>
      </w:r>
      <w:r w:rsidR="00E24A1B" w:rsidRPr="00D716EF">
        <w:rPr>
          <w:rFonts w:cstheme="minorHAnsi"/>
          <w:bCs/>
          <w:color w:val="0000E1"/>
        </w:rPr>
        <w:t xml:space="preserve"> publicly available </w:t>
      </w:r>
      <w:r w:rsidR="003E2319" w:rsidRPr="00D716EF">
        <w:rPr>
          <w:rFonts w:cstheme="minorHAnsi"/>
          <w:bCs/>
          <w:color w:val="0000E1"/>
        </w:rPr>
        <w:t>national-</w:t>
      </w:r>
      <w:r w:rsidR="00E24A1B" w:rsidRPr="00D716EF">
        <w:rPr>
          <w:rFonts w:cstheme="minorHAnsi"/>
          <w:bCs/>
          <w:color w:val="0000E1"/>
        </w:rPr>
        <w:t xml:space="preserve">level </w:t>
      </w:r>
      <w:r w:rsidR="00664327">
        <w:rPr>
          <w:rFonts w:cstheme="minorHAnsi"/>
          <w:bCs/>
          <w:color w:val="0000E1"/>
        </w:rPr>
        <w:t>Centers for Medicare and Medicaid Services (</w:t>
      </w:r>
      <w:r w:rsidR="00E24A1B" w:rsidRPr="00D716EF">
        <w:rPr>
          <w:rFonts w:cstheme="minorHAnsi"/>
          <w:bCs/>
          <w:color w:val="0000E1"/>
        </w:rPr>
        <w:t>CMS</w:t>
      </w:r>
      <w:r w:rsidR="00664327">
        <w:rPr>
          <w:rFonts w:cstheme="minorHAnsi"/>
          <w:bCs/>
          <w:color w:val="0000E1"/>
        </w:rPr>
        <w:t>)</w:t>
      </w:r>
      <w:r w:rsidR="00E24A1B" w:rsidRPr="00D716EF">
        <w:rPr>
          <w:rFonts w:cstheme="minorHAnsi"/>
          <w:bCs/>
          <w:color w:val="0000E1"/>
        </w:rPr>
        <w:t xml:space="preserve"> Medicare data from </w:t>
      </w:r>
      <w:r w:rsidR="000F6F93" w:rsidRPr="00D716EF">
        <w:rPr>
          <w:rFonts w:cstheme="minorHAnsi"/>
          <w:bCs/>
          <w:color w:val="0000E1"/>
        </w:rPr>
        <w:t>2016</w:t>
      </w:r>
      <w:r w:rsidR="003E2319" w:rsidRPr="00D716EF">
        <w:rPr>
          <w:rFonts w:cstheme="minorHAnsi"/>
          <w:bCs/>
          <w:color w:val="0000E1"/>
        </w:rPr>
        <w:t xml:space="preserve"> as these measures are used in the Medicare Part D Star Ratings program</w:t>
      </w:r>
      <w:r w:rsidR="00123930">
        <w:rPr>
          <w:rFonts w:cstheme="minorHAnsi"/>
          <w:bCs/>
          <w:color w:val="0000E1"/>
        </w:rPr>
        <w:t>,</w:t>
      </w:r>
    </w:p>
    <w:p w14:paraId="0743170B" w14:textId="35AC48EB" w:rsidR="00E24A1B" w:rsidRDefault="00E24A1B" w:rsidP="00D86E7B">
      <w:pPr>
        <w:pStyle w:val="ListParagraph"/>
        <w:numPr>
          <w:ilvl w:val="0"/>
          <w:numId w:val="6"/>
        </w:numPr>
        <w:autoSpaceDE w:val="0"/>
        <w:autoSpaceDN w:val="0"/>
        <w:adjustRightInd w:val="0"/>
        <w:spacing w:after="0" w:line="240" w:lineRule="auto"/>
        <w:rPr>
          <w:rFonts w:cstheme="minorHAnsi"/>
          <w:bCs/>
          <w:color w:val="0000E1"/>
        </w:rPr>
      </w:pPr>
      <w:r w:rsidRPr="00D716EF">
        <w:rPr>
          <w:rFonts w:cstheme="minorHAnsi"/>
          <w:bCs/>
          <w:color w:val="0000E1"/>
        </w:rPr>
        <w:t>missing data</w:t>
      </w:r>
      <w:r w:rsidR="00784F3B">
        <w:rPr>
          <w:rFonts w:cstheme="minorHAnsi"/>
          <w:bCs/>
          <w:color w:val="0000E1"/>
        </w:rPr>
        <w:t xml:space="preserve"> and unadjusted reliability testing for Medicare</w:t>
      </w:r>
      <w:r w:rsidR="003E2319" w:rsidRPr="00D716EF">
        <w:rPr>
          <w:rFonts w:cstheme="minorHAnsi"/>
          <w:bCs/>
          <w:color w:val="0000E1"/>
        </w:rPr>
        <w:t xml:space="preserve">: </w:t>
      </w:r>
      <w:r w:rsidRPr="00D716EF">
        <w:rPr>
          <w:rFonts w:cstheme="minorHAnsi"/>
          <w:bCs/>
          <w:color w:val="0000E1"/>
        </w:rPr>
        <w:t xml:space="preserve">used the 100% CMS </w:t>
      </w:r>
      <w:r w:rsidR="00784F3B">
        <w:rPr>
          <w:rFonts w:cstheme="minorHAnsi"/>
          <w:bCs/>
          <w:color w:val="0000E1"/>
        </w:rPr>
        <w:t xml:space="preserve">Medicare </w:t>
      </w:r>
      <w:r w:rsidRPr="00D716EF">
        <w:rPr>
          <w:rFonts w:cstheme="minorHAnsi"/>
          <w:bCs/>
          <w:color w:val="0000E1"/>
        </w:rPr>
        <w:t>PDE data from 2014</w:t>
      </w:r>
      <w:r w:rsidR="00123930">
        <w:rPr>
          <w:rFonts w:cstheme="minorHAnsi"/>
          <w:bCs/>
          <w:color w:val="0000E1"/>
        </w:rPr>
        <w:t>, and</w:t>
      </w:r>
    </w:p>
    <w:p w14:paraId="7361FDDA" w14:textId="71FC44C4" w:rsidR="00604DFF" w:rsidRPr="00604DFF" w:rsidRDefault="00123930" w:rsidP="00D86E7B">
      <w:pPr>
        <w:pStyle w:val="ListParagraph"/>
        <w:numPr>
          <w:ilvl w:val="0"/>
          <w:numId w:val="6"/>
        </w:numPr>
        <w:autoSpaceDE w:val="0"/>
        <w:autoSpaceDN w:val="0"/>
        <w:adjustRightInd w:val="0"/>
        <w:spacing w:after="0" w:line="240" w:lineRule="auto"/>
        <w:rPr>
          <w:rFonts w:cstheme="minorHAnsi"/>
          <w:bCs/>
          <w:color w:val="FF0000"/>
        </w:rPr>
      </w:pPr>
      <w:r>
        <w:rPr>
          <w:rFonts w:cstheme="minorHAnsi"/>
          <w:b/>
          <w:bCs/>
          <w:color w:val="FF0000"/>
        </w:rPr>
        <w:t>a</w:t>
      </w:r>
      <w:r w:rsidR="003F6E9F" w:rsidRPr="00060169">
        <w:rPr>
          <w:rFonts w:cstheme="minorHAnsi"/>
          <w:b/>
          <w:bCs/>
          <w:color w:val="FF0000"/>
        </w:rPr>
        <w:t>dditional</w:t>
      </w:r>
      <w:r w:rsidR="000C524E" w:rsidRPr="00060169">
        <w:rPr>
          <w:rFonts w:cstheme="minorHAnsi"/>
          <w:b/>
          <w:bCs/>
          <w:color w:val="FF0000"/>
        </w:rPr>
        <w:t xml:space="preserve"> testing</w:t>
      </w:r>
      <w:r w:rsidR="00604DFF" w:rsidRPr="00060169">
        <w:rPr>
          <w:rFonts w:cstheme="minorHAnsi"/>
          <w:b/>
          <w:bCs/>
          <w:color w:val="FF0000"/>
        </w:rPr>
        <w:t>:</w:t>
      </w:r>
      <w:r w:rsidR="00604DFF" w:rsidRPr="00604DFF">
        <w:rPr>
          <w:rFonts w:cstheme="minorHAnsi"/>
          <w:bCs/>
          <w:color w:val="FF0000"/>
        </w:rPr>
        <w:t xml:space="preserve"> </w:t>
      </w:r>
      <w:r>
        <w:rPr>
          <w:rFonts w:cstheme="minorHAnsi"/>
          <w:bCs/>
          <w:color w:val="FF0000"/>
        </w:rPr>
        <w:t>a</w:t>
      </w:r>
      <w:r w:rsidR="00604DFF" w:rsidRPr="00604DFF">
        <w:rPr>
          <w:rFonts w:cstheme="minorHAnsi"/>
          <w:bCs/>
          <w:color w:val="FF0000"/>
        </w:rPr>
        <w:t>dditional</w:t>
      </w:r>
      <w:r w:rsidR="00886585">
        <w:rPr>
          <w:rFonts w:cstheme="minorHAnsi"/>
          <w:bCs/>
          <w:color w:val="FF0000"/>
        </w:rPr>
        <w:t xml:space="preserve"> unadjusted and</w:t>
      </w:r>
      <w:r w:rsidR="00604DFF" w:rsidRPr="00604DFF">
        <w:rPr>
          <w:rFonts w:cstheme="minorHAnsi"/>
          <w:bCs/>
          <w:color w:val="FF0000"/>
        </w:rPr>
        <w:t xml:space="preserve"> risk-adjusted reliability testing conducted using 100% CMS Medicare PDE data from 201</w:t>
      </w:r>
      <w:r w:rsidR="00F71146">
        <w:rPr>
          <w:rFonts w:cstheme="minorHAnsi"/>
          <w:bCs/>
          <w:color w:val="FF0000"/>
        </w:rPr>
        <w:t>7</w:t>
      </w:r>
      <w:r w:rsidR="00604DFF" w:rsidRPr="00604DFF">
        <w:rPr>
          <w:rFonts w:cstheme="minorHAnsi"/>
          <w:bCs/>
          <w:color w:val="FF0000"/>
        </w:rPr>
        <w:t>.</w:t>
      </w:r>
    </w:p>
    <w:p w14:paraId="33D7C7E1" w14:textId="77777777" w:rsidR="005A5510" w:rsidRDefault="005A5510" w:rsidP="00D86E7B">
      <w:pPr>
        <w:autoSpaceDE w:val="0"/>
        <w:autoSpaceDN w:val="0"/>
        <w:adjustRightInd w:val="0"/>
        <w:spacing w:after="0" w:line="240" w:lineRule="auto"/>
        <w:rPr>
          <w:rFonts w:cstheme="minorHAnsi"/>
          <w:bCs/>
        </w:rPr>
      </w:pPr>
    </w:p>
    <w:p w14:paraId="781BD621" w14:textId="77777777"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5EF2B68F" w14:textId="77777777" w:rsidR="00AF36CE" w:rsidRDefault="00AF36CE" w:rsidP="004C25D2">
      <w:pPr>
        <w:autoSpaceDE w:val="0"/>
        <w:autoSpaceDN w:val="0"/>
        <w:adjustRightInd w:val="0"/>
        <w:spacing w:after="0" w:line="240" w:lineRule="auto"/>
        <w:rPr>
          <w:rFonts w:cstheme="minorHAnsi"/>
          <w:bCs/>
        </w:rPr>
      </w:pPr>
    </w:p>
    <w:p w14:paraId="20526E7B" w14:textId="77777777" w:rsidR="00B74F84" w:rsidRPr="00D716EF" w:rsidRDefault="00EE08FB" w:rsidP="004C25D2">
      <w:pPr>
        <w:autoSpaceDE w:val="0"/>
        <w:autoSpaceDN w:val="0"/>
        <w:adjustRightInd w:val="0"/>
        <w:spacing w:after="0" w:line="240" w:lineRule="auto"/>
        <w:rPr>
          <w:rFonts w:cstheme="minorHAnsi"/>
          <w:bCs/>
          <w:color w:val="0000E1"/>
        </w:rPr>
      </w:pPr>
      <w:r w:rsidRPr="00D716EF">
        <w:rPr>
          <w:rFonts w:cstheme="minorHAnsi"/>
          <w:bCs/>
          <w:color w:val="0000E1"/>
        </w:rPr>
        <w:t>Variables selected for analyses for the Medicare population included beneficiary-, community- (9-digit zip code) and county-level variables. (see Table 4</w:t>
      </w:r>
      <w:r w:rsidR="007C1BEA" w:rsidRPr="00D716EF">
        <w:rPr>
          <w:rFonts w:cstheme="minorHAnsi"/>
          <w:bCs/>
          <w:color w:val="0000E1"/>
        </w:rPr>
        <w:t xml:space="preserve">). </w:t>
      </w:r>
    </w:p>
    <w:p w14:paraId="1565390E" w14:textId="77777777" w:rsidR="004169D6" w:rsidRDefault="004169D6" w:rsidP="004C25D2">
      <w:pPr>
        <w:autoSpaceDE w:val="0"/>
        <w:autoSpaceDN w:val="0"/>
        <w:adjustRightInd w:val="0"/>
        <w:spacing w:after="0" w:line="240" w:lineRule="auto"/>
        <w:rPr>
          <w:rFonts w:cstheme="minorHAnsi"/>
          <w:bCs/>
          <w:color w:val="0000E1"/>
        </w:rPr>
      </w:pPr>
    </w:p>
    <w:p w14:paraId="674A95CA" w14:textId="77777777" w:rsidR="00ED18F4" w:rsidRDefault="00ED18F4" w:rsidP="004C25D2">
      <w:pPr>
        <w:autoSpaceDE w:val="0"/>
        <w:autoSpaceDN w:val="0"/>
        <w:adjustRightInd w:val="0"/>
        <w:spacing w:after="0" w:line="240" w:lineRule="auto"/>
        <w:rPr>
          <w:rFonts w:cstheme="minorHAnsi"/>
          <w:bCs/>
          <w:color w:val="0000E1"/>
        </w:rPr>
      </w:pPr>
    </w:p>
    <w:p w14:paraId="33616011" w14:textId="77777777" w:rsidR="00ED18F4" w:rsidRDefault="00ED18F4" w:rsidP="004C25D2">
      <w:pPr>
        <w:autoSpaceDE w:val="0"/>
        <w:autoSpaceDN w:val="0"/>
        <w:adjustRightInd w:val="0"/>
        <w:spacing w:after="0" w:line="240" w:lineRule="auto"/>
        <w:rPr>
          <w:rFonts w:cstheme="minorHAnsi"/>
          <w:bCs/>
          <w:color w:val="0000E1"/>
        </w:rPr>
      </w:pPr>
    </w:p>
    <w:p w14:paraId="65EC2AE3" w14:textId="77777777" w:rsidR="00ED18F4" w:rsidRPr="00D716EF" w:rsidRDefault="00ED18F4" w:rsidP="004C25D2">
      <w:pPr>
        <w:autoSpaceDE w:val="0"/>
        <w:autoSpaceDN w:val="0"/>
        <w:adjustRightInd w:val="0"/>
        <w:spacing w:after="0" w:line="240" w:lineRule="auto"/>
        <w:rPr>
          <w:rFonts w:cstheme="minorHAnsi"/>
          <w:bCs/>
          <w:color w:val="0000E1"/>
        </w:rPr>
      </w:pPr>
    </w:p>
    <w:p w14:paraId="3036380F" w14:textId="1E789087" w:rsidR="00E31804" w:rsidRPr="00D716EF" w:rsidRDefault="00E31804" w:rsidP="00E31804">
      <w:pPr>
        <w:autoSpaceDE w:val="0"/>
        <w:autoSpaceDN w:val="0"/>
        <w:adjustRightInd w:val="0"/>
        <w:spacing w:after="0" w:line="240" w:lineRule="auto"/>
        <w:rPr>
          <w:rFonts w:cstheme="minorHAnsi"/>
          <w:b/>
          <w:bCs/>
          <w:color w:val="0000E1"/>
        </w:rPr>
      </w:pPr>
      <w:r w:rsidRPr="00D716EF">
        <w:rPr>
          <w:rFonts w:cstheme="minorHAnsi"/>
          <w:b/>
          <w:bCs/>
          <w:color w:val="0000E1"/>
        </w:rPr>
        <w:lastRenderedPageBreak/>
        <w:t xml:space="preserve">Table </w:t>
      </w:r>
      <w:r w:rsidR="00B62989" w:rsidRPr="00D716EF">
        <w:rPr>
          <w:rFonts w:cstheme="minorHAnsi"/>
          <w:b/>
          <w:bCs/>
          <w:color w:val="0000E1"/>
        </w:rPr>
        <w:t>4</w:t>
      </w:r>
      <w:r w:rsidRPr="00D716EF">
        <w:rPr>
          <w:rFonts w:cstheme="minorHAnsi"/>
          <w:b/>
          <w:bCs/>
          <w:color w:val="0000E1"/>
        </w:rPr>
        <w:t>. SDS Variables Considered for Ri</w:t>
      </w:r>
      <w:r w:rsidR="00D96579">
        <w:rPr>
          <w:rFonts w:cstheme="minorHAnsi"/>
          <w:b/>
          <w:bCs/>
          <w:color w:val="0000E1"/>
        </w:rPr>
        <w:t>sk Adjustment for the Medicare P</w:t>
      </w:r>
      <w:r w:rsidRPr="00D716EF">
        <w:rPr>
          <w:rFonts w:cstheme="minorHAnsi"/>
          <w:b/>
          <w:bCs/>
          <w:color w:val="0000E1"/>
        </w:rPr>
        <w:t>opulation</w:t>
      </w:r>
    </w:p>
    <w:tbl>
      <w:tblPr>
        <w:tblStyle w:val="TableGrid"/>
        <w:tblW w:w="9480" w:type="dxa"/>
        <w:jc w:val="center"/>
        <w:tblLook w:val="04A0" w:firstRow="1" w:lastRow="0" w:firstColumn="1" w:lastColumn="0" w:noHBand="0" w:noVBand="1"/>
      </w:tblPr>
      <w:tblGrid>
        <w:gridCol w:w="3006"/>
        <w:gridCol w:w="6474"/>
      </w:tblGrid>
      <w:tr w:rsidR="00784F3B" w:rsidRPr="00D716EF" w14:paraId="6E421D66" w14:textId="77777777" w:rsidTr="00784F3B">
        <w:trPr>
          <w:trHeight w:val="128"/>
          <w:jc w:val="center"/>
        </w:trPr>
        <w:tc>
          <w:tcPr>
            <w:tcW w:w="3006" w:type="dxa"/>
            <w:tcBorders>
              <w:top w:val="single" w:sz="4" w:space="0" w:color="auto"/>
              <w:left w:val="single" w:sz="4" w:space="0" w:color="auto"/>
              <w:bottom w:val="single" w:sz="4" w:space="0" w:color="auto"/>
              <w:right w:val="single" w:sz="4" w:space="0" w:color="auto"/>
            </w:tcBorders>
            <w:hideMark/>
          </w:tcPr>
          <w:p w14:paraId="2B115903" w14:textId="77777777" w:rsidR="00E31804" w:rsidRPr="00D716EF" w:rsidRDefault="00E31804" w:rsidP="00E0165F">
            <w:pPr>
              <w:rPr>
                <w:rFonts w:cstheme="minorHAnsi"/>
                <w:b/>
                <w:color w:val="0000E1"/>
              </w:rPr>
            </w:pPr>
            <w:r w:rsidRPr="00D716EF">
              <w:rPr>
                <w:rFonts w:cstheme="minorHAnsi"/>
                <w:b/>
                <w:color w:val="0000E1"/>
              </w:rPr>
              <w:t>Variable Level</w:t>
            </w:r>
          </w:p>
        </w:tc>
        <w:tc>
          <w:tcPr>
            <w:tcW w:w="6474" w:type="dxa"/>
            <w:tcBorders>
              <w:top w:val="single" w:sz="4" w:space="0" w:color="auto"/>
              <w:left w:val="single" w:sz="4" w:space="0" w:color="auto"/>
              <w:bottom w:val="single" w:sz="4" w:space="0" w:color="auto"/>
              <w:right w:val="single" w:sz="4" w:space="0" w:color="auto"/>
            </w:tcBorders>
            <w:hideMark/>
          </w:tcPr>
          <w:p w14:paraId="53909F75" w14:textId="77777777" w:rsidR="00E31804" w:rsidRPr="00D716EF" w:rsidRDefault="00E31804" w:rsidP="00E0165F">
            <w:pPr>
              <w:rPr>
                <w:rFonts w:cstheme="minorHAnsi"/>
                <w:b/>
                <w:color w:val="0000E1"/>
              </w:rPr>
            </w:pPr>
            <w:r w:rsidRPr="00D716EF">
              <w:rPr>
                <w:rFonts w:cstheme="minorHAnsi"/>
                <w:b/>
                <w:color w:val="0000E1"/>
              </w:rPr>
              <w:t>Variable</w:t>
            </w:r>
          </w:p>
        </w:tc>
      </w:tr>
      <w:tr w:rsidR="00784F3B" w:rsidRPr="00D716EF" w14:paraId="349380E7" w14:textId="77777777" w:rsidTr="00784F3B">
        <w:trPr>
          <w:trHeight w:val="132"/>
          <w:jc w:val="center"/>
        </w:trPr>
        <w:tc>
          <w:tcPr>
            <w:tcW w:w="3006" w:type="dxa"/>
            <w:vMerge w:val="restart"/>
            <w:tcBorders>
              <w:top w:val="single" w:sz="4" w:space="0" w:color="auto"/>
              <w:left w:val="single" w:sz="4" w:space="0" w:color="auto"/>
              <w:right w:val="single" w:sz="4" w:space="0" w:color="auto"/>
            </w:tcBorders>
          </w:tcPr>
          <w:p w14:paraId="796EC059" w14:textId="77777777" w:rsidR="00E31804" w:rsidRPr="00D716EF" w:rsidRDefault="00E31804" w:rsidP="00E0165F">
            <w:pPr>
              <w:ind w:left="540" w:hanging="540"/>
              <w:rPr>
                <w:rFonts w:cstheme="minorHAnsi"/>
                <w:color w:val="0000E1"/>
              </w:rPr>
            </w:pPr>
            <w:r w:rsidRPr="00D716EF">
              <w:rPr>
                <w:rFonts w:cstheme="minorHAnsi"/>
                <w:color w:val="0000E1"/>
              </w:rPr>
              <w:t>Beneficiary-level</w:t>
            </w:r>
          </w:p>
        </w:tc>
        <w:tc>
          <w:tcPr>
            <w:tcW w:w="6474" w:type="dxa"/>
            <w:tcBorders>
              <w:top w:val="single" w:sz="4" w:space="0" w:color="auto"/>
              <w:left w:val="single" w:sz="4" w:space="0" w:color="auto"/>
              <w:bottom w:val="single" w:sz="4" w:space="0" w:color="auto"/>
              <w:right w:val="single" w:sz="4" w:space="0" w:color="auto"/>
            </w:tcBorders>
            <w:hideMark/>
          </w:tcPr>
          <w:p w14:paraId="28D5FE8F" w14:textId="77777777" w:rsidR="00E31804" w:rsidRPr="00D716EF" w:rsidRDefault="00E31804" w:rsidP="00E0165F">
            <w:pPr>
              <w:pStyle w:val="ListParagraph"/>
              <w:ind w:left="162"/>
              <w:rPr>
                <w:rFonts w:cstheme="minorHAnsi"/>
                <w:color w:val="0000E1"/>
              </w:rPr>
            </w:pPr>
            <w:r w:rsidRPr="00D716EF">
              <w:rPr>
                <w:rFonts w:cstheme="minorHAnsi"/>
                <w:color w:val="0000E1"/>
              </w:rPr>
              <w:t>Age</w:t>
            </w:r>
          </w:p>
        </w:tc>
      </w:tr>
      <w:tr w:rsidR="00784F3B" w:rsidRPr="00D716EF" w14:paraId="420CEDAB" w14:textId="77777777" w:rsidTr="00784F3B">
        <w:trPr>
          <w:trHeight w:val="135"/>
          <w:jc w:val="center"/>
        </w:trPr>
        <w:tc>
          <w:tcPr>
            <w:tcW w:w="3006" w:type="dxa"/>
            <w:vMerge/>
            <w:tcBorders>
              <w:left w:val="single" w:sz="4" w:space="0" w:color="auto"/>
              <w:right w:val="single" w:sz="4" w:space="0" w:color="auto"/>
            </w:tcBorders>
          </w:tcPr>
          <w:p w14:paraId="19C4E64D" w14:textId="77777777" w:rsidR="00E31804" w:rsidRPr="00D716EF" w:rsidRDefault="00E31804" w:rsidP="00E0165F">
            <w:pPr>
              <w:ind w:left="540" w:hanging="540"/>
              <w:rPr>
                <w:rFonts w:cstheme="minorHAnsi"/>
                <w:color w:val="0000E1"/>
              </w:rPr>
            </w:pPr>
          </w:p>
        </w:tc>
        <w:tc>
          <w:tcPr>
            <w:tcW w:w="6474" w:type="dxa"/>
            <w:tcBorders>
              <w:top w:val="single" w:sz="4" w:space="0" w:color="auto"/>
              <w:left w:val="single" w:sz="4" w:space="0" w:color="auto"/>
              <w:bottom w:val="single" w:sz="4" w:space="0" w:color="auto"/>
              <w:right w:val="single" w:sz="4" w:space="0" w:color="auto"/>
            </w:tcBorders>
          </w:tcPr>
          <w:p w14:paraId="31C3DD48" w14:textId="77777777" w:rsidR="00E31804" w:rsidRPr="00D716EF" w:rsidRDefault="00E31804" w:rsidP="00E0165F">
            <w:pPr>
              <w:pStyle w:val="ListParagraph"/>
              <w:ind w:left="162"/>
              <w:rPr>
                <w:rFonts w:cstheme="minorHAnsi"/>
                <w:color w:val="0000E1"/>
              </w:rPr>
            </w:pPr>
            <w:r w:rsidRPr="00D716EF">
              <w:rPr>
                <w:rFonts w:cstheme="minorHAnsi"/>
                <w:color w:val="0000E1"/>
              </w:rPr>
              <w:t>Gender</w:t>
            </w:r>
          </w:p>
        </w:tc>
      </w:tr>
      <w:tr w:rsidR="00784F3B" w:rsidRPr="00D716EF" w14:paraId="2170E668" w14:textId="77777777" w:rsidTr="00784F3B">
        <w:trPr>
          <w:trHeight w:val="137"/>
          <w:jc w:val="center"/>
        </w:trPr>
        <w:tc>
          <w:tcPr>
            <w:tcW w:w="3006" w:type="dxa"/>
            <w:vMerge/>
            <w:tcBorders>
              <w:left w:val="single" w:sz="4" w:space="0" w:color="auto"/>
              <w:right w:val="single" w:sz="4" w:space="0" w:color="auto"/>
            </w:tcBorders>
          </w:tcPr>
          <w:p w14:paraId="0506A326" w14:textId="77777777" w:rsidR="00E31804" w:rsidRPr="00D716EF" w:rsidRDefault="00E31804" w:rsidP="00E0165F">
            <w:pPr>
              <w:ind w:left="540" w:hanging="540"/>
              <w:rPr>
                <w:rFonts w:cstheme="minorHAnsi"/>
                <w:color w:val="0000E1"/>
              </w:rPr>
            </w:pPr>
          </w:p>
        </w:tc>
        <w:tc>
          <w:tcPr>
            <w:tcW w:w="6474" w:type="dxa"/>
            <w:tcBorders>
              <w:top w:val="single" w:sz="4" w:space="0" w:color="auto"/>
              <w:left w:val="single" w:sz="4" w:space="0" w:color="auto"/>
              <w:bottom w:val="single" w:sz="4" w:space="0" w:color="auto"/>
              <w:right w:val="single" w:sz="4" w:space="0" w:color="auto"/>
            </w:tcBorders>
          </w:tcPr>
          <w:p w14:paraId="6AAD9D1A" w14:textId="77777777" w:rsidR="00E31804" w:rsidRPr="00D716EF" w:rsidRDefault="00E31804" w:rsidP="00E0165F">
            <w:pPr>
              <w:pStyle w:val="ListParagraph"/>
              <w:ind w:left="162"/>
              <w:rPr>
                <w:rFonts w:cstheme="minorHAnsi"/>
                <w:color w:val="0000E1"/>
              </w:rPr>
            </w:pPr>
            <w:r w:rsidRPr="00D716EF">
              <w:rPr>
                <w:rFonts w:cstheme="minorHAnsi"/>
                <w:color w:val="0000E1"/>
              </w:rPr>
              <w:t>LIS status or Dual eligibility status</w:t>
            </w:r>
          </w:p>
        </w:tc>
      </w:tr>
      <w:tr w:rsidR="00784F3B" w:rsidRPr="00D716EF" w14:paraId="47DB1E8A" w14:textId="77777777" w:rsidTr="00784F3B">
        <w:trPr>
          <w:trHeight w:val="135"/>
          <w:jc w:val="center"/>
        </w:trPr>
        <w:tc>
          <w:tcPr>
            <w:tcW w:w="3006" w:type="dxa"/>
            <w:vMerge/>
            <w:tcBorders>
              <w:left w:val="single" w:sz="4" w:space="0" w:color="auto"/>
              <w:right w:val="single" w:sz="4" w:space="0" w:color="auto"/>
            </w:tcBorders>
          </w:tcPr>
          <w:p w14:paraId="0343F635" w14:textId="77777777" w:rsidR="00E31804" w:rsidRPr="00D716EF" w:rsidRDefault="00E31804" w:rsidP="00E0165F">
            <w:pPr>
              <w:ind w:left="540" w:hanging="540"/>
              <w:rPr>
                <w:rFonts w:cstheme="minorHAnsi"/>
                <w:color w:val="0000E1"/>
              </w:rPr>
            </w:pPr>
          </w:p>
        </w:tc>
        <w:tc>
          <w:tcPr>
            <w:tcW w:w="6474" w:type="dxa"/>
            <w:tcBorders>
              <w:top w:val="single" w:sz="4" w:space="0" w:color="auto"/>
              <w:left w:val="single" w:sz="4" w:space="0" w:color="auto"/>
              <w:bottom w:val="single" w:sz="4" w:space="0" w:color="auto"/>
              <w:right w:val="single" w:sz="4" w:space="0" w:color="auto"/>
            </w:tcBorders>
          </w:tcPr>
          <w:p w14:paraId="6148FB3C" w14:textId="77777777" w:rsidR="00E31804" w:rsidRPr="00D716EF" w:rsidRDefault="00E31804" w:rsidP="00E0165F">
            <w:pPr>
              <w:pStyle w:val="ListParagraph"/>
              <w:ind w:left="162"/>
              <w:rPr>
                <w:rFonts w:cstheme="minorHAnsi"/>
                <w:color w:val="0000E1"/>
              </w:rPr>
            </w:pPr>
            <w:r w:rsidRPr="00D716EF">
              <w:rPr>
                <w:rFonts w:cstheme="minorHAnsi"/>
                <w:color w:val="0000E1"/>
              </w:rPr>
              <w:t>Disability as original reason for Medicare entitlement</w:t>
            </w:r>
          </w:p>
        </w:tc>
      </w:tr>
      <w:tr w:rsidR="00784F3B" w:rsidRPr="00D716EF" w14:paraId="5185A1E6" w14:textId="77777777" w:rsidTr="00784F3B">
        <w:trPr>
          <w:trHeight w:val="132"/>
          <w:jc w:val="center"/>
        </w:trPr>
        <w:tc>
          <w:tcPr>
            <w:tcW w:w="3006" w:type="dxa"/>
            <w:vMerge/>
            <w:tcBorders>
              <w:left w:val="single" w:sz="4" w:space="0" w:color="auto"/>
              <w:bottom w:val="single" w:sz="4" w:space="0" w:color="auto"/>
              <w:right w:val="single" w:sz="4" w:space="0" w:color="auto"/>
            </w:tcBorders>
          </w:tcPr>
          <w:p w14:paraId="3C2F7AA3" w14:textId="77777777" w:rsidR="00E31804" w:rsidRPr="00D716EF" w:rsidRDefault="00E31804" w:rsidP="00E0165F">
            <w:pPr>
              <w:ind w:left="540" w:hanging="540"/>
              <w:rPr>
                <w:rFonts w:cstheme="minorHAnsi"/>
                <w:color w:val="0000E1"/>
              </w:rPr>
            </w:pPr>
          </w:p>
        </w:tc>
        <w:tc>
          <w:tcPr>
            <w:tcW w:w="6474" w:type="dxa"/>
            <w:tcBorders>
              <w:top w:val="single" w:sz="4" w:space="0" w:color="auto"/>
              <w:left w:val="single" w:sz="4" w:space="0" w:color="auto"/>
              <w:bottom w:val="single" w:sz="4" w:space="0" w:color="auto"/>
              <w:right w:val="single" w:sz="4" w:space="0" w:color="auto"/>
            </w:tcBorders>
          </w:tcPr>
          <w:p w14:paraId="04808547" w14:textId="77777777" w:rsidR="00E31804" w:rsidRPr="00D716EF" w:rsidRDefault="00E31804" w:rsidP="00E0165F">
            <w:pPr>
              <w:pStyle w:val="ListParagraph"/>
              <w:ind w:left="162"/>
              <w:rPr>
                <w:rFonts w:cstheme="minorHAnsi"/>
                <w:color w:val="0000E1"/>
              </w:rPr>
            </w:pPr>
            <w:r w:rsidRPr="00D716EF">
              <w:rPr>
                <w:rFonts w:cstheme="minorHAnsi"/>
                <w:color w:val="0000E1"/>
              </w:rPr>
              <w:t>Race</w:t>
            </w:r>
          </w:p>
        </w:tc>
      </w:tr>
      <w:tr w:rsidR="00784F3B" w:rsidRPr="00D716EF" w14:paraId="2DC7CBB7" w14:textId="77777777" w:rsidTr="00784F3B">
        <w:trPr>
          <w:trHeight w:val="132"/>
          <w:jc w:val="center"/>
        </w:trPr>
        <w:tc>
          <w:tcPr>
            <w:tcW w:w="3006" w:type="dxa"/>
            <w:vMerge w:val="restart"/>
            <w:tcBorders>
              <w:top w:val="single" w:sz="4" w:space="0" w:color="auto"/>
              <w:left w:val="single" w:sz="4" w:space="0" w:color="auto"/>
              <w:right w:val="single" w:sz="4" w:space="0" w:color="auto"/>
            </w:tcBorders>
          </w:tcPr>
          <w:p w14:paraId="0EA0DBBC" w14:textId="77777777" w:rsidR="00E31804" w:rsidRPr="00D716EF" w:rsidRDefault="00E31804" w:rsidP="00E0165F">
            <w:pPr>
              <w:ind w:left="-23"/>
              <w:rPr>
                <w:rFonts w:cstheme="minorHAnsi"/>
                <w:color w:val="0000E1"/>
              </w:rPr>
            </w:pPr>
            <w:r w:rsidRPr="00D716EF">
              <w:rPr>
                <w:rFonts w:cstheme="minorHAnsi"/>
                <w:color w:val="0000E1"/>
              </w:rPr>
              <w:t>Community-level (9-digit zip code)</w:t>
            </w:r>
          </w:p>
        </w:tc>
        <w:tc>
          <w:tcPr>
            <w:tcW w:w="6474" w:type="dxa"/>
            <w:tcBorders>
              <w:top w:val="single" w:sz="4" w:space="0" w:color="auto"/>
              <w:left w:val="single" w:sz="4" w:space="0" w:color="auto"/>
              <w:bottom w:val="single" w:sz="4" w:space="0" w:color="auto"/>
              <w:right w:val="single" w:sz="4" w:space="0" w:color="auto"/>
            </w:tcBorders>
          </w:tcPr>
          <w:p w14:paraId="4C1A7358" w14:textId="77777777" w:rsidR="00E31804" w:rsidRPr="00D716EF" w:rsidRDefault="00E31804" w:rsidP="00E0165F">
            <w:pPr>
              <w:pStyle w:val="ListParagraph"/>
              <w:ind w:left="162"/>
              <w:rPr>
                <w:rFonts w:cstheme="minorHAnsi"/>
                <w:color w:val="0000E1"/>
              </w:rPr>
            </w:pPr>
            <w:r w:rsidRPr="00D716EF">
              <w:rPr>
                <w:rFonts w:cstheme="minorHAnsi"/>
                <w:color w:val="0000E1"/>
              </w:rPr>
              <w:t>Median income</w:t>
            </w:r>
          </w:p>
        </w:tc>
      </w:tr>
      <w:tr w:rsidR="00784F3B" w:rsidRPr="00D716EF" w14:paraId="448DB9DB" w14:textId="77777777" w:rsidTr="00784F3B">
        <w:trPr>
          <w:trHeight w:val="135"/>
          <w:jc w:val="center"/>
        </w:trPr>
        <w:tc>
          <w:tcPr>
            <w:tcW w:w="3006" w:type="dxa"/>
            <w:vMerge/>
            <w:tcBorders>
              <w:left w:val="single" w:sz="4" w:space="0" w:color="auto"/>
              <w:right w:val="single" w:sz="4" w:space="0" w:color="auto"/>
            </w:tcBorders>
          </w:tcPr>
          <w:p w14:paraId="64DEEFAA" w14:textId="77777777" w:rsidR="00E31804" w:rsidRPr="00D716EF" w:rsidRDefault="00E31804" w:rsidP="00E0165F">
            <w:pPr>
              <w:ind w:left="540" w:hanging="540"/>
              <w:rPr>
                <w:rFonts w:cstheme="minorHAnsi"/>
                <w:color w:val="0000E1"/>
              </w:rPr>
            </w:pPr>
          </w:p>
        </w:tc>
        <w:tc>
          <w:tcPr>
            <w:tcW w:w="6474" w:type="dxa"/>
            <w:tcBorders>
              <w:top w:val="single" w:sz="4" w:space="0" w:color="auto"/>
              <w:left w:val="single" w:sz="4" w:space="0" w:color="auto"/>
              <w:bottom w:val="single" w:sz="4" w:space="0" w:color="auto"/>
              <w:right w:val="single" w:sz="4" w:space="0" w:color="auto"/>
            </w:tcBorders>
          </w:tcPr>
          <w:p w14:paraId="579D31D6" w14:textId="77777777" w:rsidR="00E31804" w:rsidRPr="00D716EF" w:rsidRDefault="00E31804" w:rsidP="00E0165F">
            <w:pPr>
              <w:pStyle w:val="ListParagraph"/>
              <w:ind w:left="162"/>
              <w:rPr>
                <w:rFonts w:cstheme="minorHAnsi"/>
                <w:color w:val="0000E1"/>
              </w:rPr>
            </w:pPr>
            <w:r w:rsidRPr="00D716EF">
              <w:rPr>
                <w:rFonts w:cstheme="minorHAnsi"/>
                <w:color w:val="0000E1"/>
              </w:rPr>
              <w:t>Percent of households where residents are married</w:t>
            </w:r>
          </w:p>
        </w:tc>
      </w:tr>
      <w:tr w:rsidR="00784F3B" w:rsidRPr="00D716EF" w14:paraId="3C0691F5" w14:textId="77777777" w:rsidTr="00784F3B">
        <w:trPr>
          <w:trHeight w:val="137"/>
          <w:jc w:val="center"/>
        </w:trPr>
        <w:tc>
          <w:tcPr>
            <w:tcW w:w="3006" w:type="dxa"/>
            <w:vMerge/>
            <w:tcBorders>
              <w:left w:val="single" w:sz="4" w:space="0" w:color="auto"/>
              <w:right w:val="single" w:sz="4" w:space="0" w:color="auto"/>
            </w:tcBorders>
          </w:tcPr>
          <w:p w14:paraId="0C1FDB9B" w14:textId="77777777" w:rsidR="00E31804" w:rsidRPr="00D716EF" w:rsidRDefault="00E31804" w:rsidP="00E0165F">
            <w:pPr>
              <w:ind w:left="540" w:hanging="540"/>
              <w:rPr>
                <w:rFonts w:cstheme="minorHAnsi"/>
                <w:color w:val="0000E1"/>
              </w:rPr>
            </w:pPr>
          </w:p>
        </w:tc>
        <w:tc>
          <w:tcPr>
            <w:tcW w:w="6474" w:type="dxa"/>
            <w:tcBorders>
              <w:top w:val="single" w:sz="4" w:space="0" w:color="auto"/>
              <w:left w:val="single" w:sz="4" w:space="0" w:color="auto"/>
              <w:bottom w:val="single" w:sz="4" w:space="0" w:color="auto"/>
              <w:right w:val="single" w:sz="4" w:space="0" w:color="auto"/>
            </w:tcBorders>
          </w:tcPr>
          <w:p w14:paraId="3D388301" w14:textId="77777777" w:rsidR="00E31804" w:rsidRPr="00D716EF" w:rsidRDefault="00E31804" w:rsidP="00E0165F">
            <w:pPr>
              <w:pStyle w:val="ListParagraph"/>
              <w:ind w:left="162"/>
              <w:rPr>
                <w:rFonts w:cstheme="minorHAnsi"/>
                <w:color w:val="0000E1"/>
              </w:rPr>
            </w:pPr>
            <w:r w:rsidRPr="00D716EF">
              <w:rPr>
                <w:rFonts w:cstheme="minorHAnsi"/>
                <w:color w:val="0000E1"/>
              </w:rPr>
              <w:t>Percent of households where residents completed college</w:t>
            </w:r>
          </w:p>
        </w:tc>
      </w:tr>
      <w:tr w:rsidR="00784F3B" w:rsidRPr="00D716EF" w14:paraId="516CE16C" w14:textId="77777777" w:rsidTr="00784F3B">
        <w:trPr>
          <w:trHeight w:val="135"/>
          <w:jc w:val="center"/>
        </w:trPr>
        <w:tc>
          <w:tcPr>
            <w:tcW w:w="3006" w:type="dxa"/>
            <w:vMerge/>
            <w:tcBorders>
              <w:left w:val="single" w:sz="4" w:space="0" w:color="auto"/>
              <w:bottom w:val="single" w:sz="4" w:space="0" w:color="auto"/>
              <w:right w:val="single" w:sz="4" w:space="0" w:color="auto"/>
            </w:tcBorders>
          </w:tcPr>
          <w:p w14:paraId="631A409D" w14:textId="77777777" w:rsidR="00E31804" w:rsidRPr="00D716EF" w:rsidRDefault="00E31804" w:rsidP="00E0165F">
            <w:pPr>
              <w:ind w:left="540" w:hanging="540"/>
              <w:rPr>
                <w:rFonts w:cstheme="minorHAnsi"/>
                <w:color w:val="0000E1"/>
              </w:rPr>
            </w:pPr>
          </w:p>
        </w:tc>
        <w:tc>
          <w:tcPr>
            <w:tcW w:w="6474" w:type="dxa"/>
            <w:tcBorders>
              <w:top w:val="single" w:sz="4" w:space="0" w:color="auto"/>
              <w:left w:val="single" w:sz="4" w:space="0" w:color="auto"/>
              <w:bottom w:val="single" w:sz="4" w:space="0" w:color="auto"/>
              <w:right w:val="single" w:sz="4" w:space="0" w:color="auto"/>
            </w:tcBorders>
          </w:tcPr>
          <w:p w14:paraId="012DB45C" w14:textId="77777777" w:rsidR="00E31804" w:rsidRPr="00D716EF" w:rsidRDefault="00E31804" w:rsidP="00E0165F">
            <w:pPr>
              <w:pStyle w:val="ListParagraph"/>
              <w:ind w:left="162"/>
              <w:rPr>
                <w:rFonts w:cstheme="minorHAnsi"/>
                <w:color w:val="0000E1"/>
              </w:rPr>
            </w:pPr>
            <w:r w:rsidRPr="00D716EF">
              <w:rPr>
                <w:rFonts w:cstheme="minorHAnsi"/>
                <w:color w:val="0000E1"/>
              </w:rPr>
              <w:t>Percent of households where residents own their home</w:t>
            </w:r>
          </w:p>
        </w:tc>
      </w:tr>
      <w:tr w:rsidR="00784F3B" w:rsidRPr="00D716EF" w14:paraId="3B614DBA" w14:textId="77777777" w:rsidTr="00784F3B">
        <w:trPr>
          <w:trHeight w:val="132"/>
          <w:jc w:val="center"/>
        </w:trPr>
        <w:tc>
          <w:tcPr>
            <w:tcW w:w="3006" w:type="dxa"/>
            <w:vMerge w:val="restart"/>
            <w:tcBorders>
              <w:top w:val="single" w:sz="4" w:space="0" w:color="auto"/>
              <w:left w:val="single" w:sz="4" w:space="0" w:color="auto"/>
              <w:right w:val="single" w:sz="4" w:space="0" w:color="auto"/>
            </w:tcBorders>
          </w:tcPr>
          <w:p w14:paraId="5910C852" w14:textId="77777777" w:rsidR="00E31804" w:rsidRPr="00D716EF" w:rsidRDefault="00E31804" w:rsidP="00E0165F">
            <w:pPr>
              <w:ind w:left="540" w:hanging="540"/>
              <w:rPr>
                <w:rFonts w:cstheme="minorHAnsi"/>
                <w:color w:val="0000E1"/>
              </w:rPr>
            </w:pPr>
            <w:r w:rsidRPr="00D716EF">
              <w:rPr>
                <w:rFonts w:cstheme="minorHAnsi"/>
                <w:color w:val="0000E1"/>
              </w:rPr>
              <w:t>County-level</w:t>
            </w:r>
          </w:p>
        </w:tc>
        <w:tc>
          <w:tcPr>
            <w:tcW w:w="6474" w:type="dxa"/>
            <w:tcBorders>
              <w:top w:val="single" w:sz="4" w:space="0" w:color="auto"/>
              <w:left w:val="single" w:sz="4" w:space="0" w:color="auto"/>
              <w:bottom w:val="single" w:sz="4" w:space="0" w:color="auto"/>
              <w:right w:val="single" w:sz="4" w:space="0" w:color="auto"/>
            </w:tcBorders>
          </w:tcPr>
          <w:p w14:paraId="73E1E028" w14:textId="77777777" w:rsidR="00E31804" w:rsidRPr="00D716EF" w:rsidRDefault="00E31804" w:rsidP="00E0165F">
            <w:pPr>
              <w:pStyle w:val="ListParagraph"/>
              <w:ind w:left="162"/>
              <w:rPr>
                <w:rFonts w:cstheme="minorHAnsi"/>
                <w:color w:val="0000E1"/>
              </w:rPr>
            </w:pPr>
            <w:r w:rsidRPr="00D716EF">
              <w:rPr>
                <w:rFonts w:cstheme="minorHAnsi"/>
                <w:color w:val="0000E1"/>
              </w:rPr>
              <w:t>Federally designated primary care professional shortage area</w:t>
            </w:r>
          </w:p>
        </w:tc>
      </w:tr>
      <w:tr w:rsidR="00784F3B" w:rsidRPr="00D716EF" w14:paraId="095FD73F" w14:textId="77777777" w:rsidTr="00D86E7B">
        <w:trPr>
          <w:trHeight w:val="135"/>
          <w:jc w:val="center"/>
        </w:trPr>
        <w:tc>
          <w:tcPr>
            <w:tcW w:w="3006" w:type="dxa"/>
            <w:vMerge/>
            <w:tcBorders>
              <w:left w:val="single" w:sz="4" w:space="0" w:color="auto"/>
              <w:bottom w:val="single" w:sz="4" w:space="0" w:color="auto"/>
              <w:right w:val="single" w:sz="4" w:space="0" w:color="auto"/>
            </w:tcBorders>
          </w:tcPr>
          <w:p w14:paraId="1EEFA154" w14:textId="77777777" w:rsidR="00E31804" w:rsidRPr="00D716EF" w:rsidRDefault="00E31804" w:rsidP="00E0165F">
            <w:pPr>
              <w:ind w:left="540" w:hanging="540"/>
              <w:rPr>
                <w:rFonts w:cstheme="minorHAnsi"/>
                <w:color w:val="0000E1"/>
              </w:rPr>
            </w:pPr>
          </w:p>
        </w:tc>
        <w:tc>
          <w:tcPr>
            <w:tcW w:w="6474" w:type="dxa"/>
            <w:tcBorders>
              <w:top w:val="single" w:sz="4" w:space="0" w:color="auto"/>
              <w:left w:val="single" w:sz="4" w:space="0" w:color="auto"/>
              <w:bottom w:val="single" w:sz="4" w:space="0" w:color="auto"/>
              <w:right w:val="single" w:sz="4" w:space="0" w:color="auto"/>
            </w:tcBorders>
          </w:tcPr>
          <w:p w14:paraId="6A0CD54D" w14:textId="77777777" w:rsidR="00E31804" w:rsidRPr="00D716EF" w:rsidRDefault="00E31804" w:rsidP="00E0165F">
            <w:pPr>
              <w:pStyle w:val="ListParagraph"/>
              <w:ind w:left="162"/>
              <w:rPr>
                <w:rFonts w:cstheme="minorHAnsi"/>
                <w:color w:val="0000E1"/>
              </w:rPr>
            </w:pPr>
            <w:r w:rsidRPr="00D716EF">
              <w:rPr>
                <w:rFonts w:cstheme="minorHAnsi"/>
                <w:color w:val="0000E1"/>
              </w:rPr>
              <w:t>Federally designated mental healthcare professional shortage area</w:t>
            </w:r>
          </w:p>
        </w:tc>
      </w:tr>
      <w:tr w:rsidR="00282A7B" w:rsidRPr="00D86E7B" w14:paraId="452D654A" w14:textId="77777777" w:rsidTr="00D86E7B">
        <w:trPr>
          <w:trHeight w:val="135"/>
          <w:jc w:val="center"/>
        </w:trPr>
        <w:tc>
          <w:tcPr>
            <w:tcW w:w="9480" w:type="dxa"/>
            <w:gridSpan w:val="2"/>
            <w:tcBorders>
              <w:top w:val="single" w:sz="4" w:space="0" w:color="auto"/>
              <w:left w:val="nil"/>
              <w:bottom w:val="nil"/>
              <w:right w:val="nil"/>
            </w:tcBorders>
          </w:tcPr>
          <w:p w14:paraId="3CD1516C" w14:textId="77777777" w:rsidR="00282A7B" w:rsidRPr="00D86E7B" w:rsidRDefault="00282A7B" w:rsidP="00D86E7B">
            <w:pPr>
              <w:rPr>
                <w:rFonts w:cstheme="minorHAnsi"/>
                <w:i/>
                <w:color w:val="0000E1"/>
              </w:rPr>
            </w:pPr>
            <w:r w:rsidRPr="00D86E7B">
              <w:rPr>
                <w:rFonts w:cstheme="minorHAnsi"/>
                <w:i/>
                <w:color w:val="0000E1"/>
              </w:rPr>
              <w:t>LIS: low-income subsidy; SDS: sociodemographic status</w:t>
            </w:r>
          </w:p>
        </w:tc>
      </w:tr>
    </w:tbl>
    <w:p w14:paraId="7993A58A" w14:textId="77777777" w:rsidR="00E31804" w:rsidRPr="00D716EF" w:rsidRDefault="00E31804" w:rsidP="00E31804">
      <w:pPr>
        <w:autoSpaceDE w:val="0"/>
        <w:autoSpaceDN w:val="0"/>
        <w:adjustRightInd w:val="0"/>
        <w:spacing w:after="0" w:line="240" w:lineRule="auto"/>
        <w:rPr>
          <w:rFonts w:cstheme="minorHAnsi"/>
          <w:bCs/>
          <w:color w:val="0000E1"/>
        </w:rPr>
      </w:pPr>
    </w:p>
    <w:p w14:paraId="3042A149" w14:textId="77777777" w:rsidR="00E31804" w:rsidRPr="00D716EF" w:rsidRDefault="00E31804" w:rsidP="00E31804">
      <w:pPr>
        <w:autoSpaceDE w:val="0"/>
        <w:autoSpaceDN w:val="0"/>
        <w:adjustRightInd w:val="0"/>
        <w:spacing w:after="0" w:line="240" w:lineRule="auto"/>
        <w:rPr>
          <w:rFonts w:cstheme="minorHAnsi"/>
          <w:bCs/>
          <w:color w:val="0000E1"/>
        </w:rPr>
      </w:pPr>
      <w:r w:rsidRPr="00D716EF">
        <w:rPr>
          <w:rFonts w:cstheme="minorHAnsi"/>
          <w:bCs/>
          <w:color w:val="0000E1"/>
        </w:rPr>
        <w:t xml:space="preserve">No social risk factors were analyzed for the Medicaid </w:t>
      </w:r>
      <w:r w:rsidR="00A80925" w:rsidRPr="00D716EF">
        <w:rPr>
          <w:rFonts w:cstheme="minorHAnsi"/>
          <w:bCs/>
          <w:color w:val="0000E1"/>
        </w:rPr>
        <w:t>population</w:t>
      </w:r>
      <w:r w:rsidRPr="00D716EF">
        <w:rPr>
          <w:rFonts w:cstheme="minorHAnsi"/>
          <w:bCs/>
          <w:color w:val="0000E1"/>
        </w:rPr>
        <w:t>.</w:t>
      </w:r>
    </w:p>
    <w:p w14:paraId="073234A1"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2C19C66D" w14:textId="77777777" w:rsidR="008A403A" w:rsidRPr="00B10673" w:rsidRDefault="00021170" w:rsidP="00DB3627">
      <w:pPr>
        <w:autoSpaceDE w:val="0"/>
        <w:autoSpaceDN w:val="0"/>
        <w:adjustRightInd w:val="0"/>
        <w:spacing w:after="0" w:line="240" w:lineRule="auto"/>
        <w:rPr>
          <w:rFonts w:cstheme="minorHAnsi"/>
          <w:b/>
          <w:bCs/>
        </w:rPr>
      </w:pPr>
      <w:r w:rsidRPr="00B10673">
        <w:rPr>
          <w:rFonts w:cstheme="minorHAnsi"/>
          <w:b/>
          <w:noProof/>
        </w:rPr>
        <w:t>2</w:t>
      </w:r>
      <w:r w:rsidR="00EA5F47" w:rsidRPr="00B10673">
        <w:rPr>
          <w:rFonts w:cstheme="minorHAnsi"/>
          <w:b/>
          <w:noProof/>
        </w:rPr>
        <w:t>a</w:t>
      </w:r>
      <w:r w:rsidRPr="00B10673">
        <w:rPr>
          <w:rFonts w:cstheme="minorHAnsi"/>
          <w:b/>
          <w:noProof/>
        </w:rPr>
        <w:t xml:space="preserve">2. </w:t>
      </w:r>
      <w:r w:rsidRPr="00B10673">
        <w:rPr>
          <w:rFonts w:cstheme="minorHAnsi"/>
          <w:b/>
          <w:bCs/>
        </w:rPr>
        <w:t>RELIABILITY TESTING</w:t>
      </w:r>
      <w:r w:rsidR="008A403A" w:rsidRPr="00B10673">
        <w:rPr>
          <w:rFonts w:cstheme="minorHAnsi"/>
          <w:b/>
          <w:bCs/>
        </w:rPr>
        <w:t xml:space="preserve"> </w:t>
      </w:r>
    </w:p>
    <w:p w14:paraId="73DE1771" w14:textId="77777777" w:rsidR="00E310B9" w:rsidRPr="00B10673" w:rsidRDefault="00E310B9" w:rsidP="00DB3627">
      <w:pPr>
        <w:autoSpaceDE w:val="0"/>
        <w:autoSpaceDN w:val="0"/>
        <w:adjustRightInd w:val="0"/>
        <w:spacing w:after="0" w:line="240" w:lineRule="auto"/>
        <w:rPr>
          <w:rFonts w:cstheme="minorHAnsi"/>
          <w:b/>
          <w:bCs/>
        </w:rPr>
      </w:pPr>
      <w:r w:rsidRPr="00B10673">
        <w:rPr>
          <w:rFonts w:cstheme="minorHAnsi"/>
          <w:b/>
          <w:bCs/>
          <w:i/>
          <w:u w:val="single"/>
        </w:rPr>
        <w:t>Note</w:t>
      </w:r>
      <w:r w:rsidRPr="00B10673">
        <w:rPr>
          <w:rFonts w:cstheme="minorHAnsi"/>
          <w:bCs/>
          <w:i/>
        </w:rPr>
        <w:t>: If accuracy/correctness (validity) of data elements was empirically tested</w:t>
      </w:r>
      <w:r w:rsidRPr="00B10673">
        <w:rPr>
          <w:rFonts w:cstheme="minorHAnsi"/>
          <w:bCs/>
        </w:rPr>
        <w:t xml:space="preserve">, </w:t>
      </w:r>
      <w:r w:rsidRPr="00B10673">
        <w:rPr>
          <w:rFonts w:cstheme="minorHAnsi"/>
          <w:bCs/>
          <w:i/>
        </w:rPr>
        <w:t xml:space="preserve">separate reliability testing of data elements is not required – </w:t>
      </w:r>
      <w:r w:rsidR="00127C06" w:rsidRPr="00B10673">
        <w:rPr>
          <w:rFonts w:cstheme="minorHAnsi"/>
          <w:bCs/>
          <w:i/>
        </w:rPr>
        <w:t xml:space="preserve">in 2a2.1 </w:t>
      </w:r>
      <w:r w:rsidR="00C867F0" w:rsidRPr="00B10673">
        <w:rPr>
          <w:rFonts w:cstheme="minorHAnsi"/>
          <w:bCs/>
          <w:i/>
        </w:rPr>
        <w:t>check critical data elements;</w:t>
      </w:r>
      <w:r w:rsidR="00127C06" w:rsidRPr="00B10673">
        <w:rPr>
          <w:rFonts w:cstheme="minorHAnsi"/>
          <w:bCs/>
          <w:i/>
        </w:rPr>
        <w:t xml:space="preserve"> in 2a2.2 enter “see s</w:t>
      </w:r>
      <w:r w:rsidR="002F2687" w:rsidRPr="00B10673">
        <w:rPr>
          <w:rFonts w:cstheme="minorHAnsi"/>
          <w:bCs/>
          <w:i/>
        </w:rPr>
        <w:t>e</w:t>
      </w:r>
      <w:r w:rsidR="00127C06" w:rsidRPr="00B10673">
        <w:rPr>
          <w:rFonts w:cstheme="minorHAnsi"/>
          <w:bCs/>
          <w:i/>
        </w:rPr>
        <w:t xml:space="preserve">ction 2b2 for </w:t>
      </w:r>
      <w:r w:rsidRPr="00B10673">
        <w:rPr>
          <w:rFonts w:cstheme="minorHAnsi"/>
          <w:bCs/>
          <w:i/>
        </w:rPr>
        <w:t xml:space="preserve">validity </w:t>
      </w:r>
      <w:r w:rsidR="00127C06" w:rsidRPr="00B10673">
        <w:rPr>
          <w:rFonts w:cstheme="minorHAnsi"/>
          <w:bCs/>
          <w:i/>
        </w:rPr>
        <w:t xml:space="preserve">testing </w:t>
      </w:r>
      <w:r w:rsidR="002F2687" w:rsidRPr="00B10673">
        <w:rPr>
          <w:rFonts w:cstheme="minorHAnsi"/>
          <w:bCs/>
          <w:i/>
        </w:rPr>
        <w:t>of data elements”</w:t>
      </w:r>
      <w:r w:rsidR="00C867F0" w:rsidRPr="00B10673">
        <w:rPr>
          <w:rFonts w:cstheme="minorHAnsi"/>
          <w:bCs/>
          <w:i/>
        </w:rPr>
        <w:t>;</w:t>
      </w:r>
      <w:r w:rsidR="002F2687" w:rsidRPr="00B10673">
        <w:rPr>
          <w:rFonts w:cstheme="minorHAnsi"/>
          <w:bCs/>
          <w:i/>
        </w:rPr>
        <w:t xml:space="preserve"> and skip 2a2.3 and 2a2.4.</w:t>
      </w:r>
    </w:p>
    <w:p w14:paraId="2A362DB5" w14:textId="77777777" w:rsidR="008C54A9" w:rsidRPr="00B10673" w:rsidRDefault="008C54A9" w:rsidP="00DB3627">
      <w:pPr>
        <w:autoSpaceDE w:val="0"/>
        <w:autoSpaceDN w:val="0"/>
        <w:adjustRightInd w:val="0"/>
        <w:spacing w:after="0" w:line="240" w:lineRule="auto"/>
        <w:rPr>
          <w:rFonts w:cstheme="minorHAnsi"/>
          <w:b/>
          <w:bCs/>
        </w:rPr>
      </w:pPr>
    </w:p>
    <w:p w14:paraId="7B8442B4" w14:textId="77777777" w:rsidR="005048D7" w:rsidRDefault="00092566" w:rsidP="008C54A9">
      <w:pPr>
        <w:autoSpaceDE w:val="0"/>
        <w:autoSpaceDN w:val="0"/>
        <w:adjustRightInd w:val="0"/>
        <w:spacing w:after="0" w:line="240" w:lineRule="auto"/>
        <w:rPr>
          <w:rFonts w:cstheme="minorHAnsi"/>
          <w:bCs/>
        </w:rPr>
      </w:pPr>
      <w:r w:rsidRPr="00B10673">
        <w:rPr>
          <w:rFonts w:cstheme="minorHAnsi"/>
          <w:b/>
          <w:bCs/>
        </w:rPr>
        <w:t>2a2.1</w:t>
      </w:r>
      <w:r w:rsidR="008C54A9" w:rsidRPr="00B10673">
        <w:rPr>
          <w:rFonts w:cstheme="minorHAnsi"/>
          <w:b/>
          <w:bCs/>
        </w:rPr>
        <w:t xml:space="preserve">. </w:t>
      </w:r>
      <w:r w:rsidR="000968F8" w:rsidRPr="00B10673">
        <w:rPr>
          <w:rFonts w:cstheme="minorHAnsi"/>
          <w:b/>
          <w:bCs/>
        </w:rPr>
        <w:t>What level of reliability testing was conducted</w:t>
      </w:r>
      <w:r w:rsidR="000574AB" w:rsidRPr="00B10673">
        <w:rPr>
          <w:rFonts w:cstheme="minorHAnsi"/>
          <w:bCs/>
        </w:rPr>
        <w:t>?</w:t>
      </w:r>
      <w:r w:rsidR="00D50704" w:rsidRPr="00B10673">
        <w:rPr>
          <w:rFonts w:cstheme="minorHAnsi"/>
          <w:bCs/>
        </w:rPr>
        <w:t xml:space="preserve"> (</w:t>
      </w:r>
      <w:r w:rsidR="00E310B9" w:rsidRPr="00B10673">
        <w:rPr>
          <w:rFonts w:cstheme="minorHAnsi"/>
          <w:bCs/>
          <w:i/>
        </w:rPr>
        <w:t xml:space="preserve">may </w:t>
      </w:r>
      <w:r w:rsidR="00D50704" w:rsidRPr="00B10673">
        <w:rPr>
          <w:rFonts w:cstheme="minorHAnsi"/>
          <w:bCs/>
          <w:i/>
        </w:rPr>
        <w:t>be one or both levels</w:t>
      </w:r>
      <w:r w:rsidR="00D50704" w:rsidRPr="00B10673">
        <w:rPr>
          <w:rFonts w:cstheme="minorHAnsi"/>
          <w:bCs/>
        </w:rPr>
        <w:t>)</w:t>
      </w:r>
      <w:r w:rsidR="00B8015A" w:rsidRPr="00B10673">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sidRPr="00B10673">
            <w:rPr>
              <w:rFonts w:ascii="MS Gothic" w:eastAsia="MS Gothic" w:hAnsi="MS Gothic" w:cstheme="minorHAnsi" w:hint="eastAsia"/>
              <w:bCs/>
              <w:color w:val="0000FF"/>
            </w:rPr>
            <w:t>☐</w:t>
          </w:r>
        </w:sdtContent>
      </w:sdt>
      <w:r w:rsidR="00A25024" w:rsidRPr="00B10673">
        <w:rPr>
          <w:rFonts w:eastAsia="MS Mincho" w:cstheme="minorHAnsi"/>
          <w:b/>
          <w:bCs/>
          <w:color w:val="0000FF"/>
        </w:rPr>
        <w:t xml:space="preserve"> </w:t>
      </w:r>
      <w:r w:rsidR="001F7A20" w:rsidRPr="00B10673">
        <w:rPr>
          <w:rFonts w:cstheme="minorHAnsi"/>
          <w:b/>
          <w:bCs/>
        </w:rPr>
        <w:t>Critical data elements used in the measure</w:t>
      </w:r>
      <w:r w:rsidR="001F7A20" w:rsidRPr="00B10673">
        <w:rPr>
          <w:rFonts w:cstheme="minorHAnsi"/>
          <w:bCs/>
        </w:rPr>
        <w:t xml:space="preserve"> (</w:t>
      </w:r>
      <w:r w:rsidR="001F7A20" w:rsidRPr="00B10673">
        <w:rPr>
          <w:rFonts w:cstheme="minorHAnsi"/>
          <w:bCs/>
          <w:i/>
        </w:rPr>
        <w:t>e.g., inter-abstractor reliability; data element reliability must address ALL critical data elements</w:t>
      </w:r>
      <w:r w:rsidR="001F7A20" w:rsidRPr="00B10673">
        <w:rPr>
          <w:rFonts w:cstheme="minorHAnsi"/>
          <w:bCs/>
        </w:rPr>
        <w:t>)</w:t>
      </w:r>
      <w:r w:rsidR="001F7A20" w:rsidRPr="00B10673">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5048D7" w:rsidRPr="00B10673">
            <w:rPr>
              <w:rFonts w:ascii="MS Gothic" w:eastAsia="MS Gothic" w:hAnsi="MS Gothic" w:cstheme="minorHAnsi" w:hint="eastAsia"/>
              <w:bCs/>
              <w:color w:val="0000FF"/>
            </w:rPr>
            <w:t>☒</w:t>
          </w:r>
        </w:sdtContent>
      </w:sdt>
      <w:r w:rsidR="001F7A20" w:rsidRPr="00B10673">
        <w:rPr>
          <w:rFonts w:eastAsia="MS Mincho" w:cstheme="minorHAnsi"/>
          <w:b/>
          <w:bCs/>
          <w:color w:val="0000FF"/>
        </w:rPr>
        <w:t xml:space="preserve"> </w:t>
      </w:r>
      <w:r w:rsidR="001F7A20" w:rsidRPr="00B10673">
        <w:rPr>
          <w:rFonts w:cstheme="minorHAnsi"/>
          <w:b/>
          <w:bCs/>
        </w:rPr>
        <w:t>Performance measure score</w:t>
      </w:r>
      <w:r w:rsidR="001F7A20" w:rsidRPr="00B10673">
        <w:rPr>
          <w:rFonts w:cstheme="minorHAnsi"/>
          <w:bCs/>
        </w:rPr>
        <w:t xml:space="preserve"> (e.g., </w:t>
      </w:r>
      <w:r w:rsidR="001F7A20" w:rsidRPr="00B10673">
        <w:rPr>
          <w:rFonts w:cstheme="minorHAnsi"/>
          <w:bCs/>
          <w:i/>
        </w:rPr>
        <w:t>signal-to-noise analysis</w:t>
      </w:r>
      <w:r w:rsidR="001F7A20" w:rsidRPr="00B10673">
        <w:rPr>
          <w:rFonts w:cstheme="minorHAnsi"/>
          <w:bCs/>
        </w:rPr>
        <w:t>)</w:t>
      </w:r>
      <w:r w:rsidR="001F7A20" w:rsidRPr="00591EC0">
        <w:rPr>
          <w:rFonts w:cstheme="minorHAnsi"/>
          <w:bCs/>
          <w:highlight w:val="red"/>
        </w:rPr>
        <w:br/>
      </w:r>
      <w:r w:rsidR="001F7A20" w:rsidRPr="00591EC0">
        <w:rPr>
          <w:rFonts w:cstheme="minorHAnsi"/>
          <w:bCs/>
          <w:highlight w:val="red"/>
          <w:u w:val="single"/>
        </w:rPr>
        <w:br/>
      </w:r>
      <w:r w:rsidR="001F7A20" w:rsidRPr="00B10673">
        <w:rPr>
          <w:rFonts w:cstheme="minorHAnsi"/>
          <w:b/>
          <w:bCs/>
        </w:rPr>
        <w:t xml:space="preserve">2a2.2. </w:t>
      </w:r>
      <w:r w:rsidR="008C54A9" w:rsidRPr="00B10673">
        <w:rPr>
          <w:rFonts w:cstheme="minorHAnsi"/>
          <w:b/>
          <w:bCs/>
        </w:rPr>
        <w:t xml:space="preserve">For each level checked above, describe the method of </w:t>
      </w:r>
      <w:r w:rsidR="000968F8" w:rsidRPr="00B10673">
        <w:rPr>
          <w:rFonts w:cstheme="minorHAnsi"/>
          <w:b/>
          <w:bCs/>
        </w:rPr>
        <w:t xml:space="preserve">reliability </w:t>
      </w:r>
      <w:r w:rsidR="008C54A9" w:rsidRPr="00B10673">
        <w:rPr>
          <w:rFonts w:cstheme="minorHAnsi"/>
          <w:b/>
          <w:bCs/>
        </w:rPr>
        <w:t>testing and what it tests</w:t>
      </w:r>
      <w:r w:rsidR="008C54A9" w:rsidRPr="00B10673">
        <w:rPr>
          <w:rFonts w:cstheme="minorHAnsi"/>
          <w:bCs/>
        </w:rPr>
        <w:t xml:space="preserve"> (</w:t>
      </w:r>
      <w:r w:rsidR="008C54A9" w:rsidRPr="00B10673">
        <w:rPr>
          <w:rFonts w:cstheme="minorHAnsi"/>
          <w:bCs/>
          <w:i/>
        </w:rPr>
        <w:t xml:space="preserve">describe the steps―do not just name a method; what </w:t>
      </w:r>
      <w:r w:rsidR="002408E4" w:rsidRPr="00B10673">
        <w:rPr>
          <w:rFonts w:cstheme="minorHAnsi"/>
          <w:bCs/>
          <w:i/>
        </w:rPr>
        <w:t>type of erro</w:t>
      </w:r>
      <w:r w:rsidR="007D7019" w:rsidRPr="00B10673">
        <w:rPr>
          <w:rFonts w:cstheme="minorHAnsi"/>
          <w:bCs/>
          <w:i/>
        </w:rPr>
        <w:t>r</w:t>
      </w:r>
      <w:r w:rsidR="002408E4" w:rsidRPr="00B10673">
        <w:rPr>
          <w:rFonts w:cstheme="minorHAnsi"/>
          <w:bCs/>
          <w:i/>
        </w:rPr>
        <w:t xml:space="preserve"> </w:t>
      </w:r>
      <w:r w:rsidR="008C54A9" w:rsidRPr="00B10673">
        <w:rPr>
          <w:rFonts w:cstheme="minorHAnsi"/>
          <w:bCs/>
          <w:i/>
        </w:rPr>
        <w:t>does it test</w:t>
      </w:r>
      <w:r w:rsidR="0022691B" w:rsidRPr="00B10673">
        <w:rPr>
          <w:rFonts w:cstheme="minorHAnsi"/>
          <w:bCs/>
          <w:i/>
        </w:rPr>
        <w:t>; what statistical analysis was used</w:t>
      </w:r>
      <w:r w:rsidR="007757CE" w:rsidRPr="00B10673">
        <w:rPr>
          <w:rFonts w:cstheme="minorHAnsi"/>
          <w:bCs/>
        </w:rPr>
        <w:t>)</w:t>
      </w:r>
    </w:p>
    <w:p w14:paraId="1BFFFE4F" w14:textId="77777777" w:rsidR="00B10673" w:rsidRDefault="00B10673" w:rsidP="00D86E7B">
      <w:pPr>
        <w:autoSpaceDE w:val="0"/>
        <w:autoSpaceDN w:val="0"/>
        <w:adjustRightInd w:val="0"/>
        <w:spacing w:after="0" w:line="240" w:lineRule="auto"/>
        <w:rPr>
          <w:rFonts w:cstheme="minorHAnsi"/>
          <w:bCs/>
        </w:rPr>
      </w:pPr>
    </w:p>
    <w:p w14:paraId="46CBED8C" w14:textId="77777777" w:rsidR="00D86E7B" w:rsidRPr="00371702" w:rsidRDefault="00D86E7B" w:rsidP="00D86E7B">
      <w:pPr>
        <w:autoSpaceDE w:val="0"/>
        <w:autoSpaceDN w:val="0"/>
        <w:adjustRightInd w:val="0"/>
        <w:spacing w:after="0" w:line="240" w:lineRule="auto"/>
        <w:rPr>
          <w:rFonts w:cstheme="minorHAnsi"/>
          <w:bCs/>
          <w:color w:val="0000E1"/>
        </w:rPr>
      </w:pPr>
      <w:r w:rsidRPr="00371702">
        <w:rPr>
          <w:rFonts w:cstheme="minorHAnsi"/>
          <w:bCs/>
          <w:color w:val="0000E1"/>
        </w:rPr>
        <w:t xml:space="preserve">Reliability testing was conducted for the unadjusted measure scores for </w:t>
      </w:r>
      <w:r>
        <w:rPr>
          <w:rFonts w:cstheme="minorHAnsi"/>
          <w:bCs/>
          <w:color w:val="0000E1"/>
        </w:rPr>
        <w:t xml:space="preserve">Medicare and Medicaid, </w:t>
      </w:r>
      <w:r w:rsidRPr="00371702">
        <w:rPr>
          <w:rFonts w:cstheme="minorHAnsi"/>
          <w:bCs/>
          <w:color w:val="0000E1"/>
        </w:rPr>
        <w:t>and the risk-adjusted measure scores for Medicare</w:t>
      </w:r>
      <w:r>
        <w:rPr>
          <w:rFonts w:cstheme="minorHAnsi"/>
          <w:bCs/>
          <w:color w:val="0000E1"/>
        </w:rPr>
        <w:t xml:space="preserve">. </w:t>
      </w:r>
    </w:p>
    <w:p w14:paraId="1864ED54" w14:textId="77777777" w:rsidR="00D86E7B" w:rsidRDefault="00D86E7B" w:rsidP="00D86E7B">
      <w:pPr>
        <w:autoSpaceDE w:val="0"/>
        <w:autoSpaceDN w:val="0"/>
        <w:adjustRightInd w:val="0"/>
        <w:spacing w:after="0" w:line="240" w:lineRule="auto"/>
        <w:rPr>
          <w:rFonts w:cstheme="minorHAnsi"/>
          <w:bCs/>
          <w:color w:val="0000E1"/>
        </w:rPr>
      </w:pPr>
    </w:p>
    <w:p w14:paraId="72F15E58" w14:textId="77777777" w:rsidR="00275BA5" w:rsidRDefault="00AF3AB4" w:rsidP="00D86E7B">
      <w:pPr>
        <w:autoSpaceDE w:val="0"/>
        <w:autoSpaceDN w:val="0"/>
        <w:adjustRightInd w:val="0"/>
        <w:spacing w:after="0" w:line="240" w:lineRule="auto"/>
        <w:rPr>
          <w:rFonts w:cstheme="minorHAnsi"/>
          <w:bCs/>
          <w:color w:val="0000E1"/>
        </w:rPr>
      </w:pPr>
      <w:r w:rsidRPr="00371702">
        <w:rPr>
          <w:rFonts w:cstheme="minorHAnsi"/>
          <w:bCs/>
          <w:color w:val="0000E1"/>
        </w:rPr>
        <w:t>The reliability of a measurement refers to the degree to which repeated measurements of the same entity agree with each othe</w:t>
      </w:r>
      <w:r w:rsidR="00651072">
        <w:rPr>
          <w:rFonts w:cstheme="minorHAnsi"/>
          <w:bCs/>
          <w:color w:val="0000E1"/>
        </w:rPr>
        <w:t>r. For the health plan/contract-</w:t>
      </w:r>
      <w:r w:rsidRPr="00371702">
        <w:rPr>
          <w:rFonts w:cstheme="minorHAnsi"/>
          <w:bCs/>
          <w:color w:val="0000E1"/>
        </w:rPr>
        <w:t xml:space="preserve">level performance measures, reliability characterizes </w:t>
      </w:r>
      <w:r w:rsidR="0086188E" w:rsidRPr="00371702">
        <w:rPr>
          <w:rFonts w:cstheme="minorHAnsi"/>
          <w:bCs/>
          <w:color w:val="0000E1"/>
        </w:rPr>
        <w:t>the extent to which</w:t>
      </w:r>
      <w:r w:rsidRPr="00371702">
        <w:rPr>
          <w:rFonts w:cstheme="minorHAnsi"/>
          <w:bCs/>
          <w:color w:val="0000E1"/>
        </w:rPr>
        <w:t xml:space="preserve"> repeated measurements of the same plans/contracts produce similar results. </w:t>
      </w:r>
    </w:p>
    <w:p w14:paraId="30BD43F7" w14:textId="77777777" w:rsidR="00227F76" w:rsidRPr="00371702" w:rsidRDefault="00227F76" w:rsidP="00D86E7B">
      <w:pPr>
        <w:autoSpaceDE w:val="0"/>
        <w:autoSpaceDN w:val="0"/>
        <w:adjustRightInd w:val="0"/>
        <w:spacing w:after="0" w:line="240" w:lineRule="auto"/>
        <w:rPr>
          <w:rFonts w:cstheme="minorHAnsi"/>
          <w:bCs/>
          <w:color w:val="0000E1"/>
          <w:highlight w:val="cyan"/>
        </w:rPr>
      </w:pPr>
    </w:p>
    <w:p w14:paraId="67E52715" w14:textId="77777777" w:rsidR="00227F76" w:rsidRPr="00371702" w:rsidRDefault="00227F76" w:rsidP="00D86E7B">
      <w:pPr>
        <w:autoSpaceDE w:val="0"/>
        <w:autoSpaceDN w:val="0"/>
        <w:adjustRightInd w:val="0"/>
        <w:spacing w:after="0" w:line="240" w:lineRule="auto"/>
        <w:rPr>
          <w:rFonts w:cstheme="minorHAnsi"/>
          <w:bCs/>
          <w:color w:val="0000E1"/>
        </w:rPr>
      </w:pPr>
      <w:r w:rsidRPr="00371702">
        <w:rPr>
          <w:rFonts w:cstheme="minorHAnsi"/>
          <w:bCs/>
          <w:color w:val="0000E1"/>
        </w:rPr>
        <w:t xml:space="preserve">For the </w:t>
      </w:r>
      <w:r w:rsidR="00820ADD">
        <w:rPr>
          <w:rFonts w:cstheme="minorHAnsi"/>
          <w:bCs/>
          <w:color w:val="0000E1"/>
        </w:rPr>
        <w:t xml:space="preserve">Medicare and </w:t>
      </w:r>
      <w:r w:rsidR="00BC2A44" w:rsidRPr="00371702">
        <w:rPr>
          <w:rFonts w:cstheme="minorHAnsi"/>
          <w:bCs/>
          <w:color w:val="0000E1"/>
        </w:rPr>
        <w:t xml:space="preserve">Medicaid </w:t>
      </w:r>
      <w:r w:rsidRPr="00371702">
        <w:rPr>
          <w:rFonts w:cstheme="minorHAnsi"/>
          <w:bCs/>
          <w:color w:val="0000E1"/>
        </w:rPr>
        <w:t>unadjusted measure rates, the reliability of the computed measure scores was measured as the ratio of signal-to-noise. The signal is the proportion of the variability in measured performance that can be explained by true differences in plan (or contract) performance. Reliability scores range from 0 to 1, with a score of 0 signifying that all variatio</w:t>
      </w:r>
      <w:r w:rsidR="00884753">
        <w:rPr>
          <w:rFonts w:cstheme="minorHAnsi"/>
          <w:bCs/>
          <w:color w:val="0000E1"/>
        </w:rPr>
        <w:t xml:space="preserve">n is due to measurement error. </w:t>
      </w:r>
      <w:r w:rsidRPr="00371702">
        <w:rPr>
          <w:rFonts w:cstheme="minorHAnsi"/>
          <w:bCs/>
          <w:color w:val="0000E1"/>
        </w:rPr>
        <w:t>A value of 1 signifies that the variation represents true differences in per</w:t>
      </w:r>
      <w:r w:rsidR="00884753">
        <w:rPr>
          <w:rFonts w:cstheme="minorHAnsi"/>
          <w:bCs/>
          <w:color w:val="0000E1"/>
        </w:rPr>
        <w:t xml:space="preserve">formance scores between plans. </w:t>
      </w:r>
      <w:r w:rsidRPr="00371702">
        <w:rPr>
          <w:rFonts w:cstheme="minorHAnsi"/>
          <w:bCs/>
          <w:color w:val="0000E1"/>
        </w:rPr>
        <w:t xml:space="preserve">A reliability score of 0.7 is the minimum threshold for reliability. </w:t>
      </w:r>
    </w:p>
    <w:p w14:paraId="5D192DFD" w14:textId="77777777" w:rsidR="00227F76" w:rsidRPr="00371702" w:rsidRDefault="00227F76" w:rsidP="00D86E7B">
      <w:pPr>
        <w:pStyle w:val="Default"/>
        <w:rPr>
          <w:rFonts w:asciiTheme="minorHAnsi" w:hAnsiTheme="minorHAnsi" w:cs="Times New Roman"/>
          <w:color w:val="0000E1"/>
          <w:sz w:val="22"/>
          <w:szCs w:val="22"/>
        </w:rPr>
      </w:pPr>
    </w:p>
    <w:p w14:paraId="2A062930" w14:textId="77777777" w:rsidR="00227F76" w:rsidRPr="00371702" w:rsidRDefault="00227F76" w:rsidP="00D86E7B">
      <w:pPr>
        <w:autoSpaceDE w:val="0"/>
        <w:autoSpaceDN w:val="0"/>
        <w:adjustRightInd w:val="0"/>
        <w:spacing w:after="0" w:line="240" w:lineRule="auto"/>
        <w:rPr>
          <w:color w:val="0000E1"/>
        </w:rPr>
      </w:pPr>
      <w:r w:rsidRPr="00371702">
        <w:rPr>
          <w:color w:val="0000E1"/>
        </w:rPr>
        <w:lastRenderedPageBreak/>
        <w:t>A beta-binomial model was used to calculate plan-specific reliability scores</w:t>
      </w:r>
      <w:r w:rsidR="00E672E6" w:rsidRPr="00371702">
        <w:rPr>
          <w:color w:val="0000E1"/>
        </w:rPr>
        <w:t xml:space="preserve"> based on the method outlined by Adams</w:t>
      </w:r>
      <w:r w:rsidRPr="00371702">
        <w:rPr>
          <w:color w:val="0000E1"/>
        </w:rPr>
        <w:t>.</w:t>
      </w:r>
      <w:r w:rsidR="00930280" w:rsidRPr="00371702">
        <w:rPr>
          <w:color w:val="0000E1"/>
          <w:vertAlign w:val="superscript"/>
        </w:rPr>
        <w:t>1</w:t>
      </w:r>
      <w:r w:rsidR="00930280" w:rsidRPr="00371702">
        <w:rPr>
          <w:color w:val="0000E1"/>
        </w:rPr>
        <w:t xml:space="preserve"> The</w:t>
      </w:r>
      <w:r w:rsidRPr="00371702">
        <w:rPr>
          <w:color w:val="0000E1"/>
        </w:rPr>
        <w:t xml:space="preserve"> reliability score is defined as the ratio of the plan-to-plan variance to the sum of the plan-to-plan variance and the plan-specific error. The plan-to-plan variance is an estimate of the variance of the true rates. The plan-specific error variance is the sampling or measurement error.</w:t>
      </w:r>
    </w:p>
    <w:p w14:paraId="4966EDF4" w14:textId="77777777" w:rsidR="00227F76" w:rsidRDefault="00227F76" w:rsidP="00D86E7B">
      <w:pPr>
        <w:spacing w:line="240" w:lineRule="auto"/>
        <w:jc w:val="both"/>
      </w:pPr>
      <m:oMathPara>
        <m:oMath>
          <m:r>
            <w:rPr>
              <w:rFonts w:ascii="Cambria Math" w:hAnsi="Cambria Math"/>
              <w:color w:val="0000E1"/>
            </w:rPr>
            <m:t xml:space="preserve">reliability= </m:t>
          </m:r>
          <m:f>
            <m:fPr>
              <m:ctrlPr>
                <w:rPr>
                  <w:rFonts w:ascii="Cambria Math" w:hAnsi="Cambria Math"/>
                  <w:i/>
                  <w:color w:val="0000E1"/>
                </w:rPr>
              </m:ctrlPr>
            </m:fPr>
            <m:num>
              <m:sSubSup>
                <m:sSubSupPr>
                  <m:ctrlPr>
                    <w:rPr>
                      <w:rFonts w:ascii="Cambria Math" w:hAnsi="Cambria Math"/>
                      <w:i/>
                      <w:color w:val="0000E1"/>
                    </w:rPr>
                  </m:ctrlPr>
                </m:sSubSupPr>
                <m:e>
                  <m:r>
                    <w:rPr>
                      <w:rFonts w:ascii="Cambria Math" w:hAnsi="Cambria Math"/>
                      <w:color w:val="0000E1"/>
                    </w:rPr>
                    <m:t>σ</m:t>
                  </m:r>
                </m:e>
                <m:sub>
                  <m:r>
                    <w:rPr>
                      <w:rFonts w:ascii="Cambria Math" w:hAnsi="Cambria Math"/>
                      <w:color w:val="0000E1"/>
                    </w:rPr>
                    <m:t>plan-to-plan</m:t>
                  </m:r>
                </m:sub>
                <m:sup>
                  <m:r>
                    <w:rPr>
                      <w:rFonts w:ascii="Cambria Math" w:hAnsi="Cambria Math"/>
                      <w:color w:val="0000E1"/>
                    </w:rPr>
                    <m:t>2</m:t>
                  </m:r>
                </m:sup>
              </m:sSubSup>
            </m:num>
            <m:den>
              <m:sSubSup>
                <m:sSubSupPr>
                  <m:ctrlPr>
                    <w:rPr>
                      <w:rFonts w:ascii="Cambria Math" w:hAnsi="Cambria Math"/>
                      <w:i/>
                      <w:color w:val="0000E1"/>
                    </w:rPr>
                  </m:ctrlPr>
                </m:sSubSupPr>
                <m:e>
                  <m:r>
                    <w:rPr>
                      <w:rFonts w:ascii="Cambria Math" w:hAnsi="Cambria Math"/>
                      <w:color w:val="0000E1"/>
                    </w:rPr>
                    <m:t>σ</m:t>
                  </m:r>
                </m:e>
                <m:sub>
                  <m:r>
                    <w:rPr>
                      <w:rFonts w:ascii="Cambria Math" w:hAnsi="Cambria Math"/>
                      <w:color w:val="0000E1"/>
                    </w:rPr>
                    <m:t>plan-to-plan</m:t>
                  </m:r>
                </m:sub>
                <m:sup>
                  <m:r>
                    <w:rPr>
                      <w:rFonts w:ascii="Cambria Math" w:hAnsi="Cambria Math"/>
                      <w:color w:val="0000E1"/>
                    </w:rPr>
                    <m:t>2</m:t>
                  </m:r>
                </m:sup>
              </m:sSubSup>
              <m:r>
                <w:rPr>
                  <w:rFonts w:ascii="Cambria Math" w:hAnsi="Cambria Math"/>
                  <w:color w:val="0000E1"/>
                </w:rPr>
                <m:t>+</m:t>
              </m:r>
              <m:sSubSup>
                <m:sSubSupPr>
                  <m:ctrlPr>
                    <w:rPr>
                      <w:rFonts w:ascii="Cambria Math" w:hAnsi="Cambria Math"/>
                      <w:i/>
                      <w:color w:val="0000E1"/>
                    </w:rPr>
                  </m:ctrlPr>
                </m:sSubSupPr>
                <m:e>
                  <m:r>
                    <w:rPr>
                      <w:rFonts w:ascii="Cambria Math" w:hAnsi="Cambria Math"/>
                      <w:color w:val="0000E1"/>
                    </w:rPr>
                    <m:t>σ</m:t>
                  </m:r>
                </m:e>
                <m:sub>
                  <m:r>
                    <w:rPr>
                      <w:rFonts w:ascii="Cambria Math" w:hAnsi="Cambria Math"/>
                      <w:color w:val="0000E1"/>
                    </w:rPr>
                    <m:t>plan-specific-error</m:t>
                  </m:r>
                </m:sub>
                <m:sup>
                  <m:r>
                    <w:rPr>
                      <w:rFonts w:ascii="Cambria Math" w:hAnsi="Cambria Math"/>
                      <w:color w:val="0000E1"/>
                    </w:rPr>
                    <m:t>2</m:t>
                  </m:r>
                </m:sup>
              </m:sSubSup>
            </m:den>
          </m:f>
        </m:oMath>
      </m:oMathPara>
    </w:p>
    <w:p w14:paraId="0CC3897A" w14:textId="77777777" w:rsidR="00CD65C2" w:rsidRDefault="005155BE" w:rsidP="00D86E7B">
      <w:pPr>
        <w:autoSpaceDE w:val="0"/>
        <w:autoSpaceDN w:val="0"/>
        <w:adjustRightInd w:val="0"/>
        <w:spacing w:after="0" w:line="240" w:lineRule="auto"/>
        <w:rPr>
          <w:rFonts w:cstheme="minorHAnsi"/>
          <w:bCs/>
        </w:rPr>
      </w:pPr>
      <w:r w:rsidRPr="0009679C">
        <w:rPr>
          <w:rFonts w:cstheme="minorHAnsi"/>
          <w:bCs/>
          <w:color w:val="0000E1"/>
        </w:rPr>
        <w:t>R</w:t>
      </w:r>
      <w:r w:rsidR="00AA60EA" w:rsidRPr="0009679C">
        <w:rPr>
          <w:rFonts w:cstheme="minorHAnsi"/>
          <w:bCs/>
          <w:color w:val="0000E1"/>
        </w:rPr>
        <w:t xml:space="preserve">isk adjustment was </w:t>
      </w:r>
      <w:r w:rsidR="00015EAC" w:rsidRPr="0009679C">
        <w:rPr>
          <w:rFonts w:cstheme="minorHAnsi"/>
          <w:bCs/>
          <w:color w:val="0000E1"/>
        </w:rPr>
        <w:t>applied at the measure score level. As such,</w:t>
      </w:r>
      <w:r w:rsidR="00AA60EA" w:rsidRPr="0009679C">
        <w:rPr>
          <w:rFonts w:cstheme="minorHAnsi"/>
          <w:bCs/>
          <w:color w:val="0000E1"/>
        </w:rPr>
        <w:t xml:space="preserve"> the Adams beta binomial methodology </w:t>
      </w:r>
      <w:r w:rsidR="00FC376E" w:rsidRPr="0009679C">
        <w:rPr>
          <w:rFonts w:cstheme="minorHAnsi"/>
          <w:bCs/>
          <w:color w:val="0000E1"/>
        </w:rPr>
        <w:t xml:space="preserve">described above </w:t>
      </w:r>
      <w:r w:rsidR="00AA60EA" w:rsidRPr="0009679C">
        <w:rPr>
          <w:rFonts w:cstheme="minorHAnsi"/>
          <w:bCs/>
          <w:color w:val="0000E1"/>
        </w:rPr>
        <w:t>could not be used to assess rel</w:t>
      </w:r>
      <w:r w:rsidR="00A703A0" w:rsidRPr="0009679C">
        <w:rPr>
          <w:rFonts w:cstheme="minorHAnsi"/>
          <w:bCs/>
          <w:color w:val="0000E1"/>
        </w:rPr>
        <w:t>iability of the risk-</w:t>
      </w:r>
      <w:r w:rsidR="00AA60EA" w:rsidRPr="0009679C">
        <w:rPr>
          <w:rFonts w:cstheme="minorHAnsi"/>
          <w:bCs/>
          <w:color w:val="0000E1"/>
        </w:rPr>
        <w:t xml:space="preserve">adjusted measure scores. </w:t>
      </w:r>
      <w:r w:rsidR="002F3871" w:rsidRPr="0009679C">
        <w:rPr>
          <w:rFonts w:cstheme="minorHAnsi"/>
          <w:bCs/>
          <w:color w:val="0000E1"/>
        </w:rPr>
        <w:t>To assess r</w:t>
      </w:r>
      <w:r w:rsidR="00AF3AB4" w:rsidRPr="0009679C">
        <w:rPr>
          <w:rFonts w:cstheme="minorHAnsi"/>
          <w:bCs/>
          <w:color w:val="0000E1"/>
        </w:rPr>
        <w:t>eliability of the risk-adjusted measure scores</w:t>
      </w:r>
      <w:r w:rsidR="00852091" w:rsidRPr="0009679C">
        <w:rPr>
          <w:rFonts w:cstheme="minorHAnsi"/>
          <w:bCs/>
          <w:color w:val="0000E1"/>
        </w:rPr>
        <w:t xml:space="preserve"> for Medicare</w:t>
      </w:r>
      <w:r w:rsidR="002F3871" w:rsidRPr="0009679C">
        <w:rPr>
          <w:rFonts w:cstheme="minorHAnsi"/>
          <w:bCs/>
          <w:color w:val="0000E1"/>
        </w:rPr>
        <w:t xml:space="preserve">, we employed a </w:t>
      </w:r>
      <w:r w:rsidR="00317FAF" w:rsidRPr="0009679C">
        <w:rPr>
          <w:rFonts w:cstheme="minorHAnsi"/>
          <w:bCs/>
          <w:color w:val="0000E1"/>
        </w:rPr>
        <w:t xml:space="preserve">split-half </w:t>
      </w:r>
      <w:r w:rsidR="00762276" w:rsidRPr="0009679C">
        <w:rPr>
          <w:rFonts w:cstheme="minorHAnsi"/>
          <w:bCs/>
          <w:color w:val="0000E1"/>
        </w:rPr>
        <w:t>approach where plan-contract performance was measure</w:t>
      </w:r>
      <w:r w:rsidR="00444025" w:rsidRPr="0009679C">
        <w:rPr>
          <w:rFonts w:cstheme="minorHAnsi"/>
          <w:bCs/>
          <w:color w:val="0000E1"/>
        </w:rPr>
        <w:t>d</w:t>
      </w:r>
      <w:r w:rsidR="00762276" w:rsidRPr="0009679C">
        <w:rPr>
          <w:rFonts w:cstheme="minorHAnsi"/>
          <w:bCs/>
          <w:color w:val="0000E1"/>
        </w:rPr>
        <w:t xml:space="preserve"> using a random sample of beneficiaries, and then measured again using a second random sample. The two groups are independent samples, with each sample including half of the populati</w:t>
      </w:r>
      <w:r w:rsidR="00884753">
        <w:rPr>
          <w:rFonts w:cstheme="minorHAnsi"/>
          <w:bCs/>
          <w:color w:val="0000E1"/>
        </w:rPr>
        <w:t xml:space="preserve">on within each plan-contract. </w:t>
      </w:r>
      <w:r w:rsidR="00762276" w:rsidRPr="0009679C">
        <w:rPr>
          <w:rFonts w:cstheme="minorHAnsi"/>
          <w:bCs/>
          <w:color w:val="0000E1"/>
        </w:rPr>
        <w:t xml:space="preserve">This means that each plan-contract is measured twice, but each measurement is made using </w:t>
      </w:r>
      <w:r w:rsidR="00884753">
        <w:rPr>
          <w:rFonts w:cstheme="minorHAnsi"/>
          <w:bCs/>
          <w:color w:val="0000E1"/>
        </w:rPr>
        <w:t xml:space="preserve">an </w:t>
      </w:r>
      <w:r w:rsidR="00762276" w:rsidRPr="0009679C">
        <w:rPr>
          <w:rFonts w:cstheme="minorHAnsi"/>
          <w:bCs/>
          <w:color w:val="0000E1"/>
        </w:rPr>
        <w:t xml:space="preserve">entirely distinct set of </w:t>
      </w:r>
      <w:r w:rsidR="00444025" w:rsidRPr="0009679C">
        <w:rPr>
          <w:rFonts w:cstheme="minorHAnsi"/>
          <w:bCs/>
          <w:color w:val="0000E1"/>
        </w:rPr>
        <w:t>beneficiaries</w:t>
      </w:r>
      <w:r w:rsidR="00E57C81">
        <w:rPr>
          <w:rFonts w:cstheme="minorHAnsi"/>
          <w:bCs/>
          <w:color w:val="0000E1"/>
        </w:rPr>
        <w:t xml:space="preserve">. </w:t>
      </w:r>
      <w:r w:rsidR="00762276" w:rsidRPr="0009679C">
        <w:rPr>
          <w:rFonts w:cstheme="minorHAnsi"/>
          <w:bCs/>
          <w:color w:val="0000E1"/>
        </w:rPr>
        <w:t xml:space="preserve">As a metric of agreement, we calculated the intra-class correlation coefficient </w:t>
      </w:r>
      <w:r w:rsidR="00476197" w:rsidRPr="0009679C">
        <w:rPr>
          <w:rFonts w:cstheme="minorHAnsi"/>
          <w:bCs/>
          <w:color w:val="0000E1"/>
        </w:rPr>
        <w:t>(ICC)</w:t>
      </w:r>
      <w:r w:rsidR="00476197" w:rsidRPr="0009679C">
        <w:rPr>
          <w:rFonts w:cstheme="minorHAnsi"/>
          <w:bCs/>
          <w:color w:val="0000E1"/>
          <w:vertAlign w:val="superscript"/>
        </w:rPr>
        <w:t>2</w:t>
      </w:r>
      <w:r w:rsidR="00762276" w:rsidRPr="0009679C">
        <w:rPr>
          <w:rFonts w:cstheme="minorHAnsi"/>
          <w:bCs/>
          <w:color w:val="0000E1"/>
        </w:rPr>
        <w:t xml:space="preserve"> and assessed the values according to conventional standards.</w:t>
      </w:r>
      <w:r w:rsidR="00476197" w:rsidRPr="0009679C">
        <w:rPr>
          <w:rFonts w:cstheme="minorHAnsi"/>
          <w:bCs/>
          <w:color w:val="0000E1"/>
          <w:vertAlign w:val="superscript"/>
        </w:rPr>
        <w:t>3</w:t>
      </w:r>
      <w:r w:rsidR="00762276" w:rsidRPr="0009679C">
        <w:rPr>
          <w:rFonts w:cstheme="minorHAnsi"/>
          <w:bCs/>
          <w:color w:val="0000E1"/>
        </w:rPr>
        <w:t xml:space="preserve">  </w:t>
      </w:r>
    </w:p>
    <w:p w14:paraId="447DCD02" w14:textId="77777777" w:rsidR="00CD65C2" w:rsidRPr="00B41FF1" w:rsidRDefault="00CD65C2" w:rsidP="00D86E7B">
      <w:pPr>
        <w:autoSpaceDE w:val="0"/>
        <w:autoSpaceDN w:val="0"/>
        <w:adjustRightInd w:val="0"/>
        <w:spacing w:after="0" w:line="240" w:lineRule="auto"/>
        <w:rPr>
          <w:rFonts w:cstheme="minorHAnsi"/>
          <w:bCs/>
        </w:rPr>
      </w:pPr>
    </w:p>
    <w:p w14:paraId="292EAEB4" w14:textId="77777777" w:rsidR="00A703A0" w:rsidRPr="0009679C" w:rsidRDefault="00A703A0" w:rsidP="00D86E7B">
      <w:pPr>
        <w:autoSpaceDE w:val="0"/>
        <w:autoSpaceDN w:val="0"/>
        <w:adjustRightInd w:val="0"/>
        <w:spacing w:after="0" w:line="240" w:lineRule="auto"/>
        <w:rPr>
          <w:rFonts w:cstheme="minorHAnsi"/>
          <w:b/>
          <w:noProof/>
          <w:color w:val="0000E1"/>
        </w:rPr>
      </w:pPr>
      <w:r w:rsidRPr="0009679C">
        <w:rPr>
          <w:rFonts w:cstheme="minorHAnsi"/>
          <w:b/>
          <w:noProof/>
          <w:color w:val="0000E1"/>
        </w:rPr>
        <w:t>References:</w:t>
      </w:r>
    </w:p>
    <w:p w14:paraId="7EF0F538" w14:textId="77777777" w:rsidR="00930280" w:rsidRPr="007D0DFD" w:rsidRDefault="00930280" w:rsidP="00D86E7B">
      <w:pPr>
        <w:pStyle w:val="ListParagraph"/>
        <w:numPr>
          <w:ilvl w:val="0"/>
          <w:numId w:val="9"/>
        </w:numPr>
        <w:autoSpaceDE w:val="0"/>
        <w:autoSpaceDN w:val="0"/>
        <w:adjustRightInd w:val="0"/>
        <w:spacing w:after="0" w:line="240" w:lineRule="auto"/>
        <w:ind w:left="360"/>
        <w:rPr>
          <w:color w:val="0000E1"/>
        </w:rPr>
      </w:pPr>
      <w:r w:rsidRPr="007D0DFD">
        <w:rPr>
          <w:color w:val="0000E1"/>
        </w:rPr>
        <w:t xml:space="preserve">Adams JL. The reliability of provider profiling: a tutorial. Santa Monica, CA: RAND Corporation. 2009. Retrieved from </w:t>
      </w:r>
      <w:hyperlink r:id="rId13" w:history="1">
        <w:r w:rsidRPr="007D0DFD">
          <w:rPr>
            <w:rStyle w:val="Hyperlink"/>
            <w:color w:val="0000E1"/>
          </w:rPr>
          <w:t>http://www.rand.org/pubs/technical_reports/TR653</w:t>
        </w:r>
      </w:hyperlink>
      <w:r w:rsidR="00E57C81">
        <w:rPr>
          <w:color w:val="0000E1"/>
        </w:rPr>
        <w:t xml:space="preserve">. </w:t>
      </w:r>
    </w:p>
    <w:p w14:paraId="7CFC70A2" w14:textId="77777777" w:rsidR="00930280" w:rsidRPr="007D0DFD" w:rsidRDefault="00930280" w:rsidP="00D86E7B">
      <w:pPr>
        <w:pStyle w:val="ListParagraph"/>
        <w:numPr>
          <w:ilvl w:val="0"/>
          <w:numId w:val="9"/>
        </w:numPr>
        <w:autoSpaceDE w:val="0"/>
        <w:autoSpaceDN w:val="0"/>
        <w:adjustRightInd w:val="0"/>
        <w:spacing w:after="0" w:line="240" w:lineRule="auto"/>
        <w:ind w:left="360"/>
        <w:rPr>
          <w:color w:val="0000E1"/>
        </w:rPr>
      </w:pPr>
      <w:proofErr w:type="spellStart"/>
      <w:r w:rsidRPr="007D0DFD">
        <w:rPr>
          <w:color w:val="0000E1"/>
        </w:rPr>
        <w:t>Shrout</w:t>
      </w:r>
      <w:proofErr w:type="spellEnd"/>
      <w:r w:rsidRPr="007D0DFD">
        <w:rPr>
          <w:color w:val="0000E1"/>
        </w:rPr>
        <w:t xml:space="preserve"> P, Fleiss J. Intraclass correlations: uses in assessing rater reliability. Psychological Bulletin 1979; 86:420-428. </w:t>
      </w:r>
      <w:r w:rsidRPr="007D0DFD">
        <w:rPr>
          <w:rFonts w:cstheme="minorHAnsi"/>
          <w:color w:val="0000E1"/>
        </w:rPr>
        <w:t>PMID:</w:t>
      </w:r>
      <w:r w:rsidR="008D03BA" w:rsidRPr="007D0DFD">
        <w:rPr>
          <w:rFonts w:cstheme="minorHAnsi"/>
          <w:color w:val="0000E1"/>
        </w:rPr>
        <w:t xml:space="preserve"> </w:t>
      </w:r>
      <w:hyperlink r:id="rId14" w:history="1">
        <w:r w:rsidR="008D03BA" w:rsidRPr="007D0DFD">
          <w:rPr>
            <w:rStyle w:val="Hyperlink"/>
            <w:rFonts w:cstheme="minorHAnsi"/>
            <w:color w:val="642A8F"/>
            <w:shd w:val="clear" w:color="auto" w:fill="FFFFFF"/>
          </w:rPr>
          <w:t>27330520</w:t>
        </w:r>
      </w:hyperlink>
      <w:r w:rsidR="00884753">
        <w:rPr>
          <w:rFonts w:cstheme="minorHAnsi"/>
        </w:rPr>
        <w:t>.</w:t>
      </w:r>
    </w:p>
    <w:p w14:paraId="7B79EA76" w14:textId="77777777" w:rsidR="00930280" w:rsidRPr="007D0DFD" w:rsidRDefault="00930280" w:rsidP="00D86E7B">
      <w:pPr>
        <w:pStyle w:val="ListParagraph"/>
        <w:numPr>
          <w:ilvl w:val="0"/>
          <w:numId w:val="9"/>
        </w:numPr>
        <w:autoSpaceDE w:val="0"/>
        <w:autoSpaceDN w:val="0"/>
        <w:adjustRightInd w:val="0"/>
        <w:spacing w:after="0" w:line="240" w:lineRule="auto"/>
        <w:ind w:left="360"/>
        <w:rPr>
          <w:color w:val="0000E1"/>
        </w:rPr>
      </w:pPr>
      <w:r w:rsidRPr="007D0DFD">
        <w:rPr>
          <w:color w:val="0000E1"/>
        </w:rPr>
        <w:t>Koo TK, Li MY. A guideline of Selecting and Reporting Intraclass Correlation Coefficients for Reliability Research. Journal of Chiropractic Medicine. 2016; 15(2):155-63.</w:t>
      </w:r>
      <w:r w:rsidR="008D03BA" w:rsidRPr="007D0DFD">
        <w:rPr>
          <w:color w:val="0000E1"/>
        </w:rPr>
        <w:t xml:space="preserve"> PMID: </w:t>
      </w:r>
      <w:hyperlink r:id="rId15" w:history="1">
        <w:r w:rsidR="008D03BA" w:rsidRPr="008D03BA">
          <w:rPr>
            <w:rStyle w:val="Hyperlink"/>
          </w:rPr>
          <w:t>27330520</w:t>
        </w:r>
      </w:hyperlink>
      <w:r w:rsidR="00884753">
        <w:rPr>
          <w:color w:val="0000E1"/>
        </w:rPr>
        <w:t>.</w:t>
      </w:r>
    </w:p>
    <w:p w14:paraId="0F24BB90" w14:textId="77777777" w:rsidR="00E672E6" w:rsidRPr="006C4148" w:rsidRDefault="00E672E6" w:rsidP="00D86E7B">
      <w:pPr>
        <w:autoSpaceDE w:val="0"/>
        <w:autoSpaceDN w:val="0"/>
        <w:adjustRightInd w:val="0"/>
        <w:spacing w:after="0" w:line="240" w:lineRule="auto"/>
        <w:rPr>
          <w:rFonts w:cstheme="minorHAnsi"/>
          <w:bCs/>
        </w:rPr>
      </w:pPr>
    </w:p>
    <w:p w14:paraId="0F3C3F2F" w14:textId="77777777" w:rsidR="004C25D2" w:rsidRPr="00316A54" w:rsidRDefault="00092566" w:rsidP="00FA02E7">
      <w:pPr>
        <w:autoSpaceDE w:val="0"/>
        <w:autoSpaceDN w:val="0"/>
        <w:adjustRightInd w:val="0"/>
        <w:spacing w:after="0" w:line="240" w:lineRule="auto"/>
        <w:rPr>
          <w:rFonts w:cstheme="minorHAnsi"/>
          <w:bCs/>
        </w:rPr>
      </w:pPr>
      <w:r w:rsidRPr="00316A54">
        <w:rPr>
          <w:rFonts w:cstheme="minorHAnsi"/>
          <w:b/>
          <w:bCs/>
        </w:rPr>
        <w:t>2a2.</w:t>
      </w:r>
      <w:r w:rsidR="008C54A9" w:rsidRPr="00316A54">
        <w:rPr>
          <w:rFonts w:cstheme="minorHAnsi"/>
          <w:b/>
          <w:bCs/>
        </w:rPr>
        <w:t xml:space="preserve">3. For each level </w:t>
      </w:r>
      <w:r w:rsidR="008F7E67" w:rsidRPr="00316A54">
        <w:rPr>
          <w:rFonts w:cstheme="minorHAnsi"/>
          <w:b/>
          <w:bCs/>
        </w:rPr>
        <w:t xml:space="preserve">of testing </w:t>
      </w:r>
      <w:r w:rsidR="008C54A9" w:rsidRPr="00316A54">
        <w:rPr>
          <w:rFonts w:cstheme="minorHAnsi"/>
          <w:b/>
          <w:bCs/>
        </w:rPr>
        <w:t>checked above, w</w:t>
      </w:r>
      <w:r w:rsidR="00900DBF" w:rsidRPr="00316A54">
        <w:rPr>
          <w:rFonts w:cstheme="minorHAnsi"/>
          <w:b/>
          <w:bCs/>
        </w:rPr>
        <w:t>hat were the statistical results</w:t>
      </w:r>
      <w:r w:rsidR="007422FD" w:rsidRPr="00316A54">
        <w:rPr>
          <w:rFonts w:cstheme="minorHAnsi"/>
          <w:b/>
          <w:bCs/>
        </w:rPr>
        <w:t xml:space="preserve"> from reliability testing</w:t>
      </w:r>
      <w:r w:rsidR="00900DBF" w:rsidRPr="00316A54">
        <w:rPr>
          <w:rFonts w:cstheme="minorHAnsi"/>
          <w:bCs/>
        </w:rPr>
        <w:t>?</w:t>
      </w:r>
      <w:r w:rsidR="00B037BA" w:rsidRPr="00316A54">
        <w:rPr>
          <w:rFonts w:cstheme="minorHAnsi"/>
          <w:bCs/>
        </w:rPr>
        <w:t xml:space="preserve"> </w:t>
      </w:r>
      <w:r w:rsidR="00AA5213" w:rsidRPr="00316A54">
        <w:rPr>
          <w:rFonts w:cstheme="minorHAnsi"/>
          <w:bCs/>
        </w:rPr>
        <w:t xml:space="preserve"> (e</w:t>
      </w:r>
      <w:r w:rsidR="00AA5213" w:rsidRPr="00316A54">
        <w:rPr>
          <w:rFonts w:cstheme="minorHAnsi"/>
          <w:bCs/>
          <w:i/>
        </w:rPr>
        <w:t>.g., percent agreement and kappa for the critical data elements; distribution of reliability statistics from a signal-to-noise analysis</w:t>
      </w:r>
      <w:r w:rsidR="00AA5213" w:rsidRPr="00316A54">
        <w:rPr>
          <w:rFonts w:cstheme="minorHAnsi"/>
          <w:bCs/>
        </w:rPr>
        <w:t>)</w:t>
      </w:r>
    </w:p>
    <w:p w14:paraId="1550A693" w14:textId="77777777" w:rsidR="006C4148" w:rsidRDefault="006C4148" w:rsidP="00DB3627">
      <w:pPr>
        <w:autoSpaceDE w:val="0"/>
        <w:autoSpaceDN w:val="0"/>
        <w:adjustRightInd w:val="0"/>
        <w:spacing w:after="0" w:line="240" w:lineRule="auto"/>
        <w:rPr>
          <w:rFonts w:cstheme="minorHAnsi"/>
          <w:bCs/>
          <w:highlight w:val="red"/>
        </w:rPr>
      </w:pPr>
    </w:p>
    <w:p w14:paraId="5213073B" w14:textId="70439623" w:rsidR="00316A54" w:rsidRPr="00767D6A" w:rsidRDefault="005C1DA9" w:rsidP="00316A54">
      <w:pPr>
        <w:autoSpaceDE w:val="0"/>
        <w:autoSpaceDN w:val="0"/>
        <w:adjustRightInd w:val="0"/>
        <w:spacing w:after="0" w:line="240" w:lineRule="auto"/>
        <w:rPr>
          <w:rFonts w:cstheme="minorHAnsi"/>
          <w:bCs/>
          <w:color w:val="0000E1"/>
          <w:u w:val="single"/>
        </w:rPr>
      </w:pPr>
      <w:r>
        <w:rPr>
          <w:rFonts w:cstheme="minorHAnsi"/>
          <w:bCs/>
          <w:color w:val="0000E1"/>
          <w:u w:val="single"/>
        </w:rPr>
        <w:t>Unadjusted Measure S</w:t>
      </w:r>
      <w:r w:rsidR="00316A54" w:rsidRPr="00767D6A">
        <w:rPr>
          <w:rFonts w:cstheme="minorHAnsi"/>
          <w:bCs/>
          <w:color w:val="0000E1"/>
          <w:u w:val="single"/>
        </w:rPr>
        <w:t>cores</w:t>
      </w:r>
    </w:p>
    <w:p w14:paraId="3F093441" w14:textId="2C19CFB8" w:rsidR="00316A54" w:rsidRPr="00767D6A" w:rsidRDefault="00316A54" w:rsidP="00316A54">
      <w:pPr>
        <w:autoSpaceDE w:val="0"/>
        <w:autoSpaceDN w:val="0"/>
        <w:adjustRightInd w:val="0"/>
        <w:spacing w:after="0" w:line="240" w:lineRule="auto"/>
        <w:rPr>
          <w:rFonts w:cstheme="minorHAnsi"/>
          <w:bCs/>
          <w:color w:val="0000E1"/>
        </w:rPr>
      </w:pPr>
      <w:r w:rsidRPr="00767D6A">
        <w:rPr>
          <w:rFonts w:cstheme="minorHAnsi"/>
          <w:bCs/>
          <w:color w:val="0000E1"/>
        </w:rPr>
        <w:t>Using the parameter estimates from the beta-binomial mod</w:t>
      </w:r>
      <w:r w:rsidR="003821AF" w:rsidRPr="00767D6A">
        <w:rPr>
          <w:rFonts w:cstheme="minorHAnsi"/>
          <w:bCs/>
          <w:color w:val="0000E1"/>
        </w:rPr>
        <w:t>el, we computed individual plan</w:t>
      </w:r>
      <w:r w:rsidR="00275BA5">
        <w:rPr>
          <w:rFonts w:cstheme="minorHAnsi"/>
          <w:bCs/>
          <w:color w:val="0000E1"/>
        </w:rPr>
        <w:t>/contract</w:t>
      </w:r>
      <w:r w:rsidR="003D35D3" w:rsidRPr="00767D6A">
        <w:rPr>
          <w:rFonts w:cstheme="minorHAnsi"/>
          <w:bCs/>
          <w:color w:val="0000E1"/>
        </w:rPr>
        <w:t xml:space="preserve"> reliability scores. Table</w:t>
      </w:r>
      <w:r w:rsidR="00886585">
        <w:rPr>
          <w:rFonts w:cstheme="minorHAnsi"/>
          <w:bCs/>
          <w:color w:val="0000E1"/>
        </w:rPr>
        <w:t xml:space="preserve"> 5a</w:t>
      </w:r>
      <w:r w:rsidRPr="00767D6A">
        <w:rPr>
          <w:rFonts w:cstheme="minorHAnsi"/>
          <w:bCs/>
          <w:color w:val="0000E1"/>
        </w:rPr>
        <w:t xml:space="preserve"> shows the distribution of </w:t>
      </w:r>
      <w:r w:rsidR="00852091" w:rsidRPr="00767D6A">
        <w:rPr>
          <w:rFonts w:cstheme="minorHAnsi"/>
          <w:bCs/>
          <w:color w:val="0000E1"/>
        </w:rPr>
        <w:t xml:space="preserve">the </w:t>
      </w:r>
      <w:r w:rsidR="00275BA5">
        <w:rPr>
          <w:rFonts w:cstheme="minorHAnsi"/>
          <w:bCs/>
          <w:color w:val="0000E1"/>
        </w:rPr>
        <w:t xml:space="preserve">plan/contract </w:t>
      </w:r>
      <w:r w:rsidRPr="00767D6A">
        <w:rPr>
          <w:rFonts w:cstheme="minorHAnsi"/>
          <w:bCs/>
          <w:color w:val="0000E1"/>
        </w:rPr>
        <w:t>level scores for</w:t>
      </w:r>
      <w:r w:rsidR="003D35D3" w:rsidRPr="00767D6A">
        <w:rPr>
          <w:rFonts w:cstheme="minorHAnsi"/>
          <w:bCs/>
          <w:color w:val="0000E1"/>
        </w:rPr>
        <w:t xml:space="preserve"> Medicare and</w:t>
      </w:r>
      <w:r w:rsidRPr="00767D6A">
        <w:rPr>
          <w:rFonts w:cstheme="minorHAnsi"/>
          <w:bCs/>
          <w:color w:val="0000E1"/>
        </w:rPr>
        <w:t xml:space="preserve"> Medicaid. </w:t>
      </w:r>
    </w:p>
    <w:p w14:paraId="5F2688F0" w14:textId="77777777" w:rsidR="00316A54" w:rsidRPr="00767D6A" w:rsidRDefault="00316A54" w:rsidP="00316A54">
      <w:pPr>
        <w:autoSpaceDE w:val="0"/>
        <w:autoSpaceDN w:val="0"/>
        <w:adjustRightInd w:val="0"/>
        <w:spacing w:after="0" w:line="240" w:lineRule="auto"/>
        <w:rPr>
          <w:rFonts w:cstheme="minorHAnsi"/>
          <w:bCs/>
          <w:color w:val="0000E1"/>
        </w:rPr>
      </w:pPr>
    </w:p>
    <w:p w14:paraId="64604B88" w14:textId="7818F248" w:rsidR="00316A54" w:rsidRPr="00767D6A" w:rsidRDefault="00390FCD" w:rsidP="00A345D4">
      <w:pPr>
        <w:autoSpaceDE w:val="0"/>
        <w:autoSpaceDN w:val="0"/>
        <w:adjustRightInd w:val="0"/>
        <w:spacing w:after="0" w:line="240" w:lineRule="auto"/>
        <w:rPr>
          <w:rFonts w:cstheme="minorHAnsi"/>
          <w:b/>
          <w:bCs/>
          <w:color w:val="0000E1"/>
        </w:rPr>
      </w:pPr>
      <w:r w:rsidRPr="00767D6A">
        <w:rPr>
          <w:rFonts w:cstheme="minorHAnsi"/>
          <w:b/>
          <w:bCs/>
          <w:color w:val="0000E1"/>
        </w:rPr>
        <w:t>Table 5</w:t>
      </w:r>
      <w:r w:rsidR="00886585">
        <w:rPr>
          <w:rFonts w:cstheme="minorHAnsi"/>
          <w:b/>
          <w:bCs/>
          <w:color w:val="0000E1"/>
        </w:rPr>
        <w:t>a</w:t>
      </w:r>
      <w:r w:rsidR="003821AF" w:rsidRPr="00767D6A">
        <w:rPr>
          <w:rFonts w:cstheme="minorHAnsi"/>
          <w:b/>
          <w:bCs/>
          <w:color w:val="0000E1"/>
        </w:rPr>
        <w:t xml:space="preserve">. </w:t>
      </w:r>
      <w:r w:rsidR="00275BA5">
        <w:rPr>
          <w:rFonts w:cstheme="minorHAnsi"/>
          <w:b/>
          <w:bCs/>
          <w:color w:val="0000E1"/>
        </w:rPr>
        <w:t xml:space="preserve">Unadjusted </w:t>
      </w:r>
      <w:r w:rsidR="003821AF" w:rsidRPr="00767D6A">
        <w:rPr>
          <w:rFonts w:cstheme="minorHAnsi"/>
          <w:b/>
          <w:bCs/>
          <w:color w:val="0000E1"/>
        </w:rPr>
        <w:t>Plan</w:t>
      </w:r>
      <w:r w:rsidR="00275BA5">
        <w:rPr>
          <w:rFonts w:cstheme="minorHAnsi"/>
          <w:b/>
          <w:bCs/>
          <w:color w:val="0000E1"/>
        </w:rPr>
        <w:t xml:space="preserve">/Contract Reliability Scores </w:t>
      </w:r>
      <w:r w:rsidR="00852091" w:rsidRPr="00767D6A">
        <w:rPr>
          <w:rFonts w:cstheme="minorHAnsi"/>
          <w:b/>
          <w:bCs/>
          <w:color w:val="0000E1"/>
        </w:rPr>
        <w:t xml:space="preserve">– </w:t>
      </w:r>
      <w:r w:rsidR="00316A54" w:rsidRPr="00767D6A">
        <w:rPr>
          <w:rFonts w:cstheme="minorHAnsi"/>
          <w:b/>
          <w:bCs/>
          <w:color w:val="0000E1"/>
        </w:rPr>
        <w:t>By Therapeutic Category</w:t>
      </w:r>
      <w:r w:rsidR="00886585">
        <w:rPr>
          <w:rFonts w:cstheme="minorHAnsi"/>
          <w:b/>
          <w:bCs/>
          <w:color w:val="0000E1"/>
        </w:rPr>
        <w:t xml:space="preserve"> </w:t>
      </w:r>
    </w:p>
    <w:tbl>
      <w:tblPr>
        <w:tblStyle w:val="TableGrid"/>
        <w:tblW w:w="0" w:type="auto"/>
        <w:jc w:val="center"/>
        <w:tblLook w:val="04A0" w:firstRow="1" w:lastRow="0" w:firstColumn="1" w:lastColumn="0" w:noHBand="0" w:noVBand="1"/>
      </w:tblPr>
      <w:tblGrid>
        <w:gridCol w:w="1973"/>
        <w:gridCol w:w="1281"/>
        <w:gridCol w:w="1271"/>
        <w:gridCol w:w="1404"/>
        <w:gridCol w:w="1139"/>
        <w:gridCol w:w="1138"/>
        <w:gridCol w:w="1144"/>
      </w:tblGrid>
      <w:tr w:rsidR="00767D6A" w:rsidRPr="00767D6A" w14:paraId="58BE7286" w14:textId="77777777" w:rsidTr="00930280">
        <w:trPr>
          <w:trHeight w:val="250"/>
          <w:jc w:val="center"/>
        </w:trPr>
        <w:tc>
          <w:tcPr>
            <w:tcW w:w="1973" w:type="dxa"/>
            <w:vMerge w:val="restart"/>
            <w:tcBorders>
              <w:top w:val="single" w:sz="4" w:space="0" w:color="auto"/>
              <w:left w:val="single" w:sz="4" w:space="0" w:color="auto"/>
              <w:right w:val="single" w:sz="4" w:space="0" w:color="auto"/>
            </w:tcBorders>
            <w:shd w:val="clear" w:color="auto" w:fill="D9D9D9" w:themeFill="background1" w:themeFillShade="D9"/>
            <w:hideMark/>
          </w:tcPr>
          <w:p w14:paraId="5D3E9345" w14:textId="77777777" w:rsidR="003D35D3" w:rsidRPr="00767D6A" w:rsidRDefault="003D35D3">
            <w:pPr>
              <w:autoSpaceDE w:val="0"/>
              <w:autoSpaceDN w:val="0"/>
              <w:adjustRightInd w:val="0"/>
              <w:jc w:val="center"/>
              <w:rPr>
                <w:rFonts w:cstheme="minorHAnsi"/>
                <w:b/>
                <w:bCs/>
                <w:color w:val="0000E1"/>
              </w:rPr>
            </w:pPr>
          </w:p>
          <w:p w14:paraId="44A4A95D" w14:textId="77777777" w:rsidR="003D35D3" w:rsidRPr="00767D6A" w:rsidRDefault="003D35D3">
            <w:pPr>
              <w:autoSpaceDE w:val="0"/>
              <w:autoSpaceDN w:val="0"/>
              <w:adjustRightInd w:val="0"/>
              <w:jc w:val="center"/>
              <w:rPr>
                <w:rFonts w:cstheme="minorHAnsi"/>
                <w:b/>
                <w:bCs/>
                <w:color w:val="0000E1"/>
              </w:rPr>
            </w:pPr>
            <w:r w:rsidRPr="00767D6A">
              <w:rPr>
                <w:rFonts w:cstheme="minorHAnsi"/>
                <w:b/>
                <w:bCs/>
                <w:color w:val="0000E1"/>
              </w:rPr>
              <w:t>Statistic</w:t>
            </w:r>
          </w:p>
        </w:tc>
        <w:tc>
          <w:tcPr>
            <w:tcW w:w="395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0232D1" w14:textId="77777777" w:rsidR="003D35D3" w:rsidRPr="00767D6A" w:rsidRDefault="003D35D3">
            <w:pPr>
              <w:autoSpaceDE w:val="0"/>
              <w:autoSpaceDN w:val="0"/>
              <w:adjustRightInd w:val="0"/>
              <w:jc w:val="center"/>
              <w:rPr>
                <w:rFonts w:cstheme="minorHAnsi"/>
                <w:b/>
                <w:bCs/>
                <w:color w:val="0000E1"/>
              </w:rPr>
            </w:pPr>
            <w:r w:rsidRPr="00767D6A">
              <w:rPr>
                <w:rFonts w:cstheme="minorHAnsi"/>
                <w:b/>
                <w:bCs/>
                <w:color w:val="0000E1"/>
              </w:rPr>
              <w:t>Medicare</w:t>
            </w:r>
          </w:p>
        </w:tc>
        <w:tc>
          <w:tcPr>
            <w:tcW w:w="342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647A8D" w14:textId="77777777" w:rsidR="003D35D3" w:rsidRPr="00767D6A" w:rsidRDefault="003D35D3">
            <w:pPr>
              <w:autoSpaceDE w:val="0"/>
              <w:autoSpaceDN w:val="0"/>
              <w:adjustRightInd w:val="0"/>
              <w:jc w:val="center"/>
              <w:rPr>
                <w:rFonts w:cstheme="minorHAnsi"/>
                <w:b/>
                <w:bCs/>
                <w:color w:val="0000E1"/>
              </w:rPr>
            </w:pPr>
            <w:r w:rsidRPr="00767D6A">
              <w:rPr>
                <w:rFonts w:cstheme="minorHAnsi"/>
                <w:b/>
                <w:bCs/>
                <w:color w:val="0000E1"/>
              </w:rPr>
              <w:t>Medicaid</w:t>
            </w:r>
          </w:p>
        </w:tc>
      </w:tr>
      <w:tr w:rsidR="00767D6A" w:rsidRPr="00767D6A" w14:paraId="69CF3B66" w14:textId="77777777" w:rsidTr="00930280">
        <w:trPr>
          <w:trHeight w:val="250"/>
          <w:jc w:val="center"/>
        </w:trPr>
        <w:tc>
          <w:tcPr>
            <w:tcW w:w="1973" w:type="dxa"/>
            <w:vMerge/>
            <w:tcBorders>
              <w:left w:val="single" w:sz="4" w:space="0" w:color="auto"/>
              <w:bottom w:val="single" w:sz="4" w:space="0" w:color="auto"/>
              <w:right w:val="single" w:sz="4" w:space="0" w:color="auto"/>
            </w:tcBorders>
            <w:shd w:val="clear" w:color="auto" w:fill="D9D9D9" w:themeFill="background1" w:themeFillShade="D9"/>
          </w:tcPr>
          <w:p w14:paraId="1D3C6FE6" w14:textId="77777777" w:rsidR="003D35D3" w:rsidRPr="00767D6A" w:rsidRDefault="003D35D3" w:rsidP="003D35D3">
            <w:pPr>
              <w:autoSpaceDE w:val="0"/>
              <w:autoSpaceDN w:val="0"/>
              <w:adjustRightInd w:val="0"/>
              <w:jc w:val="center"/>
              <w:rPr>
                <w:rFonts w:cstheme="minorHAnsi"/>
                <w:b/>
                <w:bCs/>
                <w:color w:val="0000E1"/>
              </w:rPr>
            </w:pPr>
          </w:p>
        </w:tc>
        <w:tc>
          <w:tcPr>
            <w:tcW w:w="12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9D8FA4" w14:textId="77777777" w:rsidR="003D35D3" w:rsidRPr="00767D6A" w:rsidRDefault="003D35D3" w:rsidP="003D35D3">
            <w:pPr>
              <w:autoSpaceDE w:val="0"/>
              <w:autoSpaceDN w:val="0"/>
              <w:adjustRightInd w:val="0"/>
              <w:jc w:val="center"/>
              <w:rPr>
                <w:rFonts w:cstheme="minorHAnsi"/>
                <w:b/>
                <w:bCs/>
                <w:color w:val="0000E1"/>
              </w:rPr>
            </w:pPr>
            <w:r w:rsidRPr="00767D6A">
              <w:rPr>
                <w:rFonts w:cstheme="minorHAnsi"/>
                <w:b/>
                <w:bCs/>
                <w:color w:val="0000E1"/>
              </w:rPr>
              <w:t>Diabetes</w:t>
            </w:r>
          </w:p>
        </w:tc>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9C4C2F" w14:textId="77777777" w:rsidR="003D35D3" w:rsidRPr="00767D6A" w:rsidRDefault="003D35D3" w:rsidP="003D35D3">
            <w:pPr>
              <w:autoSpaceDE w:val="0"/>
              <w:autoSpaceDN w:val="0"/>
              <w:adjustRightInd w:val="0"/>
              <w:jc w:val="center"/>
              <w:rPr>
                <w:rFonts w:cstheme="minorHAnsi"/>
                <w:b/>
                <w:bCs/>
                <w:color w:val="0000E1"/>
              </w:rPr>
            </w:pPr>
            <w:r w:rsidRPr="00767D6A">
              <w:rPr>
                <w:rFonts w:cstheme="minorHAnsi"/>
                <w:b/>
                <w:bCs/>
                <w:color w:val="0000E1"/>
              </w:rPr>
              <w:t>RASA</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239D76" w14:textId="77777777" w:rsidR="003D35D3" w:rsidRPr="00767D6A" w:rsidRDefault="003D35D3" w:rsidP="003D35D3">
            <w:pPr>
              <w:autoSpaceDE w:val="0"/>
              <w:autoSpaceDN w:val="0"/>
              <w:adjustRightInd w:val="0"/>
              <w:jc w:val="center"/>
              <w:rPr>
                <w:rFonts w:cstheme="minorHAnsi"/>
                <w:b/>
                <w:bCs/>
                <w:color w:val="0000E1"/>
              </w:rPr>
            </w:pPr>
            <w:r w:rsidRPr="00767D6A">
              <w:rPr>
                <w:rFonts w:cstheme="minorHAnsi"/>
                <w:b/>
                <w:bCs/>
                <w:color w:val="0000E1"/>
              </w:rPr>
              <w:t>Statins</w:t>
            </w:r>
          </w:p>
        </w:tc>
        <w:tc>
          <w:tcPr>
            <w:tcW w:w="11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5C9169" w14:textId="77777777" w:rsidR="003D35D3" w:rsidRPr="00767D6A" w:rsidRDefault="003D35D3" w:rsidP="003D35D3">
            <w:pPr>
              <w:autoSpaceDE w:val="0"/>
              <w:autoSpaceDN w:val="0"/>
              <w:adjustRightInd w:val="0"/>
              <w:jc w:val="center"/>
              <w:rPr>
                <w:rFonts w:cstheme="minorHAnsi"/>
                <w:b/>
                <w:bCs/>
                <w:color w:val="0000E1"/>
              </w:rPr>
            </w:pPr>
            <w:r w:rsidRPr="00767D6A">
              <w:rPr>
                <w:rFonts w:cstheme="minorHAnsi"/>
                <w:b/>
                <w:bCs/>
                <w:color w:val="0000E1"/>
              </w:rPr>
              <w:t>Diabetes</w:t>
            </w:r>
          </w:p>
        </w:tc>
        <w:tc>
          <w:tcPr>
            <w:tcW w:w="1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431EF1" w14:textId="77777777" w:rsidR="003D35D3" w:rsidRPr="00767D6A" w:rsidRDefault="003D35D3" w:rsidP="003D35D3">
            <w:pPr>
              <w:autoSpaceDE w:val="0"/>
              <w:autoSpaceDN w:val="0"/>
              <w:adjustRightInd w:val="0"/>
              <w:jc w:val="center"/>
              <w:rPr>
                <w:rFonts w:cstheme="minorHAnsi"/>
                <w:b/>
                <w:bCs/>
                <w:color w:val="0000E1"/>
              </w:rPr>
            </w:pPr>
            <w:r w:rsidRPr="00767D6A">
              <w:rPr>
                <w:rFonts w:cstheme="minorHAnsi"/>
                <w:b/>
                <w:bCs/>
                <w:color w:val="0000E1"/>
              </w:rPr>
              <w:t>RASA</w:t>
            </w:r>
          </w:p>
        </w:tc>
        <w:tc>
          <w:tcPr>
            <w:tcW w:w="11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06ED6E" w14:textId="77777777" w:rsidR="003D35D3" w:rsidRPr="00767D6A" w:rsidRDefault="003D35D3" w:rsidP="003D35D3">
            <w:pPr>
              <w:autoSpaceDE w:val="0"/>
              <w:autoSpaceDN w:val="0"/>
              <w:adjustRightInd w:val="0"/>
              <w:jc w:val="center"/>
              <w:rPr>
                <w:rFonts w:cstheme="minorHAnsi"/>
                <w:b/>
                <w:bCs/>
                <w:color w:val="0000E1"/>
              </w:rPr>
            </w:pPr>
            <w:r w:rsidRPr="00767D6A">
              <w:rPr>
                <w:rFonts w:cstheme="minorHAnsi"/>
                <w:b/>
                <w:bCs/>
                <w:color w:val="0000E1"/>
              </w:rPr>
              <w:t>Statins</w:t>
            </w:r>
          </w:p>
        </w:tc>
      </w:tr>
      <w:tr w:rsidR="00767D6A" w:rsidRPr="00767D6A" w14:paraId="0E51B90C" w14:textId="77777777" w:rsidTr="00AE2BC8">
        <w:trPr>
          <w:trHeight w:val="250"/>
          <w:jc w:val="center"/>
        </w:trPr>
        <w:tc>
          <w:tcPr>
            <w:tcW w:w="1973" w:type="dxa"/>
            <w:tcBorders>
              <w:top w:val="single" w:sz="4" w:space="0" w:color="auto"/>
              <w:left w:val="single" w:sz="4" w:space="0" w:color="auto"/>
              <w:bottom w:val="single" w:sz="4" w:space="0" w:color="auto"/>
              <w:right w:val="single" w:sz="4" w:space="0" w:color="auto"/>
            </w:tcBorders>
            <w:hideMark/>
          </w:tcPr>
          <w:p w14:paraId="4E2698DD" w14:textId="77777777" w:rsidR="003D35D3" w:rsidRPr="00767D6A" w:rsidRDefault="003D35D3" w:rsidP="003D35D3">
            <w:pPr>
              <w:autoSpaceDE w:val="0"/>
              <w:autoSpaceDN w:val="0"/>
              <w:adjustRightInd w:val="0"/>
              <w:rPr>
                <w:rFonts w:cstheme="minorHAnsi"/>
                <w:bCs/>
                <w:color w:val="0000E1"/>
              </w:rPr>
            </w:pPr>
            <w:r w:rsidRPr="00767D6A">
              <w:rPr>
                <w:rFonts w:cstheme="minorHAnsi"/>
                <w:bCs/>
                <w:color w:val="0000E1"/>
              </w:rPr>
              <w:t xml:space="preserve">Mean </w:t>
            </w:r>
          </w:p>
        </w:tc>
        <w:tc>
          <w:tcPr>
            <w:tcW w:w="1281" w:type="dxa"/>
            <w:tcBorders>
              <w:top w:val="single" w:sz="4" w:space="0" w:color="auto"/>
              <w:left w:val="single" w:sz="4" w:space="0" w:color="auto"/>
              <w:bottom w:val="single" w:sz="4" w:space="0" w:color="auto"/>
              <w:right w:val="single" w:sz="4" w:space="0" w:color="auto"/>
            </w:tcBorders>
            <w:vAlign w:val="center"/>
          </w:tcPr>
          <w:p w14:paraId="39C323D6" w14:textId="77777777" w:rsidR="003D35D3" w:rsidRPr="00767D6A" w:rsidRDefault="003D35D3" w:rsidP="00AE2BC8">
            <w:pPr>
              <w:autoSpaceDE w:val="0"/>
              <w:autoSpaceDN w:val="0"/>
              <w:adjustRightInd w:val="0"/>
              <w:jc w:val="right"/>
              <w:rPr>
                <w:rFonts w:cstheme="minorHAnsi"/>
                <w:bCs/>
                <w:color w:val="0000E1"/>
              </w:rPr>
            </w:pPr>
            <w:r w:rsidRPr="00767D6A">
              <w:rPr>
                <w:rFonts w:cstheme="minorHAnsi"/>
                <w:color w:val="0000E1"/>
              </w:rPr>
              <w:t>0.8492</w:t>
            </w:r>
          </w:p>
        </w:tc>
        <w:tc>
          <w:tcPr>
            <w:tcW w:w="1271" w:type="dxa"/>
            <w:tcBorders>
              <w:top w:val="single" w:sz="4" w:space="0" w:color="auto"/>
              <w:left w:val="single" w:sz="4" w:space="0" w:color="auto"/>
              <w:bottom w:val="single" w:sz="4" w:space="0" w:color="auto"/>
              <w:right w:val="single" w:sz="4" w:space="0" w:color="auto"/>
            </w:tcBorders>
            <w:vAlign w:val="center"/>
          </w:tcPr>
          <w:p w14:paraId="0E42A282" w14:textId="77777777" w:rsidR="003D35D3" w:rsidRPr="00767D6A" w:rsidRDefault="003D35D3" w:rsidP="00AE2BC8">
            <w:pPr>
              <w:autoSpaceDE w:val="0"/>
              <w:autoSpaceDN w:val="0"/>
              <w:adjustRightInd w:val="0"/>
              <w:jc w:val="right"/>
              <w:rPr>
                <w:rFonts w:eastAsia="Times New Roman" w:cstheme="minorHAnsi"/>
                <w:color w:val="0000E1"/>
              </w:rPr>
            </w:pPr>
            <w:r w:rsidRPr="00767D6A">
              <w:rPr>
                <w:rFonts w:cstheme="minorHAnsi"/>
                <w:color w:val="0000E1"/>
              </w:rPr>
              <w:t>0.8953</w:t>
            </w:r>
          </w:p>
        </w:tc>
        <w:tc>
          <w:tcPr>
            <w:tcW w:w="1404" w:type="dxa"/>
            <w:tcBorders>
              <w:top w:val="single" w:sz="4" w:space="0" w:color="auto"/>
              <w:left w:val="single" w:sz="4" w:space="0" w:color="auto"/>
              <w:bottom w:val="single" w:sz="4" w:space="0" w:color="auto"/>
              <w:right w:val="single" w:sz="4" w:space="0" w:color="auto"/>
            </w:tcBorders>
            <w:vAlign w:val="center"/>
          </w:tcPr>
          <w:p w14:paraId="2D611FEE" w14:textId="77777777" w:rsidR="003D35D3" w:rsidRPr="00767D6A" w:rsidRDefault="003D35D3" w:rsidP="00AE2BC8">
            <w:pPr>
              <w:autoSpaceDE w:val="0"/>
              <w:autoSpaceDN w:val="0"/>
              <w:adjustRightInd w:val="0"/>
              <w:jc w:val="right"/>
              <w:rPr>
                <w:rFonts w:cstheme="minorHAnsi"/>
                <w:bCs/>
                <w:color w:val="0000E1"/>
              </w:rPr>
            </w:pPr>
            <w:r w:rsidRPr="00767D6A">
              <w:rPr>
                <w:rFonts w:cstheme="minorHAnsi"/>
                <w:color w:val="0000E1"/>
              </w:rPr>
              <w:t>0.9171</w:t>
            </w:r>
          </w:p>
        </w:tc>
        <w:tc>
          <w:tcPr>
            <w:tcW w:w="1139" w:type="dxa"/>
            <w:tcBorders>
              <w:top w:val="single" w:sz="4" w:space="0" w:color="auto"/>
              <w:left w:val="single" w:sz="4" w:space="0" w:color="auto"/>
              <w:bottom w:val="single" w:sz="4" w:space="0" w:color="auto"/>
              <w:right w:val="single" w:sz="4" w:space="0" w:color="auto"/>
            </w:tcBorders>
            <w:vAlign w:val="center"/>
          </w:tcPr>
          <w:p w14:paraId="0212CAFA" w14:textId="77777777" w:rsidR="003D35D3" w:rsidRPr="00767D6A" w:rsidRDefault="003D35D3" w:rsidP="00AE2BC8">
            <w:pPr>
              <w:autoSpaceDE w:val="0"/>
              <w:autoSpaceDN w:val="0"/>
              <w:adjustRightInd w:val="0"/>
              <w:jc w:val="right"/>
              <w:rPr>
                <w:color w:val="0000E1"/>
              </w:rPr>
            </w:pPr>
            <w:r w:rsidRPr="00767D6A">
              <w:rPr>
                <w:color w:val="0000E1"/>
              </w:rPr>
              <w:t>0.9174</w:t>
            </w:r>
          </w:p>
        </w:tc>
        <w:tc>
          <w:tcPr>
            <w:tcW w:w="1138" w:type="dxa"/>
            <w:tcBorders>
              <w:top w:val="single" w:sz="4" w:space="0" w:color="auto"/>
              <w:left w:val="single" w:sz="4" w:space="0" w:color="auto"/>
              <w:bottom w:val="single" w:sz="4" w:space="0" w:color="auto"/>
              <w:right w:val="single" w:sz="4" w:space="0" w:color="auto"/>
            </w:tcBorders>
            <w:vAlign w:val="center"/>
          </w:tcPr>
          <w:p w14:paraId="2601804F" w14:textId="77777777" w:rsidR="003D35D3" w:rsidRPr="00767D6A" w:rsidRDefault="003D35D3" w:rsidP="00AE2BC8">
            <w:pPr>
              <w:autoSpaceDE w:val="0"/>
              <w:autoSpaceDN w:val="0"/>
              <w:adjustRightInd w:val="0"/>
              <w:jc w:val="right"/>
              <w:rPr>
                <w:color w:val="0000E1"/>
              </w:rPr>
            </w:pPr>
            <w:r w:rsidRPr="00767D6A">
              <w:rPr>
                <w:color w:val="0000E1"/>
              </w:rPr>
              <w:t>0.9340</w:t>
            </w:r>
          </w:p>
        </w:tc>
        <w:tc>
          <w:tcPr>
            <w:tcW w:w="1144" w:type="dxa"/>
            <w:tcBorders>
              <w:top w:val="single" w:sz="4" w:space="0" w:color="auto"/>
              <w:left w:val="single" w:sz="4" w:space="0" w:color="auto"/>
              <w:bottom w:val="single" w:sz="4" w:space="0" w:color="auto"/>
              <w:right w:val="single" w:sz="4" w:space="0" w:color="auto"/>
            </w:tcBorders>
            <w:vAlign w:val="center"/>
          </w:tcPr>
          <w:p w14:paraId="22A425FA" w14:textId="77777777" w:rsidR="003D35D3" w:rsidRPr="00767D6A" w:rsidRDefault="003D35D3" w:rsidP="00AE2BC8">
            <w:pPr>
              <w:autoSpaceDE w:val="0"/>
              <w:autoSpaceDN w:val="0"/>
              <w:adjustRightInd w:val="0"/>
              <w:jc w:val="right"/>
              <w:rPr>
                <w:color w:val="0000E1"/>
              </w:rPr>
            </w:pPr>
            <w:r w:rsidRPr="00767D6A">
              <w:rPr>
                <w:color w:val="0000E1"/>
              </w:rPr>
              <w:t>0.9305</w:t>
            </w:r>
          </w:p>
        </w:tc>
      </w:tr>
      <w:tr w:rsidR="00767D6A" w:rsidRPr="00767D6A" w14:paraId="54AE72C5" w14:textId="77777777" w:rsidTr="00AE2BC8">
        <w:trPr>
          <w:trHeight w:val="261"/>
          <w:jc w:val="center"/>
        </w:trPr>
        <w:tc>
          <w:tcPr>
            <w:tcW w:w="1973" w:type="dxa"/>
            <w:tcBorders>
              <w:top w:val="single" w:sz="4" w:space="0" w:color="auto"/>
              <w:left w:val="single" w:sz="4" w:space="0" w:color="auto"/>
              <w:bottom w:val="single" w:sz="4" w:space="0" w:color="auto"/>
              <w:right w:val="single" w:sz="4" w:space="0" w:color="auto"/>
            </w:tcBorders>
            <w:hideMark/>
          </w:tcPr>
          <w:p w14:paraId="7034B0F0" w14:textId="77777777" w:rsidR="003D35D3" w:rsidRPr="00767D6A" w:rsidRDefault="003D35D3" w:rsidP="003D35D3">
            <w:pPr>
              <w:autoSpaceDE w:val="0"/>
              <w:autoSpaceDN w:val="0"/>
              <w:adjustRightInd w:val="0"/>
              <w:rPr>
                <w:rFonts w:cstheme="minorHAnsi"/>
                <w:bCs/>
                <w:color w:val="0000E1"/>
              </w:rPr>
            </w:pPr>
            <w:r w:rsidRPr="00767D6A">
              <w:rPr>
                <w:rFonts w:cstheme="minorHAnsi"/>
                <w:bCs/>
                <w:color w:val="0000E1"/>
              </w:rPr>
              <w:t>Standard Deviation</w:t>
            </w:r>
          </w:p>
        </w:tc>
        <w:tc>
          <w:tcPr>
            <w:tcW w:w="1281" w:type="dxa"/>
            <w:tcBorders>
              <w:top w:val="single" w:sz="4" w:space="0" w:color="auto"/>
              <w:left w:val="single" w:sz="4" w:space="0" w:color="auto"/>
              <w:bottom w:val="single" w:sz="4" w:space="0" w:color="auto"/>
              <w:right w:val="single" w:sz="4" w:space="0" w:color="auto"/>
            </w:tcBorders>
            <w:vAlign w:val="center"/>
          </w:tcPr>
          <w:p w14:paraId="3074CE24" w14:textId="77777777" w:rsidR="003D35D3" w:rsidRPr="00767D6A" w:rsidRDefault="003D35D3" w:rsidP="00AE2BC8">
            <w:pPr>
              <w:autoSpaceDE w:val="0"/>
              <w:autoSpaceDN w:val="0"/>
              <w:adjustRightInd w:val="0"/>
              <w:jc w:val="right"/>
              <w:rPr>
                <w:rFonts w:cstheme="minorHAnsi"/>
                <w:bCs/>
                <w:color w:val="0000E1"/>
              </w:rPr>
            </w:pPr>
            <w:r w:rsidRPr="00767D6A">
              <w:rPr>
                <w:rFonts w:cstheme="minorHAnsi"/>
                <w:color w:val="0000E1"/>
              </w:rPr>
              <w:t>0.1785</w:t>
            </w:r>
          </w:p>
        </w:tc>
        <w:tc>
          <w:tcPr>
            <w:tcW w:w="1271" w:type="dxa"/>
            <w:tcBorders>
              <w:top w:val="single" w:sz="4" w:space="0" w:color="auto"/>
              <w:left w:val="single" w:sz="4" w:space="0" w:color="auto"/>
              <w:bottom w:val="single" w:sz="4" w:space="0" w:color="auto"/>
              <w:right w:val="single" w:sz="4" w:space="0" w:color="auto"/>
            </w:tcBorders>
            <w:vAlign w:val="center"/>
          </w:tcPr>
          <w:p w14:paraId="0C1504BC" w14:textId="77777777" w:rsidR="003D35D3" w:rsidRPr="00767D6A" w:rsidRDefault="003D35D3" w:rsidP="00AE2BC8">
            <w:pPr>
              <w:autoSpaceDE w:val="0"/>
              <w:autoSpaceDN w:val="0"/>
              <w:adjustRightInd w:val="0"/>
              <w:jc w:val="right"/>
              <w:rPr>
                <w:rFonts w:eastAsia="Times New Roman" w:cstheme="minorHAnsi"/>
                <w:color w:val="0000E1"/>
              </w:rPr>
            </w:pPr>
            <w:r w:rsidRPr="00767D6A">
              <w:rPr>
                <w:rFonts w:cstheme="minorHAnsi"/>
                <w:color w:val="0000E1"/>
              </w:rPr>
              <w:t>0.1579</w:t>
            </w:r>
          </w:p>
        </w:tc>
        <w:tc>
          <w:tcPr>
            <w:tcW w:w="1404" w:type="dxa"/>
            <w:tcBorders>
              <w:top w:val="single" w:sz="4" w:space="0" w:color="auto"/>
              <w:left w:val="single" w:sz="4" w:space="0" w:color="auto"/>
              <w:bottom w:val="single" w:sz="4" w:space="0" w:color="auto"/>
              <w:right w:val="single" w:sz="4" w:space="0" w:color="auto"/>
            </w:tcBorders>
            <w:vAlign w:val="center"/>
          </w:tcPr>
          <w:p w14:paraId="1D6368FB" w14:textId="77777777" w:rsidR="003D35D3" w:rsidRPr="00767D6A" w:rsidRDefault="003D35D3" w:rsidP="00AE2BC8">
            <w:pPr>
              <w:autoSpaceDE w:val="0"/>
              <w:autoSpaceDN w:val="0"/>
              <w:adjustRightInd w:val="0"/>
              <w:jc w:val="right"/>
              <w:rPr>
                <w:rFonts w:cstheme="minorHAnsi"/>
                <w:bCs/>
                <w:color w:val="0000E1"/>
              </w:rPr>
            </w:pPr>
            <w:r w:rsidRPr="00767D6A">
              <w:rPr>
                <w:rFonts w:cstheme="minorHAnsi"/>
                <w:color w:val="0000E1"/>
              </w:rPr>
              <w:t>0.1319</w:t>
            </w:r>
          </w:p>
        </w:tc>
        <w:tc>
          <w:tcPr>
            <w:tcW w:w="1139" w:type="dxa"/>
            <w:tcBorders>
              <w:top w:val="single" w:sz="4" w:space="0" w:color="auto"/>
              <w:left w:val="single" w:sz="4" w:space="0" w:color="auto"/>
              <w:bottom w:val="single" w:sz="4" w:space="0" w:color="auto"/>
              <w:right w:val="single" w:sz="4" w:space="0" w:color="auto"/>
            </w:tcBorders>
            <w:vAlign w:val="center"/>
          </w:tcPr>
          <w:p w14:paraId="09BF2002" w14:textId="77777777" w:rsidR="003D35D3" w:rsidRPr="00767D6A" w:rsidRDefault="003D35D3" w:rsidP="00AE2BC8">
            <w:pPr>
              <w:autoSpaceDE w:val="0"/>
              <w:autoSpaceDN w:val="0"/>
              <w:adjustRightInd w:val="0"/>
              <w:jc w:val="right"/>
              <w:rPr>
                <w:color w:val="0000E1"/>
              </w:rPr>
            </w:pPr>
            <w:r w:rsidRPr="00767D6A">
              <w:rPr>
                <w:color w:val="0000E1"/>
              </w:rPr>
              <w:t>0.1008</w:t>
            </w:r>
          </w:p>
        </w:tc>
        <w:tc>
          <w:tcPr>
            <w:tcW w:w="1138" w:type="dxa"/>
            <w:tcBorders>
              <w:top w:val="single" w:sz="4" w:space="0" w:color="auto"/>
              <w:left w:val="single" w:sz="4" w:space="0" w:color="auto"/>
              <w:bottom w:val="single" w:sz="4" w:space="0" w:color="auto"/>
              <w:right w:val="single" w:sz="4" w:space="0" w:color="auto"/>
            </w:tcBorders>
            <w:vAlign w:val="center"/>
          </w:tcPr>
          <w:p w14:paraId="043B9065" w14:textId="77777777" w:rsidR="003D35D3" w:rsidRPr="00767D6A" w:rsidRDefault="003D35D3" w:rsidP="00AE2BC8">
            <w:pPr>
              <w:autoSpaceDE w:val="0"/>
              <w:autoSpaceDN w:val="0"/>
              <w:adjustRightInd w:val="0"/>
              <w:jc w:val="right"/>
              <w:rPr>
                <w:color w:val="0000E1"/>
              </w:rPr>
            </w:pPr>
            <w:r w:rsidRPr="00767D6A">
              <w:rPr>
                <w:color w:val="0000E1"/>
              </w:rPr>
              <w:t>0.0990</w:t>
            </w:r>
          </w:p>
        </w:tc>
        <w:tc>
          <w:tcPr>
            <w:tcW w:w="1144" w:type="dxa"/>
            <w:tcBorders>
              <w:top w:val="single" w:sz="4" w:space="0" w:color="auto"/>
              <w:left w:val="single" w:sz="4" w:space="0" w:color="auto"/>
              <w:bottom w:val="single" w:sz="4" w:space="0" w:color="auto"/>
              <w:right w:val="single" w:sz="4" w:space="0" w:color="auto"/>
            </w:tcBorders>
            <w:vAlign w:val="center"/>
          </w:tcPr>
          <w:p w14:paraId="7C1F37D9" w14:textId="77777777" w:rsidR="003D35D3" w:rsidRPr="00767D6A" w:rsidRDefault="003D35D3" w:rsidP="00AE2BC8">
            <w:pPr>
              <w:autoSpaceDE w:val="0"/>
              <w:autoSpaceDN w:val="0"/>
              <w:adjustRightInd w:val="0"/>
              <w:jc w:val="right"/>
              <w:rPr>
                <w:color w:val="0000E1"/>
              </w:rPr>
            </w:pPr>
            <w:r w:rsidRPr="00767D6A">
              <w:rPr>
                <w:color w:val="0000E1"/>
              </w:rPr>
              <w:t>0.1005</w:t>
            </w:r>
          </w:p>
        </w:tc>
      </w:tr>
      <w:tr w:rsidR="00767D6A" w:rsidRPr="00767D6A" w14:paraId="43D659B7" w14:textId="77777777" w:rsidTr="00AE2BC8">
        <w:trPr>
          <w:trHeight w:val="250"/>
          <w:jc w:val="center"/>
        </w:trPr>
        <w:tc>
          <w:tcPr>
            <w:tcW w:w="1973" w:type="dxa"/>
            <w:tcBorders>
              <w:top w:val="single" w:sz="4" w:space="0" w:color="auto"/>
              <w:left w:val="single" w:sz="4" w:space="0" w:color="auto"/>
              <w:bottom w:val="single" w:sz="4" w:space="0" w:color="auto"/>
              <w:right w:val="single" w:sz="4" w:space="0" w:color="auto"/>
            </w:tcBorders>
            <w:hideMark/>
          </w:tcPr>
          <w:p w14:paraId="4375E1FB" w14:textId="77777777" w:rsidR="003D35D3" w:rsidRPr="00767D6A" w:rsidRDefault="003D35D3" w:rsidP="003D35D3">
            <w:pPr>
              <w:autoSpaceDE w:val="0"/>
              <w:autoSpaceDN w:val="0"/>
              <w:adjustRightInd w:val="0"/>
              <w:rPr>
                <w:rFonts w:cstheme="minorHAnsi"/>
                <w:bCs/>
                <w:color w:val="0000E1"/>
              </w:rPr>
            </w:pPr>
            <w:r w:rsidRPr="00767D6A">
              <w:rPr>
                <w:rFonts w:cstheme="minorHAnsi"/>
                <w:bCs/>
                <w:color w:val="0000E1"/>
              </w:rPr>
              <w:t>Minimum</w:t>
            </w:r>
          </w:p>
        </w:tc>
        <w:tc>
          <w:tcPr>
            <w:tcW w:w="1281" w:type="dxa"/>
            <w:tcBorders>
              <w:top w:val="single" w:sz="4" w:space="0" w:color="auto"/>
              <w:left w:val="single" w:sz="4" w:space="0" w:color="auto"/>
              <w:bottom w:val="single" w:sz="4" w:space="0" w:color="auto"/>
              <w:right w:val="single" w:sz="4" w:space="0" w:color="auto"/>
            </w:tcBorders>
            <w:vAlign w:val="center"/>
          </w:tcPr>
          <w:p w14:paraId="1C6B4209" w14:textId="77777777" w:rsidR="003D35D3" w:rsidRPr="00767D6A" w:rsidRDefault="003D35D3" w:rsidP="00AE2BC8">
            <w:pPr>
              <w:autoSpaceDE w:val="0"/>
              <w:autoSpaceDN w:val="0"/>
              <w:adjustRightInd w:val="0"/>
              <w:jc w:val="right"/>
              <w:rPr>
                <w:rFonts w:cstheme="minorHAnsi"/>
                <w:bCs/>
                <w:color w:val="0000E1"/>
              </w:rPr>
            </w:pPr>
            <w:r w:rsidRPr="00767D6A">
              <w:rPr>
                <w:rFonts w:cstheme="minorHAnsi"/>
                <w:color w:val="0000E1"/>
              </w:rPr>
              <w:t>0.2161</w:t>
            </w:r>
          </w:p>
        </w:tc>
        <w:tc>
          <w:tcPr>
            <w:tcW w:w="1271" w:type="dxa"/>
            <w:tcBorders>
              <w:top w:val="single" w:sz="4" w:space="0" w:color="auto"/>
              <w:left w:val="single" w:sz="4" w:space="0" w:color="auto"/>
              <w:bottom w:val="single" w:sz="4" w:space="0" w:color="auto"/>
              <w:right w:val="single" w:sz="4" w:space="0" w:color="auto"/>
            </w:tcBorders>
            <w:vAlign w:val="center"/>
          </w:tcPr>
          <w:p w14:paraId="59D123AB" w14:textId="77777777" w:rsidR="003D35D3" w:rsidRPr="00767D6A" w:rsidRDefault="003D35D3" w:rsidP="00AE2BC8">
            <w:pPr>
              <w:autoSpaceDE w:val="0"/>
              <w:autoSpaceDN w:val="0"/>
              <w:adjustRightInd w:val="0"/>
              <w:jc w:val="right"/>
              <w:rPr>
                <w:rFonts w:eastAsia="Times New Roman" w:cstheme="minorHAnsi"/>
                <w:color w:val="0000E1"/>
              </w:rPr>
            </w:pPr>
            <w:r w:rsidRPr="00767D6A">
              <w:rPr>
                <w:rFonts w:cstheme="minorHAnsi"/>
                <w:color w:val="0000E1"/>
              </w:rPr>
              <w:t>0.2664</w:t>
            </w:r>
          </w:p>
        </w:tc>
        <w:tc>
          <w:tcPr>
            <w:tcW w:w="1404" w:type="dxa"/>
            <w:tcBorders>
              <w:top w:val="single" w:sz="4" w:space="0" w:color="auto"/>
              <w:left w:val="single" w:sz="4" w:space="0" w:color="auto"/>
              <w:bottom w:val="single" w:sz="4" w:space="0" w:color="auto"/>
              <w:right w:val="single" w:sz="4" w:space="0" w:color="auto"/>
            </w:tcBorders>
            <w:vAlign w:val="center"/>
          </w:tcPr>
          <w:p w14:paraId="47522D23" w14:textId="77777777" w:rsidR="003D35D3" w:rsidRPr="00767D6A" w:rsidRDefault="003D35D3" w:rsidP="00AE2BC8">
            <w:pPr>
              <w:autoSpaceDE w:val="0"/>
              <w:autoSpaceDN w:val="0"/>
              <w:adjustRightInd w:val="0"/>
              <w:jc w:val="right"/>
              <w:rPr>
                <w:rFonts w:cstheme="minorHAnsi"/>
                <w:bCs/>
                <w:color w:val="0000E1"/>
              </w:rPr>
            </w:pPr>
            <w:r w:rsidRPr="00767D6A">
              <w:rPr>
                <w:rFonts w:cstheme="minorHAnsi"/>
                <w:color w:val="0000E1"/>
              </w:rPr>
              <w:t>0.3321</w:t>
            </w:r>
          </w:p>
        </w:tc>
        <w:tc>
          <w:tcPr>
            <w:tcW w:w="1139" w:type="dxa"/>
            <w:tcBorders>
              <w:top w:val="single" w:sz="4" w:space="0" w:color="auto"/>
              <w:left w:val="single" w:sz="4" w:space="0" w:color="auto"/>
              <w:bottom w:val="single" w:sz="4" w:space="0" w:color="auto"/>
              <w:right w:val="single" w:sz="4" w:space="0" w:color="auto"/>
            </w:tcBorders>
            <w:vAlign w:val="center"/>
          </w:tcPr>
          <w:p w14:paraId="369A85A3" w14:textId="77777777" w:rsidR="003D35D3" w:rsidRPr="00767D6A" w:rsidRDefault="003D35D3" w:rsidP="00AE2BC8">
            <w:pPr>
              <w:autoSpaceDE w:val="0"/>
              <w:autoSpaceDN w:val="0"/>
              <w:adjustRightInd w:val="0"/>
              <w:jc w:val="right"/>
              <w:rPr>
                <w:color w:val="0000E1"/>
              </w:rPr>
            </w:pPr>
            <w:r w:rsidRPr="00767D6A">
              <w:rPr>
                <w:color w:val="0000E1"/>
              </w:rPr>
              <w:t>0.6207</w:t>
            </w:r>
          </w:p>
        </w:tc>
        <w:tc>
          <w:tcPr>
            <w:tcW w:w="1138" w:type="dxa"/>
            <w:tcBorders>
              <w:top w:val="single" w:sz="4" w:space="0" w:color="auto"/>
              <w:left w:val="single" w:sz="4" w:space="0" w:color="auto"/>
              <w:bottom w:val="single" w:sz="4" w:space="0" w:color="auto"/>
              <w:right w:val="single" w:sz="4" w:space="0" w:color="auto"/>
            </w:tcBorders>
            <w:vAlign w:val="center"/>
          </w:tcPr>
          <w:p w14:paraId="61058399" w14:textId="77777777" w:rsidR="003D35D3" w:rsidRPr="00767D6A" w:rsidRDefault="003D35D3" w:rsidP="00AE2BC8">
            <w:pPr>
              <w:autoSpaceDE w:val="0"/>
              <w:autoSpaceDN w:val="0"/>
              <w:adjustRightInd w:val="0"/>
              <w:jc w:val="right"/>
              <w:rPr>
                <w:color w:val="0000E1"/>
              </w:rPr>
            </w:pPr>
            <w:r w:rsidRPr="00767D6A">
              <w:rPr>
                <w:color w:val="0000E1"/>
              </w:rPr>
              <w:t>0.5587</w:t>
            </w:r>
          </w:p>
        </w:tc>
        <w:tc>
          <w:tcPr>
            <w:tcW w:w="1144" w:type="dxa"/>
            <w:tcBorders>
              <w:top w:val="single" w:sz="4" w:space="0" w:color="auto"/>
              <w:left w:val="single" w:sz="4" w:space="0" w:color="auto"/>
              <w:bottom w:val="single" w:sz="4" w:space="0" w:color="auto"/>
              <w:right w:val="single" w:sz="4" w:space="0" w:color="auto"/>
            </w:tcBorders>
            <w:vAlign w:val="center"/>
          </w:tcPr>
          <w:p w14:paraId="2B966611" w14:textId="77777777" w:rsidR="003D35D3" w:rsidRPr="00767D6A" w:rsidRDefault="003D35D3" w:rsidP="00AE2BC8">
            <w:pPr>
              <w:autoSpaceDE w:val="0"/>
              <w:autoSpaceDN w:val="0"/>
              <w:adjustRightInd w:val="0"/>
              <w:jc w:val="right"/>
              <w:rPr>
                <w:color w:val="0000E1"/>
              </w:rPr>
            </w:pPr>
            <w:r w:rsidRPr="00767D6A">
              <w:rPr>
                <w:color w:val="0000E1"/>
              </w:rPr>
              <w:t>0.5763</w:t>
            </w:r>
          </w:p>
        </w:tc>
      </w:tr>
      <w:tr w:rsidR="00767D6A" w:rsidRPr="00767D6A" w14:paraId="73D207E6" w14:textId="77777777" w:rsidTr="00AE2BC8">
        <w:trPr>
          <w:trHeight w:val="250"/>
          <w:jc w:val="center"/>
        </w:trPr>
        <w:tc>
          <w:tcPr>
            <w:tcW w:w="1973" w:type="dxa"/>
            <w:tcBorders>
              <w:top w:val="single" w:sz="4" w:space="0" w:color="auto"/>
              <w:left w:val="single" w:sz="4" w:space="0" w:color="auto"/>
              <w:bottom w:val="single" w:sz="4" w:space="0" w:color="auto"/>
              <w:right w:val="single" w:sz="4" w:space="0" w:color="auto"/>
            </w:tcBorders>
            <w:hideMark/>
          </w:tcPr>
          <w:p w14:paraId="113C9C86" w14:textId="77777777" w:rsidR="003D35D3" w:rsidRPr="00767D6A" w:rsidRDefault="003D35D3" w:rsidP="003D35D3">
            <w:pPr>
              <w:autoSpaceDE w:val="0"/>
              <w:autoSpaceDN w:val="0"/>
              <w:adjustRightInd w:val="0"/>
              <w:rPr>
                <w:rFonts w:cstheme="minorHAnsi"/>
                <w:bCs/>
                <w:color w:val="0000E1"/>
              </w:rPr>
            </w:pPr>
            <w:r w:rsidRPr="00767D6A">
              <w:rPr>
                <w:rFonts w:cstheme="minorHAnsi"/>
                <w:bCs/>
                <w:color w:val="0000E1"/>
              </w:rPr>
              <w:t>25</w:t>
            </w:r>
            <w:r w:rsidRPr="00767D6A">
              <w:rPr>
                <w:rFonts w:cstheme="minorHAnsi"/>
                <w:bCs/>
                <w:color w:val="0000E1"/>
                <w:vertAlign w:val="superscript"/>
              </w:rPr>
              <w:t>th</w:t>
            </w:r>
            <w:r w:rsidRPr="00767D6A">
              <w:rPr>
                <w:rFonts w:cstheme="minorHAnsi"/>
                <w:bCs/>
                <w:color w:val="0000E1"/>
              </w:rPr>
              <w:t xml:space="preserve"> Percentile</w:t>
            </w:r>
          </w:p>
        </w:tc>
        <w:tc>
          <w:tcPr>
            <w:tcW w:w="1281" w:type="dxa"/>
            <w:tcBorders>
              <w:top w:val="single" w:sz="4" w:space="0" w:color="auto"/>
              <w:left w:val="single" w:sz="4" w:space="0" w:color="auto"/>
              <w:bottom w:val="single" w:sz="4" w:space="0" w:color="auto"/>
              <w:right w:val="single" w:sz="4" w:space="0" w:color="auto"/>
            </w:tcBorders>
            <w:vAlign w:val="center"/>
          </w:tcPr>
          <w:p w14:paraId="5D4D6864" w14:textId="77777777" w:rsidR="003D35D3" w:rsidRPr="00767D6A" w:rsidRDefault="003D35D3" w:rsidP="00AE2BC8">
            <w:pPr>
              <w:autoSpaceDE w:val="0"/>
              <w:autoSpaceDN w:val="0"/>
              <w:adjustRightInd w:val="0"/>
              <w:jc w:val="right"/>
              <w:rPr>
                <w:rFonts w:cstheme="minorHAnsi"/>
                <w:bCs/>
                <w:color w:val="0000E1"/>
              </w:rPr>
            </w:pPr>
            <w:r w:rsidRPr="00767D6A">
              <w:rPr>
                <w:rFonts w:cstheme="minorHAnsi"/>
                <w:color w:val="0000E1"/>
              </w:rPr>
              <w:t>0.7747</w:t>
            </w:r>
          </w:p>
        </w:tc>
        <w:tc>
          <w:tcPr>
            <w:tcW w:w="1271" w:type="dxa"/>
            <w:tcBorders>
              <w:top w:val="single" w:sz="4" w:space="0" w:color="auto"/>
              <w:left w:val="single" w:sz="4" w:space="0" w:color="auto"/>
              <w:bottom w:val="single" w:sz="4" w:space="0" w:color="auto"/>
              <w:right w:val="single" w:sz="4" w:space="0" w:color="auto"/>
            </w:tcBorders>
            <w:vAlign w:val="center"/>
          </w:tcPr>
          <w:p w14:paraId="7DAAA881" w14:textId="77777777" w:rsidR="003D35D3" w:rsidRPr="00767D6A" w:rsidRDefault="003D35D3" w:rsidP="00AE2BC8">
            <w:pPr>
              <w:autoSpaceDE w:val="0"/>
              <w:autoSpaceDN w:val="0"/>
              <w:adjustRightInd w:val="0"/>
              <w:jc w:val="right"/>
              <w:rPr>
                <w:rFonts w:eastAsia="Times New Roman" w:cstheme="minorHAnsi"/>
                <w:color w:val="0000E1"/>
              </w:rPr>
            </w:pPr>
            <w:r w:rsidRPr="00767D6A">
              <w:rPr>
                <w:rFonts w:cstheme="minorHAnsi"/>
                <w:color w:val="0000E1"/>
              </w:rPr>
              <w:t>0.8768</w:t>
            </w:r>
          </w:p>
        </w:tc>
        <w:tc>
          <w:tcPr>
            <w:tcW w:w="1404" w:type="dxa"/>
            <w:tcBorders>
              <w:top w:val="single" w:sz="4" w:space="0" w:color="auto"/>
              <w:left w:val="single" w:sz="4" w:space="0" w:color="auto"/>
              <w:bottom w:val="single" w:sz="4" w:space="0" w:color="auto"/>
              <w:right w:val="single" w:sz="4" w:space="0" w:color="auto"/>
            </w:tcBorders>
            <w:vAlign w:val="center"/>
          </w:tcPr>
          <w:p w14:paraId="170F5773" w14:textId="77777777" w:rsidR="003D35D3" w:rsidRPr="00767D6A" w:rsidRDefault="003D35D3" w:rsidP="00AE2BC8">
            <w:pPr>
              <w:autoSpaceDE w:val="0"/>
              <w:autoSpaceDN w:val="0"/>
              <w:adjustRightInd w:val="0"/>
              <w:jc w:val="right"/>
              <w:rPr>
                <w:rFonts w:cstheme="minorHAnsi"/>
                <w:bCs/>
                <w:color w:val="0000E1"/>
              </w:rPr>
            </w:pPr>
            <w:r w:rsidRPr="00767D6A">
              <w:rPr>
                <w:rFonts w:cstheme="minorHAnsi"/>
                <w:color w:val="0000E1"/>
              </w:rPr>
              <w:t>0.9025</w:t>
            </w:r>
          </w:p>
        </w:tc>
        <w:tc>
          <w:tcPr>
            <w:tcW w:w="1139" w:type="dxa"/>
            <w:tcBorders>
              <w:top w:val="single" w:sz="4" w:space="0" w:color="auto"/>
              <w:left w:val="single" w:sz="4" w:space="0" w:color="auto"/>
              <w:bottom w:val="single" w:sz="4" w:space="0" w:color="auto"/>
              <w:right w:val="single" w:sz="4" w:space="0" w:color="auto"/>
            </w:tcBorders>
            <w:vAlign w:val="center"/>
          </w:tcPr>
          <w:p w14:paraId="429A908C" w14:textId="77777777" w:rsidR="003D35D3" w:rsidRPr="00767D6A" w:rsidRDefault="003D35D3" w:rsidP="00AE2BC8">
            <w:pPr>
              <w:autoSpaceDE w:val="0"/>
              <w:autoSpaceDN w:val="0"/>
              <w:adjustRightInd w:val="0"/>
              <w:jc w:val="right"/>
              <w:rPr>
                <w:color w:val="0000E1"/>
              </w:rPr>
            </w:pPr>
            <w:r w:rsidRPr="00767D6A">
              <w:rPr>
                <w:color w:val="0000E1"/>
              </w:rPr>
              <w:t>0.8903</w:t>
            </w:r>
          </w:p>
        </w:tc>
        <w:tc>
          <w:tcPr>
            <w:tcW w:w="1138" w:type="dxa"/>
            <w:tcBorders>
              <w:top w:val="single" w:sz="4" w:space="0" w:color="auto"/>
              <w:left w:val="single" w:sz="4" w:space="0" w:color="auto"/>
              <w:bottom w:val="single" w:sz="4" w:space="0" w:color="auto"/>
              <w:right w:val="single" w:sz="4" w:space="0" w:color="auto"/>
            </w:tcBorders>
            <w:vAlign w:val="center"/>
          </w:tcPr>
          <w:p w14:paraId="3EA8266C" w14:textId="77777777" w:rsidR="003D35D3" w:rsidRPr="00767D6A" w:rsidRDefault="003D35D3" w:rsidP="00AE2BC8">
            <w:pPr>
              <w:autoSpaceDE w:val="0"/>
              <w:autoSpaceDN w:val="0"/>
              <w:adjustRightInd w:val="0"/>
              <w:jc w:val="right"/>
              <w:rPr>
                <w:color w:val="0000E1"/>
              </w:rPr>
            </w:pPr>
            <w:r w:rsidRPr="00767D6A">
              <w:rPr>
                <w:color w:val="0000E1"/>
              </w:rPr>
              <w:t>0.9262</w:t>
            </w:r>
          </w:p>
        </w:tc>
        <w:tc>
          <w:tcPr>
            <w:tcW w:w="1144" w:type="dxa"/>
            <w:tcBorders>
              <w:top w:val="single" w:sz="4" w:space="0" w:color="auto"/>
              <w:left w:val="single" w:sz="4" w:space="0" w:color="auto"/>
              <w:bottom w:val="single" w:sz="4" w:space="0" w:color="auto"/>
              <w:right w:val="single" w:sz="4" w:space="0" w:color="auto"/>
            </w:tcBorders>
            <w:vAlign w:val="center"/>
          </w:tcPr>
          <w:p w14:paraId="53D6D5B9" w14:textId="77777777" w:rsidR="003D35D3" w:rsidRPr="00767D6A" w:rsidRDefault="003D35D3" w:rsidP="00AE2BC8">
            <w:pPr>
              <w:autoSpaceDE w:val="0"/>
              <w:autoSpaceDN w:val="0"/>
              <w:adjustRightInd w:val="0"/>
              <w:jc w:val="right"/>
              <w:rPr>
                <w:color w:val="0000E1"/>
              </w:rPr>
            </w:pPr>
            <w:r w:rsidRPr="00767D6A">
              <w:rPr>
                <w:color w:val="0000E1"/>
              </w:rPr>
              <w:t>0.9260</w:t>
            </w:r>
          </w:p>
        </w:tc>
      </w:tr>
      <w:tr w:rsidR="00767D6A" w:rsidRPr="00767D6A" w14:paraId="6A6A008C" w14:textId="77777777" w:rsidTr="00AE2BC8">
        <w:trPr>
          <w:trHeight w:val="250"/>
          <w:jc w:val="center"/>
        </w:trPr>
        <w:tc>
          <w:tcPr>
            <w:tcW w:w="1973" w:type="dxa"/>
            <w:tcBorders>
              <w:top w:val="single" w:sz="4" w:space="0" w:color="auto"/>
              <w:left w:val="single" w:sz="4" w:space="0" w:color="auto"/>
              <w:bottom w:val="single" w:sz="4" w:space="0" w:color="auto"/>
              <w:right w:val="single" w:sz="4" w:space="0" w:color="auto"/>
            </w:tcBorders>
            <w:hideMark/>
          </w:tcPr>
          <w:p w14:paraId="5B85FFC2" w14:textId="77777777" w:rsidR="003D35D3" w:rsidRPr="00767D6A" w:rsidRDefault="003D35D3" w:rsidP="003D35D3">
            <w:pPr>
              <w:autoSpaceDE w:val="0"/>
              <w:autoSpaceDN w:val="0"/>
              <w:adjustRightInd w:val="0"/>
              <w:rPr>
                <w:rFonts w:cstheme="minorHAnsi"/>
                <w:bCs/>
                <w:color w:val="0000E1"/>
              </w:rPr>
            </w:pPr>
            <w:r w:rsidRPr="00767D6A">
              <w:rPr>
                <w:rFonts w:cstheme="minorHAnsi"/>
                <w:bCs/>
                <w:color w:val="0000E1"/>
              </w:rPr>
              <w:t>50</w:t>
            </w:r>
            <w:r w:rsidRPr="00767D6A">
              <w:rPr>
                <w:rFonts w:cstheme="minorHAnsi"/>
                <w:bCs/>
                <w:color w:val="0000E1"/>
                <w:vertAlign w:val="superscript"/>
              </w:rPr>
              <w:t>th</w:t>
            </w:r>
            <w:r w:rsidRPr="00767D6A">
              <w:rPr>
                <w:rFonts w:cstheme="minorHAnsi"/>
                <w:bCs/>
                <w:color w:val="0000E1"/>
              </w:rPr>
              <w:t xml:space="preserve"> Percentile</w:t>
            </w:r>
          </w:p>
        </w:tc>
        <w:tc>
          <w:tcPr>
            <w:tcW w:w="1281" w:type="dxa"/>
            <w:tcBorders>
              <w:top w:val="single" w:sz="4" w:space="0" w:color="auto"/>
              <w:left w:val="single" w:sz="4" w:space="0" w:color="auto"/>
              <w:bottom w:val="single" w:sz="4" w:space="0" w:color="auto"/>
              <w:right w:val="single" w:sz="4" w:space="0" w:color="auto"/>
            </w:tcBorders>
            <w:vAlign w:val="center"/>
          </w:tcPr>
          <w:p w14:paraId="3EB1A366" w14:textId="77777777" w:rsidR="003D35D3" w:rsidRPr="00767D6A" w:rsidRDefault="003D35D3" w:rsidP="00AE2BC8">
            <w:pPr>
              <w:autoSpaceDE w:val="0"/>
              <w:autoSpaceDN w:val="0"/>
              <w:adjustRightInd w:val="0"/>
              <w:jc w:val="right"/>
              <w:rPr>
                <w:rFonts w:cstheme="minorHAnsi"/>
                <w:bCs/>
                <w:color w:val="0000E1"/>
              </w:rPr>
            </w:pPr>
            <w:r w:rsidRPr="00767D6A">
              <w:rPr>
                <w:rFonts w:cstheme="minorHAnsi"/>
                <w:color w:val="0000E1"/>
              </w:rPr>
              <w:t>0.9316</w:t>
            </w:r>
          </w:p>
        </w:tc>
        <w:tc>
          <w:tcPr>
            <w:tcW w:w="1271" w:type="dxa"/>
            <w:tcBorders>
              <w:top w:val="single" w:sz="4" w:space="0" w:color="auto"/>
              <w:left w:val="single" w:sz="4" w:space="0" w:color="auto"/>
              <w:bottom w:val="single" w:sz="4" w:space="0" w:color="auto"/>
              <w:right w:val="single" w:sz="4" w:space="0" w:color="auto"/>
            </w:tcBorders>
            <w:vAlign w:val="center"/>
          </w:tcPr>
          <w:p w14:paraId="3FD64570" w14:textId="77777777" w:rsidR="003D35D3" w:rsidRPr="00767D6A" w:rsidRDefault="003D35D3" w:rsidP="00AE2BC8">
            <w:pPr>
              <w:autoSpaceDE w:val="0"/>
              <w:autoSpaceDN w:val="0"/>
              <w:adjustRightInd w:val="0"/>
              <w:jc w:val="right"/>
              <w:rPr>
                <w:rFonts w:eastAsia="Times New Roman" w:cstheme="minorHAnsi"/>
                <w:color w:val="0000E1"/>
              </w:rPr>
            </w:pPr>
            <w:r w:rsidRPr="00767D6A">
              <w:rPr>
                <w:rFonts w:cstheme="minorHAnsi"/>
                <w:color w:val="0000E1"/>
              </w:rPr>
              <w:t>0.9724</w:t>
            </w:r>
          </w:p>
        </w:tc>
        <w:tc>
          <w:tcPr>
            <w:tcW w:w="1404" w:type="dxa"/>
            <w:tcBorders>
              <w:top w:val="single" w:sz="4" w:space="0" w:color="auto"/>
              <w:left w:val="single" w:sz="4" w:space="0" w:color="auto"/>
              <w:bottom w:val="single" w:sz="4" w:space="0" w:color="auto"/>
              <w:right w:val="single" w:sz="4" w:space="0" w:color="auto"/>
            </w:tcBorders>
            <w:vAlign w:val="center"/>
          </w:tcPr>
          <w:p w14:paraId="1A32BB2C" w14:textId="77777777" w:rsidR="003D35D3" w:rsidRPr="00767D6A" w:rsidRDefault="003D35D3" w:rsidP="00AE2BC8">
            <w:pPr>
              <w:autoSpaceDE w:val="0"/>
              <w:autoSpaceDN w:val="0"/>
              <w:adjustRightInd w:val="0"/>
              <w:jc w:val="right"/>
              <w:rPr>
                <w:rFonts w:cstheme="minorHAnsi"/>
                <w:bCs/>
                <w:color w:val="0000E1"/>
              </w:rPr>
            </w:pPr>
            <w:r w:rsidRPr="00767D6A">
              <w:rPr>
                <w:rFonts w:cstheme="minorHAnsi"/>
                <w:color w:val="0000E1"/>
              </w:rPr>
              <w:t>0.9793</w:t>
            </w:r>
          </w:p>
        </w:tc>
        <w:tc>
          <w:tcPr>
            <w:tcW w:w="1139" w:type="dxa"/>
            <w:tcBorders>
              <w:top w:val="single" w:sz="4" w:space="0" w:color="auto"/>
              <w:left w:val="single" w:sz="4" w:space="0" w:color="auto"/>
              <w:bottom w:val="single" w:sz="4" w:space="0" w:color="auto"/>
              <w:right w:val="single" w:sz="4" w:space="0" w:color="auto"/>
            </w:tcBorders>
            <w:vAlign w:val="center"/>
          </w:tcPr>
          <w:p w14:paraId="27434687" w14:textId="77777777" w:rsidR="003D35D3" w:rsidRPr="00767D6A" w:rsidRDefault="003D35D3" w:rsidP="00AE2BC8">
            <w:pPr>
              <w:autoSpaceDE w:val="0"/>
              <w:autoSpaceDN w:val="0"/>
              <w:adjustRightInd w:val="0"/>
              <w:jc w:val="right"/>
              <w:rPr>
                <w:color w:val="0000E1"/>
              </w:rPr>
            </w:pPr>
            <w:r w:rsidRPr="00767D6A">
              <w:rPr>
                <w:color w:val="0000E1"/>
              </w:rPr>
              <w:t>0.9655</w:t>
            </w:r>
          </w:p>
        </w:tc>
        <w:tc>
          <w:tcPr>
            <w:tcW w:w="1138" w:type="dxa"/>
            <w:tcBorders>
              <w:top w:val="single" w:sz="4" w:space="0" w:color="auto"/>
              <w:left w:val="single" w:sz="4" w:space="0" w:color="auto"/>
              <w:bottom w:val="single" w:sz="4" w:space="0" w:color="auto"/>
              <w:right w:val="single" w:sz="4" w:space="0" w:color="auto"/>
            </w:tcBorders>
            <w:vAlign w:val="center"/>
          </w:tcPr>
          <w:p w14:paraId="5AF55DB7" w14:textId="77777777" w:rsidR="003D35D3" w:rsidRPr="00767D6A" w:rsidRDefault="003D35D3" w:rsidP="00AE2BC8">
            <w:pPr>
              <w:autoSpaceDE w:val="0"/>
              <w:autoSpaceDN w:val="0"/>
              <w:adjustRightInd w:val="0"/>
              <w:jc w:val="right"/>
              <w:rPr>
                <w:color w:val="0000E1"/>
              </w:rPr>
            </w:pPr>
            <w:r w:rsidRPr="00767D6A">
              <w:rPr>
                <w:color w:val="0000E1"/>
              </w:rPr>
              <w:t>0.9798</w:t>
            </w:r>
          </w:p>
        </w:tc>
        <w:tc>
          <w:tcPr>
            <w:tcW w:w="1144" w:type="dxa"/>
            <w:tcBorders>
              <w:top w:val="single" w:sz="4" w:space="0" w:color="auto"/>
              <w:left w:val="single" w:sz="4" w:space="0" w:color="auto"/>
              <w:bottom w:val="single" w:sz="4" w:space="0" w:color="auto"/>
              <w:right w:val="single" w:sz="4" w:space="0" w:color="auto"/>
            </w:tcBorders>
            <w:vAlign w:val="center"/>
          </w:tcPr>
          <w:p w14:paraId="121929EC" w14:textId="77777777" w:rsidR="003D35D3" w:rsidRPr="00767D6A" w:rsidRDefault="003D35D3" w:rsidP="00AE2BC8">
            <w:pPr>
              <w:autoSpaceDE w:val="0"/>
              <w:autoSpaceDN w:val="0"/>
              <w:adjustRightInd w:val="0"/>
              <w:jc w:val="right"/>
              <w:rPr>
                <w:color w:val="0000E1"/>
              </w:rPr>
            </w:pPr>
            <w:r w:rsidRPr="00767D6A">
              <w:rPr>
                <w:color w:val="0000E1"/>
              </w:rPr>
              <w:t>0.9781</w:t>
            </w:r>
          </w:p>
        </w:tc>
      </w:tr>
      <w:tr w:rsidR="00767D6A" w:rsidRPr="00767D6A" w14:paraId="5644EFDF" w14:textId="77777777" w:rsidTr="00AE2BC8">
        <w:trPr>
          <w:trHeight w:val="250"/>
          <w:jc w:val="center"/>
        </w:trPr>
        <w:tc>
          <w:tcPr>
            <w:tcW w:w="1973" w:type="dxa"/>
            <w:tcBorders>
              <w:top w:val="single" w:sz="4" w:space="0" w:color="auto"/>
              <w:left w:val="single" w:sz="4" w:space="0" w:color="auto"/>
              <w:bottom w:val="single" w:sz="4" w:space="0" w:color="auto"/>
              <w:right w:val="single" w:sz="4" w:space="0" w:color="auto"/>
            </w:tcBorders>
            <w:hideMark/>
          </w:tcPr>
          <w:p w14:paraId="7FA3F570" w14:textId="77777777" w:rsidR="003D35D3" w:rsidRPr="00767D6A" w:rsidRDefault="003D35D3" w:rsidP="003D35D3">
            <w:pPr>
              <w:autoSpaceDE w:val="0"/>
              <w:autoSpaceDN w:val="0"/>
              <w:adjustRightInd w:val="0"/>
              <w:rPr>
                <w:rFonts w:cstheme="minorHAnsi"/>
                <w:bCs/>
                <w:color w:val="0000E1"/>
              </w:rPr>
            </w:pPr>
            <w:r w:rsidRPr="00767D6A">
              <w:rPr>
                <w:rFonts w:cstheme="minorHAnsi"/>
                <w:bCs/>
                <w:color w:val="0000E1"/>
              </w:rPr>
              <w:t>75</w:t>
            </w:r>
            <w:r w:rsidRPr="00767D6A">
              <w:rPr>
                <w:rFonts w:cstheme="minorHAnsi"/>
                <w:bCs/>
                <w:color w:val="0000E1"/>
                <w:vertAlign w:val="superscript"/>
              </w:rPr>
              <w:t>th</w:t>
            </w:r>
            <w:r w:rsidRPr="00767D6A">
              <w:rPr>
                <w:rFonts w:cstheme="minorHAnsi"/>
                <w:bCs/>
                <w:color w:val="0000E1"/>
              </w:rPr>
              <w:t xml:space="preserve"> Percentile</w:t>
            </w:r>
          </w:p>
        </w:tc>
        <w:tc>
          <w:tcPr>
            <w:tcW w:w="1281" w:type="dxa"/>
            <w:tcBorders>
              <w:top w:val="single" w:sz="4" w:space="0" w:color="auto"/>
              <w:left w:val="single" w:sz="4" w:space="0" w:color="auto"/>
              <w:bottom w:val="single" w:sz="4" w:space="0" w:color="auto"/>
              <w:right w:val="single" w:sz="4" w:space="0" w:color="auto"/>
            </w:tcBorders>
            <w:vAlign w:val="center"/>
          </w:tcPr>
          <w:p w14:paraId="500BD02F" w14:textId="77777777" w:rsidR="003D35D3" w:rsidRPr="00767D6A" w:rsidRDefault="003D35D3" w:rsidP="00AE2BC8">
            <w:pPr>
              <w:autoSpaceDE w:val="0"/>
              <w:autoSpaceDN w:val="0"/>
              <w:adjustRightInd w:val="0"/>
              <w:jc w:val="right"/>
              <w:rPr>
                <w:rFonts w:cstheme="minorHAnsi"/>
                <w:bCs/>
                <w:color w:val="0000E1"/>
              </w:rPr>
            </w:pPr>
            <w:r w:rsidRPr="00767D6A">
              <w:rPr>
                <w:rFonts w:cstheme="minorHAnsi"/>
                <w:color w:val="0000E1"/>
              </w:rPr>
              <w:t>0.9792</w:t>
            </w:r>
          </w:p>
        </w:tc>
        <w:tc>
          <w:tcPr>
            <w:tcW w:w="1271" w:type="dxa"/>
            <w:tcBorders>
              <w:top w:val="single" w:sz="4" w:space="0" w:color="auto"/>
              <w:left w:val="single" w:sz="4" w:space="0" w:color="auto"/>
              <w:bottom w:val="single" w:sz="4" w:space="0" w:color="auto"/>
              <w:right w:val="single" w:sz="4" w:space="0" w:color="auto"/>
            </w:tcBorders>
            <w:vAlign w:val="center"/>
          </w:tcPr>
          <w:p w14:paraId="703E76B5" w14:textId="77777777" w:rsidR="003D35D3" w:rsidRPr="00767D6A" w:rsidRDefault="003D35D3" w:rsidP="00AE2BC8">
            <w:pPr>
              <w:autoSpaceDE w:val="0"/>
              <w:autoSpaceDN w:val="0"/>
              <w:adjustRightInd w:val="0"/>
              <w:jc w:val="right"/>
              <w:rPr>
                <w:rFonts w:eastAsia="Times New Roman" w:cstheme="minorHAnsi"/>
                <w:color w:val="0000E1"/>
              </w:rPr>
            </w:pPr>
            <w:r w:rsidRPr="00767D6A">
              <w:rPr>
                <w:rFonts w:cstheme="minorHAnsi"/>
                <w:color w:val="0000E1"/>
              </w:rPr>
              <w:t>0.9941</w:t>
            </w:r>
          </w:p>
        </w:tc>
        <w:tc>
          <w:tcPr>
            <w:tcW w:w="1404" w:type="dxa"/>
            <w:tcBorders>
              <w:top w:val="single" w:sz="4" w:space="0" w:color="auto"/>
              <w:left w:val="single" w:sz="4" w:space="0" w:color="auto"/>
              <w:bottom w:val="single" w:sz="4" w:space="0" w:color="auto"/>
              <w:right w:val="single" w:sz="4" w:space="0" w:color="auto"/>
            </w:tcBorders>
            <w:vAlign w:val="center"/>
          </w:tcPr>
          <w:p w14:paraId="275D0394" w14:textId="77777777" w:rsidR="003D35D3" w:rsidRPr="00767D6A" w:rsidRDefault="003D35D3" w:rsidP="00AE2BC8">
            <w:pPr>
              <w:autoSpaceDE w:val="0"/>
              <w:autoSpaceDN w:val="0"/>
              <w:adjustRightInd w:val="0"/>
              <w:jc w:val="right"/>
              <w:rPr>
                <w:rFonts w:cstheme="minorHAnsi"/>
                <w:bCs/>
                <w:color w:val="0000E1"/>
              </w:rPr>
            </w:pPr>
            <w:r w:rsidRPr="00767D6A">
              <w:rPr>
                <w:rFonts w:cstheme="minorHAnsi"/>
                <w:color w:val="0000E1"/>
              </w:rPr>
              <w:t>0.9951</w:t>
            </w:r>
          </w:p>
        </w:tc>
        <w:tc>
          <w:tcPr>
            <w:tcW w:w="1139" w:type="dxa"/>
            <w:tcBorders>
              <w:top w:val="single" w:sz="4" w:space="0" w:color="auto"/>
              <w:left w:val="single" w:sz="4" w:space="0" w:color="auto"/>
              <w:bottom w:val="single" w:sz="4" w:space="0" w:color="auto"/>
              <w:right w:val="single" w:sz="4" w:space="0" w:color="auto"/>
            </w:tcBorders>
            <w:vAlign w:val="center"/>
          </w:tcPr>
          <w:p w14:paraId="365F0821" w14:textId="77777777" w:rsidR="003D35D3" w:rsidRPr="00767D6A" w:rsidRDefault="003D35D3" w:rsidP="00AE2BC8">
            <w:pPr>
              <w:autoSpaceDE w:val="0"/>
              <w:autoSpaceDN w:val="0"/>
              <w:adjustRightInd w:val="0"/>
              <w:jc w:val="right"/>
              <w:rPr>
                <w:color w:val="0000E1"/>
              </w:rPr>
            </w:pPr>
            <w:r w:rsidRPr="00767D6A">
              <w:rPr>
                <w:color w:val="0000E1"/>
              </w:rPr>
              <w:t>0.9879</w:t>
            </w:r>
          </w:p>
        </w:tc>
        <w:tc>
          <w:tcPr>
            <w:tcW w:w="1138" w:type="dxa"/>
            <w:tcBorders>
              <w:top w:val="single" w:sz="4" w:space="0" w:color="auto"/>
              <w:left w:val="single" w:sz="4" w:space="0" w:color="auto"/>
              <w:bottom w:val="single" w:sz="4" w:space="0" w:color="auto"/>
              <w:right w:val="single" w:sz="4" w:space="0" w:color="auto"/>
            </w:tcBorders>
            <w:vAlign w:val="center"/>
          </w:tcPr>
          <w:p w14:paraId="76C798C6" w14:textId="77777777" w:rsidR="003D35D3" w:rsidRPr="00767D6A" w:rsidRDefault="003D35D3" w:rsidP="00AE2BC8">
            <w:pPr>
              <w:autoSpaceDE w:val="0"/>
              <w:autoSpaceDN w:val="0"/>
              <w:adjustRightInd w:val="0"/>
              <w:jc w:val="right"/>
              <w:rPr>
                <w:color w:val="0000E1"/>
              </w:rPr>
            </w:pPr>
            <w:r w:rsidRPr="00767D6A">
              <w:rPr>
                <w:color w:val="0000E1"/>
              </w:rPr>
              <w:t>0.9938</w:t>
            </w:r>
          </w:p>
        </w:tc>
        <w:tc>
          <w:tcPr>
            <w:tcW w:w="1144" w:type="dxa"/>
            <w:tcBorders>
              <w:top w:val="single" w:sz="4" w:space="0" w:color="auto"/>
              <w:left w:val="single" w:sz="4" w:space="0" w:color="auto"/>
              <w:bottom w:val="single" w:sz="4" w:space="0" w:color="auto"/>
              <w:right w:val="single" w:sz="4" w:space="0" w:color="auto"/>
            </w:tcBorders>
            <w:vAlign w:val="center"/>
          </w:tcPr>
          <w:p w14:paraId="623CEC5F" w14:textId="77777777" w:rsidR="003D35D3" w:rsidRPr="00767D6A" w:rsidRDefault="003D35D3" w:rsidP="00AE2BC8">
            <w:pPr>
              <w:autoSpaceDE w:val="0"/>
              <w:autoSpaceDN w:val="0"/>
              <w:adjustRightInd w:val="0"/>
              <w:jc w:val="right"/>
              <w:rPr>
                <w:color w:val="0000E1"/>
              </w:rPr>
            </w:pPr>
            <w:r w:rsidRPr="00767D6A">
              <w:rPr>
                <w:color w:val="0000E1"/>
              </w:rPr>
              <w:t>0.9933</w:t>
            </w:r>
          </w:p>
        </w:tc>
      </w:tr>
      <w:tr w:rsidR="00767D6A" w:rsidRPr="00767D6A" w14:paraId="4A5EFBA6" w14:textId="77777777" w:rsidTr="00AE2BC8">
        <w:trPr>
          <w:trHeight w:val="261"/>
          <w:jc w:val="center"/>
        </w:trPr>
        <w:tc>
          <w:tcPr>
            <w:tcW w:w="1973" w:type="dxa"/>
            <w:tcBorders>
              <w:top w:val="single" w:sz="4" w:space="0" w:color="auto"/>
              <w:left w:val="single" w:sz="4" w:space="0" w:color="auto"/>
              <w:bottom w:val="single" w:sz="4" w:space="0" w:color="auto"/>
              <w:right w:val="single" w:sz="4" w:space="0" w:color="auto"/>
            </w:tcBorders>
            <w:hideMark/>
          </w:tcPr>
          <w:p w14:paraId="2DB3256A" w14:textId="77777777" w:rsidR="003D35D3" w:rsidRPr="00767D6A" w:rsidRDefault="003D35D3" w:rsidP="003D35D3">
            <w:pPr>
              <w:autoSpaceDE w:val="0"/>
              <w:autoSpaceDN w:val="0"/>
              <w:adjustRightInd w:val="0"/>
              <w:rPr>
                <w:rFonts w:cstheme="minorHAnsi"/>
                <w:bCs/>
                <w:color w:val="0000E1"/>
              </w:rPr>
            </w:pPr>
            <w:r w:rsidRPr="00767D6A">
              <w:rPr>
                <w:rFonts w:cstheme="minorHAnsi"/>
                <w:bCs/>
                <w:color w:val="0000E1"/>
              </w:rPr>
              <w:t>Maximum</w:t>
            </w:r>
          </w:p>
        </w:tc>
        <w:tc>
          <w:tcPr>
            <w:tcW w:w="1281" w:type="dxa"/>
            <w:tcBorders>
              <w:top w:val="single" w:sz="4" w:space="0" w:color="auto"/>
              <w:left w:val="single" w:sz="4" w:space="0" w:color="auto"/>
              <w:bottom w:val="single" w:sz="4" w:space="0" w:color="auto"/>
              <w:right w:val="single" w:sz="4" w:space="0" w:color="auto"/>
            </w:tcBorders>
            <w:vAlign w:val="center"/>
          </w:tcPr>
          <w:p w14:paraId="4CAF2075" w14:textId="77777777" w:rsidR="003D35D3" w:rsidRPr="00767D6A" w:rsidRDefault="003D35D3" w:rsidP="00AE2BC8">
            <w:pPr>
              <w:autoSpaceDE w:val="0"/>
              <w:autoSpaceDN w:val="0"/>
              <w:adjustRightInd w:val="0"/>
              <w:jc w:val="right"/>
              <w:rPr>
                <w:rFonts w:cstheme="minorHAnsi"/>
                <w:bCs/>
                <w:color w:val="0000E1"/>
              </w:rPr>
            </w:pPr>
            <w:r w:rsidRPr="00767D6A">
              <w:rPr>
                <w:rFonts w:cstheme="minorHAnsi"/>
                <w:color w:val="0000E1"/>
              </w:rPr>
              <w:t>0.9998</w:t>
            </w:r>
          </w:p>
        </w:tc>
        <w:tc>
          <w:tcPr>
            <w:tcW w:w="1271" w:type="dxa"/>
            <w:tcBorders>
              <w:top w:val="single" w:sz="4" w:space="0" w:color="auto"/>
              <w:left w:val="single" w:sz="4" w:space="0" w:color="auto"/>
              <w:bottom w:val="single" w:sz="4" w:space="0" w:color="auto"/>
              <w:right w:val="single" w:sz="4" w:space="0" w:color="auto"/>
            </w:tcBorders>
            <w:vAlign w:val="center"/>
          </w:tcPr>
          <w:p w14:paraId="757D173F" w14:textId="77777777" w:rsidR="003D35D3" w:rsidRPr="00767D6A" w:rsidRDefault="003D35D3" w:rsidP="00AE2BC8">
            <w:pPr>
              <w:autoSpaceDE w:val="0"/>
              <w:autoSpaceDN w:val="0"/>
              <w:adjustRightInd w:val="0"/>
              <w:jc w:val="right"/>
              <w:rPr>
                <w:rFonts w:eastAsia="Times New Roman" w:cstheme="minorHAnsi"/>
                <w:color w:val="0000E1"/>
              </w:rPr>
            </w:pPr>
            <w:r w:rsidRPr="00767D6A">
              <w:rPr>
                <w:rFonts w:cstheme="minorHAnsi"/>
                <w:color w:val="0000E1"/>
              </w:rPr>
              <w:t>1.0000</w:t>
            </w:r>
          </w:p>
        </w:tc>
        <w:tc>
          <w:tcPr>
            <w:tcW w:w="1404" w:type="dxa"/>
            <w:tcBorders>
              <w:top w:val="single" w:sz="4" w:space="0" w:color="auto"/>
              <w:left w:val="single" w:sz="4" w:space="0" w:color="auto"/>
              <w:bottom w:val="single" w:sz="4" w:space="0" w:color="auto"/>
              <w:right w:val="single" w:sz="4" w:space="0" w:color="auto"/>
            </w:tcBorders>
            <w:vAlign w:val="center"/>
          </w:tcPr>
          <w:p w14:paraId="5AF1B78F" w14:textId="77777777" w:rsidR="003D35D3" w:rsidRPr="00767D6A" w:rsidRDefault="003D35D3" w:rsidP="00AE2BC8">
            <w:pPr>
              <w:autoSpaceDE w:val="0"/>
              <w:autoSpaceDN w:val="0"/>
              <w:adjustRightInd w:val="0"/>
              <w:jc w:val="right"/>
              <w:rPr>
                <w:rFonts w:cstheme="minorHAnsi"/>
                <w:bCs/>
                <w:color w:val="0000E1"/>
              </w:rPr>
            </w:pPr>
            <w:r w:rsidRPr="00767D6A">
              <w:rPr>
                <w:rFonts w:cstheme="minorHAnsi"/>
                <w:color w:val="0000E1"/>
              </w:rPr>
              <w:t>1.0000</w:t>
            </w:r>
          </w:p>
        </w:tc>
        <w:tc>
          <w:tcPr>
            <w:tcW w:w="1139" w:type="dxa"/>
            <w:tcBorders>
              <w:top w:val="single" w:sz="4" w:space="0" w:color="auto"/>
              <w:left w:val="single" w:sz="4" w:space="0" w:color="auto"/>
              <w:bottom w:val="single" w:sz="4" w:space="0" w:color="auto"/>
              <w:right w:val="single" w:sz="4" w:space="0" w:color="auto"/>
            </w:tcBorders>
            <w:vAlign w:val="center"/>
          </w:tcPr>
          <w:p w14:paraId="061BC38B" w14:textId="77777777" w:rsidR="003D35D3" w:rsidRPr="00767D6A" w:rsidRDefault="003D35D3" w:rsidP="00AE2BC8">
            <w:pPr>
              <w:autoSpaceDE w:val="0"/>
              <w:autoSpaceDN w:val="0"/>
              <w:adjustRightInd w:val="0"/>
              <w:jc w:val="right"/>
              <w:rPr>
                <w:color w:val="0000E1"/>
              </w:rPr>
            </w:pPr>
            <w:r w:rsidRPr="00767D6A">
              <w:rPr>
                <w:color w:val="0000E1"/>
              </w:rPr>
              <w:t>0.9992</w:t>
            </w:r>
          </w:p>
        </w:tc>
        <w:tc>
          <w:tcPr>
            <w:tcW w:w="1138" w:type="dxa"/>
            <w:tcBorders>
              <w:top w:val="single" w:sz="4" w:space="0" w:color="auto"/>
              <w:left w:val="single" w:sz="4" w:space="0" w:color="auto"/>
              <w:bottom w:val="single" w:sz="4" w:space="0" w:color="auto"/>
              <w:right w:val="single" w:sz="4" w:space="0" w:color="auto"/>
            </w:tcBorders>
            <w:vAlign w:val="center"/>
          </w:tcPr>
          <w:p w14:paraId="72294FC2" w14:textId="77777777" w:rsidR="003D35D3" w:rsidRPr="00767D6A" w:rsidRDefault="003D35D3" w:rsidP="00AE2BC8">
            <w:pPr>
              <w:autoSpaceDE w:val="0"/>
              <w:autoSpaceDN w:val="0"/>
              <w:adjustRightInd w:val="0"/>
              <w:jc w:val="right"/>
              <w:rPr>
                <w:color w:val="0000E1"/>
              </w:rPr>
            </w:pPr>
            <w:r w:rsidRPr="00767D6A">
              <w:rPr>
                <w:color w:val="0000E1"/>
              </w:rPr>
              <w:t>0.9996</w:t>
            </w:r>
          </w:p>
        </w:tc>
        <w:tc>
          <w:tcPr>
            <w:tcW w:w="1144" w:type="dxa"/>
            <w:tcBorders>
              <w:top w:val="single" w:sz="4" w:space="0" w:color="auto"/>
              <w:left w:val="single" w:sz="4" w:space="0" w:color="auto"/>
              <w:bottom w:val="single" w:sz="4" w:space="0" w:color="auto"/>
              <w:right w:val="single" w:sz="4" w:space="0" w:color="auto"/>
            </w:tcBorders>
            <w:vAlign w:val="center"/>
          </w:tcPr>
          <w:p w14:paraId="35E5C262" w14:textId="77777777" w:rsidR="003D35D3" w:rsidRPr="00767D6A" w:rsidRDefault="003D35D3" w:rsidP="00AE2BC8">
            <w:pPr>
              <w:autoSpaceDE w:val="0"/>
              <w:autoSpaceDN w:val="0"/>
              <w:adjustRightInd w:val="0"/>
              <w:jc w:val="right"/>
              <w:rPr>
                <w:color w:val="0000E1"/>
              </w:rPr>
            </w:pPr>
            <w:r w:rsidRPr="00767D6A">
              <w:rPr>
                <w:color w:val="0000E1"/>
              </w:rPr>
              <w:t>0.9995</w:t>
            </w:r>
          </w:p>
        </w:tc>
      </w:tr>
      <w:tr w:rsidR="00767D6A" w:rsidRPr="00767D6A" w14:paraId="5A3EEB84" w14:textId="77777777" w:rsidTr="00D86E7B">
        <w:trPr>
          <w:trHeight w:val="250"/>
          <w:jc w:val="center"/>
        </w:trPr>
        <w:tc>
          <w:tcPr>
            <w:tcW w:w="1973" w:type="dxa"/>
            <w:tcBorders>
              <w:top w:val="single" w:sz="4" w:space="0" w:color="auto"/>
              <w:left w:val="single" w:sz="4" w:space="0" w:color="auto"/>
              <w:bottom w:val="single" w:sz="4" w:space="0" w:color="auto"/>
              <w:right w:val="single" w:sz="4" w:space="0" w:color="auto"/>
            </w:tcBorders>
            <w:hideMark/>
          </w:tcPr>
          <w:p w14:paraId="38E8E52C" w14:textId="77777777" w:rsidR="003D35D3" w:rsidRPr="00767D6A" w:rsidRDefault="003D35D3" w:rsidP="003D35D3">
            <w:pPr>
              <w:autoSpaceDE w:val="0"/>
              <w:autoSpaceDN w:val="0"/>
              <w:adjustRightInd w:val="0"/>
              <w:rPr>
                <w:rFonts w:cstheme="minorHAnsi"/>
                <w:bCs/>
                <w:color w:val="0000E1"/>
              </w:rPr>
            </w:pPr>
            <w:r w:rsidRPr="00767D6A">
              <w:rPr>
                <w:rFonts w:cstheme="minorHAnsi"/>
                <w:bCs/>
                <w:color w:val="0000E1"/>
              </w:rPr>
              <w:t>Interquartile Range</w:t>
            </w:r>
          </w:p>
        </w:tc>
        <w:tc>
          <w:tcPr>
            <w:tcW w:w="1281" w:type="dxa"/>
            <w:tcBorders>
              <w:top w:val="single" w:sz="4" w:space="0" w:color="auto"/>
              <w:left w:val="single" w:sz="4" w:space="0" w:color="auto"/>
              <w:bottom w:val="single" w:sz="4" w:space="0" w:color="auto"/>
              <w:right w:val="single" w:sz="4" w:space="0" w:color="auto"/>
            </w:tcBorders>
            <w:vAlign w:val="center"/>
          </w:tcPr>
          <w:p w14:paraId="59ACA8F7" w14:textId="77777777" w:rsidR="003D35D3" w:rsidRPr="00767D6A" w:rsidRDefault="003D35D3" w:rsidP="00AE2BC8">
            <w:pPr>
              <w:autoSpaceDE w:val="0"/>
              <w:autoSpaceDN w:val="0"/>
              <w:adjustRightInd w:val="0"/>
              <w:jc w:val="right"/>
              <w:rPr>
                <w:rFonts w:cstheme="minorHAnsi"/>
                <w:bCs/>
                <w:color w:val="0000E1"/>
              </w:rPr>
            </w:pPr>
            <w:r w:rsidRPr="00767D6A">
              <w:rPr>
                <w:rFonts w:cstheme="minorHAnsi"/>
                <w:color w:val="0000E1"/>
              </w:rPr>
              <w:t>0.2045</w:t>
            </w:r>
          </w:p>
        </w:tc>
        <w:tc>
          <w:tcPr>
            <w:tcW w:w="1271" w:type="dxa"/>
            <w:tcBorders>
              <w:top w:val="single" w:sz="4" w:space="0" w:color="auto"/>
              <w:left w:val="single" w:sz="4" w:space="0" w:color="auto"/>
              <w:bottom w:val="single" w:sz="4" w:space="0" w:color="auto"/>
              <w:right w:val="single" w:sz="4" w:space="0" w:color="auto"/>
            </w:tcBorders>
            <w:vAlign w:val="center"/>
          </w:tcPr>
          <w:p w14:paraId="4FDAFFB8" w14:textId="77777777" w:rsidR="003D35D3" w:rsidRPr="00767D6A" w:rsidRDefault="003D35D3" w:rsidP="00AE2BC8">
            <w:pPr>
              <w:jc w:val="right"/>
              <w:rPr>
                <w:rFonts w:cstheme="minorHAnsi"/>
                <w:color w:val="0000E1"/>
              </w:rPr>
            </w:pPr>
            <w:r w:rsidRPr="00767D6A">
              <w:rPr>
                <w:rFonts w:cstheme="minorHAnsi"/>
                <w:color w:val="0000E1"/>
              </w:rPr>
              <w:t>0.1172</w:t>
            </w:r>
          </w:p>
        </w:tc>
        <w:tc>
          <w:tcPr>
            <w:tcW w:w="1404" w:type="dxa"/>
            <w:tcBorders>
              <w:top w:val="single" w:sz="4" w:space="0" w:color="auto"/>
              <w:left w:val="single" w:sz="4" w:space="0" w:color="auto"/>
              <w:bottom w:val="single" w:sz="4" w:space="0" w:color="auto"/>
              <w:right w:val="single" w:sz="4" w:space="0" w:color="auto"/>
            </w:tcBorders>
            <w:vAlign w:val="center"/>
          </w:tcPr>
          <w:p w14:paraId="1F911694" w14:textId="77777777" w:rsidR="003D35D3" w:rsidRPr="00767D6A" w:rsidRDefault="003D35D3" w:rsidP="00AE2BC8">
            <w:pPr>
              <w:jc w:val="right"/>
              <w:rPr>
                <w:rFonts w:cstheme="minorHAnsi"/>
                <w:color w:val="0000E1"/>
              </w:rPr>
            </w:pPr>
            <w:r w:rsidRPr="00767D6A">
              <w:rPr>
                <w:rFonts w:cstheme="minorHAnsi"/>
                <w:color w:val="0000E1"/>
              </w:rPr>
              <w:t>0.0926</w:t>
            </w:r>
          </w:p>
        </w:tc>
        <w:tc>
          <w:tcPr>
            <w:tcW w:w="1139" w:type="dxa"/>
            <w:tcBorders>
              <w:top w:val="single" w:sz="4" w:space="0" w:color="auto"/>
              <w:left w:val="single" w:sz="4" w:space="0" w:color="auto"/>
              <w:bottom w:val="single" w:sz="4" w:space="0" w:color="auto"/>
              <w:right w:val="single" w:sz="4" w:space="0" w:color="auto"/>
            </w:tcBorders>
            <w:vAlign w:val="center"/>
          </w:tcPr>
          <w:p w14:paraId="1C1BF25A" w14:textId="77777777" w:rsidR="003D35D3" w:rsidRPr="00767D6A" w:rsidRDefault="003D35D3" w:rsidP="00AE2BC8">
            <w:pPr>
              <w:jc w:val="right"/>
              <w:rPr>
                <w:color w:val="0000E1"/>
              </w:rPr>
            </w:pPr>
            <w:r w:rsidRPr="00767D6A">
              <w:rPr>
                <w:color w:val="0000E1"/>
              </w:rPr>
              <w:t>0.0976</w:t>
            </w:r>
          </w:p>
        </w:tc>
        <w:tc>
          <w:tcPr>
            <w:tcW w:w="1138" w:type="dxa"/>
            <w:tcBorders>
              <w:top w:val="single" w:sz="4" w:space="0" w:color="auto"/>
              <w:left w:val="single" w:sz="4" w:space="0" w:color="auto"/>
              <w:bottom w:val="single" w:sz="4" w:space="0" w:color="auto"/>
              <w:right w:val="single" w:sz="4" w:space="0" w:color="auto"/>
            </w:tcBorders>
            <w:vAlign w:val="center"/>
          </w:tcPr>
          <w:p w14:paraId="772D1E37" w14:textId="77777777" w:rsidR="003D35D3" w:rsidRPr="00767D6A" w:rsidRDefault="003D35D3" w:rsidP="00AE2BC8">
            <w:pPr>
              <w:jc w:val="right"/>
              <w:rPr>
                <w:color w:val="0000E1"/>
              </w:rPr>
            </w:pPr>
            <w:r w:rsidRPr="00767D6A">
              <w:rPr>
                <w:color w:val="0000E1"/>
              </w:rPr>
              <w:t>0.0676</w:t>
            </w:r>
          </w:p>
        </w:tc>
        <w:tc>
          <w:tcPr>
            <w:tcW w:w="1144" w:type="dxa"/>
            <w:tcBorders>
              <w:top w:val="single" w:sz="4" w:space="0" w:color="auto"/>
              <w:left w:val="single" w:sz="4" w:space="0" w:color="auto"/>
              <w:bottom w:val="single" w:sz="4" w:space="0" w:color="auto"/>
              <w:right w:val="single" w:sz="4" w:space="0" w:color="auto"/>
            </w:tcBorders>
            <w:vAlign w:val="center"/>
          </w:tcPr>
          <w:p w14:paraId="18ED14AD" w14:textId="77777777" w:rsidR="003D35D3" w:rsidRPr="00767D6A" w:rsidRDefault="003D35D3" w:rsidP="00AE2BC8">
            <w:pPr>
              <w:jc w:val="right"/>
              <w:rPr>
                <w:color w:val="0000E1"/>
              </w:rPr>
            </w:pPr>
            <w:r w:rsidRPr="00767D6A">
              <w:rPr>
                <w:color w:val="0000E1"/>
              </w:rPr>
              <w:t>0.0674</w:t>
            </w:r>
          </w:p>
        </w:tc>
      </w:tr>
      <w:tr w:rsidR="00F14874" w:rsidRPr="00CD5819" w14:paraId="0CCF9CB1" w14:textId="77777777" w:rsidTr="00D86E7B">
        <w:trPr>
          <w:trHeight w:val="260"/>
          <w:jc w:val="center"/>
        </w:trPr>
        <w:tc>
          <w:tcPr>
            <w:tcW w:w="9350" w:type="dxa"/>
            <w:gridSpan w:val="7"/>
            <w:tcBorders>
              <w:top w:val="single" w:sz="4" w:space="0" w:color="auto"/>
              <w:left w:val="nil"/>
              <w:bottom w:val="nil"/>
              <w:right w:val="nil"/>
            </w:tcBorders>
            <w:shd w:val="clear" w:color="auto" w:fill="auto"/>
            <w:vAlign w:val="center"/>
          </w:tcPr>
          <w:p w14:paraId="3ADE0969" w14:textId="77777777" w:rsidR="00F14874" w:rsidRDefault="00F14874" w:rsidP="00F14874">
            <w:pPr>
              <w:rPr>
                <w:rFonts w:ascii="Calibri" w:hAnsi="Calibri" w:cs="Calibri"/>
                <w:i/>
                <w:color w:val="0000E1"/>
                <w:sz w:val="20"/>
              </w:rPr>
            </w:pPr>
            <w:r w:rsidRPr="0089393B">
              <w:rPr>
                <w:rFonts w:ascii="Calibri" w:hAnsi="Calibri" w:cs="Calibri"/>
                <w:i/>
                <w:color w:val="0000E1"/>
                <w:sz w:val="20"/>
              </w:rPr>
              <w:t>RASA: renin-angiotensin system antagonist</w:t>
            </w:r>
          </w:p>
          <w:p w14:paraId="731BCE8B" w14:textId="77777777" w:rsidR="007F6FBD" w:rsidRPr="0089393B" w:rsidRDefault="007F6FBD" w:rsidP="00F14874">
            <w:pPr>
              <w:rPr>
                <w:rFonts w:ascii="Calibri" w:hAnsi="Calibri" w:cs="Calibri"/>
                <w:i/>
                <w:color w:val="0000E1"/>
                <w:sz w:val="20"/>
              </w:rPr>
            </w:pPr>
            <w:r w:rsidRPr="00767D6A">
              <w:rPr>
                <w:rFonts w:cstheme="minorHAnsi"/>
                <w:bCs/>
                <w:i/>
                <w:color w:val="0000E1"/>
              </w:rPr>
              <w:t>Note: Reliability testing for Medicare conducted using the 2014 100% CMS PDE data</w:t>
            </w:r>
            <w:r>
              <w:rPr>
                <w:rFonts w:cstheme="minorHAnsi"/>
                <w:bCs/>
                <w:i/>
                <w:color w:val="0000E1"/>
              </w:rPr>
              <w:t>.</w:t>
            </w:r>
          </w:p>
        </w:tc>
      </w:tr>
    </w:tbl>
    <w:p w14:paraId="13BADEE3" w14:textId="0BA7E961" w:rsidR="003D35D3" w:rsidRPr="00767D6A" w:rsidRDefault="003D35D3" w:rsidP="00D86E7B">
      <w:pPr>
        <w:autoSpaceDE w:val="0"/>
        <w:autoSpaceDN w:val="0"/>
        <w:adjustRightInd w:val="0"/>
        <w:spacing w:after="0" w:line="240" w:lineRule="auto"/>
        <w:rPr>
          <w:rFonts w:cstheme="minorHAnsi"/>
          <w:bCs/>
          <w:color w:val="0000E1"/>
        </w:rPr>
      </w:pPr>
      <w:r w:rsidRPr="00767D6A">
        <w:rPr>
          <w:rFonts w:cstheme="minorHAnsi"/>
          <w:bCs/>
          <w:color w:val="0000E1"/>
        </w:rPr>
        <w:lastRenderedPageBreak/>
        <w:t>The mean reliability score for the Medicare plan-contract (with median) w</w:t>
      </w:r>
      <w:r w:rsidR="002C4023">
        <w:rPr>
          <w:rFonts w:cstheme="minorHAnsi"/>
          <w:bCs/>
          <w:color w:val="0000E1"/>
        </w:rPr>
        <w:t>as</w:t>
      </w:r>
      <w:r w:rsidRPr="00767D6A">
        <w:rPr>
          <w:rFonts w:cstheme="minorHAnsi"/>
          <w:bCs/>
          <w:color w:val="0000E1"/>
        </w:rPr>
        <w:t xml:space="preserve"> 0.8492 (0.9316) for Diabetes, 0.8953 (0.9724) for RASA, and 0.9171 (0.9793) for Statins.</w:t>
      </w:r>
    </w:p>
    <w:p w14:paraId="030560DE" w14:textId="77777777" w:rsidR="003D35D3" w:rsidRPr="00767D6A" w:rsidRDefault="003D35D3" w:rsidP="00D86E7B">
      <w:pPr>
        <w:autoSpaceDE w:val="0"/>
        <w:autoSpaceDN w:val="0"/>
        <w:adjustRightInd w:val="0"/>
        <w:spacing w:after="0" w:line="240" w:lineRule="auto"/>
        <w:rPr>
          <w:rFonts w:cstheme="minorHAnsi"/>
          <w:bCs/>
          <w:color w:val="0000E1"/>
        </w:rPr>
      </w:pPr>
    </w:p>
    <w:p w14:paraId="0061D32F" w14:textId="43B0EED4" w:rsidR="00316A54" w:rsidRDefault="00316A54" w:rsidP="00D86E7B">
      <w:pPr>
        <w:autoSpaceDE w:val="0"/>
        <w:autoSpaceDN w:val="0"/>
        <w:adjustRightInd w:val="0"/>
        <w:spacing w:after="0" w:line="240" w:lineRule="auto"/>
        <w:rPr>
          <w:rFonts w:cstheme="minorHAnsi"/>
          <w:bCs/>
          <w:color w:val="0000E1"/>
        </w:rPr>
      </w:pPr>
      <w:r w:rsidRPr="00767D6A">
        <w:rPr>
          <w:rFonts w:cstheme="minorHAnsi"/>
          <w:bCs/>
          <w:color w:val="0000E1"/>
        </w:rPr>
        <w:t xml:space="preserve">The mean reliability score for the </w:t>
      </w:r>
      <w:r w:rsidR="00852091" w:rsidRPr="00767D6A">
        <w:rPr>
          <w:rFonts w:cstheme="minorHAnsi"/>
          <w:bCs/>
          <w:color w:val="0000E1"/>
        </w:rPr>
        <w:t>Medicaid plans</w:t>
      </w:r>
      <w:r w:rsidRPr="00767D6A">
        <w:rPr>
          <w:rFonts w:cstheme="minorHAnsi"/>
          <w:bCs/>
          <w:color w:val="0000E1"/>
        </w:rPr>
        <w:t xml:space="preserve"> (with median) w</w:t>
      </w:r>
      <w:r w:rsidR="002C4023">
        <w:rPr>
          <w:rFonts w:cstheme="minorHAnsi"/>
          <w:bCs/>
          <w:color w:val="0000E1"/>
        </w:rPr>
        <w:t>as</w:t>
      </w:r>
      <w:r w:rsidRPr="00767D6A">
        <w:rPr>
          <w:rFonts w:cstheme="minorHAnsi"/>
          <w:bCs/>
          <w:color w:val="0000E1"/>
        </w:rPr>
        <w:t xml:space="preserve"> 0.</w:t>
      </w:r>
      <w:r w:rsidR="00390FCD" w:rsidRPr="00767D6A">
        <w:rPr>
          <w:rFonts w:cstheme="minorHAnsi"/>
          <w:bCs/>
          <w:color w:val="0000E1"/>
        </w:rPr>
        <w:t>9174</w:t>
      </w:r>
      <w:r w:rsidRPr="00767D6A">
        <w:rPr>
          <w:rFonts w:cstheme="minorHAnsi"/>
          <w:bCs/>
          <w:color w:val="0000E1"/>
        </w:rPr>
        <w:t xml:space="preserve"> (0.9</w:t>
      </w:r>
      <w:r w:rsidR="00390FCD" w:rsidRPr="00767D6A">
        <w:rPr>
          <w:rFonts w:cstheme="minorHAnsi"/>
          <w:bCs/>
          <w:color w:val="0000E1"/>
        </w:rPr>
        <w:t>655</w:t>
      </w:r>
      <w:r w:rsidRPr="00767D6A">
        <w:rPr>
          <w:rFonts w:cstheme="minorHAnsi"/>
          <w:bCs/>
          <w:color w:val="0000E1"/>
        </w:rPr>
        <w:t>) for Diabetes, 0.</w:t>
      </w:r>
      <w:r w:rsidR="00390FCD" w:rsidRPr="00767D6A">
        <w:rPr>
          <w:rFonts w:cstheme="minorHAnsi"/>
          <w:bCs/>
          <w:color w:val="0000E1"/>
        </w:rPr>
        <w:t>9340</w:t>
      </w:r>
      <w:r w:rsidRPr="00767D6A">
        <w:rPr>
          <w:rFonts w:cstheme="minorHAnsi"/>
          <w:bCs/>
          <w:color w:val="0000E1"/>
        </w:rPr>
        <w:t xml:space="preserve"> (0.</w:t>
      </w:r>
      <w:r w:rsidR="00390FCD" w:rsidRPr="00767D6A">
        <w:rPr>
          <w:rFonts w:cstheme="minorHAnsi"/>
          <w:bCs/>
          <w:color w:val="0000E1"/>
        </w:rPr>
        <w:t>9798</w:t>
      </w:r>
      <w:r w:rsidRPr="00767D6A">
        <w:rPr>
          <w:rFonts w:cstheme="minorHAnsi"/>
          <w:bCs/>
          <w:color w:val="0000E1"/>
        </w:rPr>
        <w:t>) for RASA, and 0.</w:t>
      </w:r>
      <w:r w:rsidR="00390FCD" w:rsidRPr="00767D6A">
        <w:rPr>
          <w:rFonts w:cstheme="minorHAnsi"/>
          <w:bCs/>
          <w:color w:val="0000E1"/>
        </w:rPr>
        <w:t>9305 (0.9781</w:t>
      </w:r>
      <w:r w:rsidRPr="00767D6A">
        <w:rPr>
          <w:rFonts w:cstheme="minorHAnsi"/>
          <w:bCs/>
          <w:color w:val="0000E1"/>
        </w:rPr>
        <w:t xml:space="preserve">) for Statins. </w:t>
      </w:r>
    </w:p>
    <w:p w14:paraId="16540100" w14:textId="2FB72635" w:rsidR="00886585" w:rsidRDefault="00886585" w:rsidP="00D86E7B">
      <w:pPr>
        <w:autoSpaceDE w:val="0"/>
        <w:autoSpaceDN w:val="0"/>
        <w:adjustRightInd w:val="0"/>
        <w:spacing w:after="0" w:line="240" w:lineRule="auto"/>
        <w:rPr>
          <w:rFonts w:cstheme="minorHAnsi"/>
          <w:bCs/>
          <w:color w:val="0000E1"/>
        </w:rPr>
      </w:pPr>
    </w:p>
    <w:p w14:paraId="0F4110CD" w14:textId="54564419" w:rsidR="00147226" w:rsidRPr="00BF2F66" w:rsidRDefault="003F6E9F" w:rsidP="00D86E7B">
      <w:pPr>
        <w:autoSpaceDE w:val="0"/>
        <w:autoSpaceDN w:val="0"/>
        <w:adjustRightInd w:val="0"/>
        <w:spacing w:after="0" w:line="240" w:lineRule="auto"/>
        <w:rPr>
          <w:rFonts w:cstheme="minorHAnsi"/>
          <w:b/>
          <w:bCs/>
          <w:color w:val="FF0000"/>
        </w:rPr>
      </w:pPr>
      <w:r w:rsidRPr="00060169">
        <w:rPr>
          <w:rFonts w:cstheme="minorHAnsi"/>
          <w:b/>
          <w:bCs/>
          <w:color w:val="FF0000"/>
        </w:rPr>
        <w:t>Additional</w:t>
      </w:r>
      <w:r w:rsidR="00886585" w:rsidRPr="00060169">
        <w:rPr>
          <w:rFonts w:cstheme="minorHAnsi"/>
          <w:b/>
          <w:bCs/>
          <w:color w:val="FF0000"/>
        </w:rPr>
        <w:t xml:space="preserve"> Testing:</w:t>
      </w:r>
      <w:r w:rsidR="00FD197A">
        <w:rPr>
          <w:rFonts w:cstheme="minorHAnsi"/>
          <w:b/>
          <w:bCs/>
          <w:color w:val="FF0000"/>
        </w:rPr>
        <w:t xml:space="preserve"> Using 2017 </w:t>
      </w:r>
      <w:r w:rsidR="00123930">
        <w:rPr>
          <w:rFonts w:cstheme="minorHAnsi"/>
          <w:b/>
          <w:bCs/>
          <w:color w:val="FF0000"/>
        </w:rPr>
        <w:t xml:space="preserve">100% </w:t>
      </w:r>
      <w:r w:rsidR="00FD197A">
        <w:rPr>
          <w:rFonts w:cstheme="minorHAnsi"/>
          <w:b/>
          <w:bCs/>
          <w:color w:val="FF0000"/>
        </w:rPr>
        <w:t>CMS PDE Data for Medicare</w:t>
      </w:r>
    </w:p>
    <w:p w14:paraId="63D3AC48" w14:textId="17A32CC7" w:rsidR="00886585" w:rsidRPr="00886585" w:rsidRDefault="00886585" w:rsidP="00886585">
      <w:pPr>
        <w:autoSpaceDE w:val="0"/>
        <w:autoSpaceDN w:val="0"/>
        <w:adjustRightInd w:val="0"/>
        <w:spacing w:after="0" w:line="240" w:lineRule="auto"/>
        <w:rPr>
          <w:rFonts w:cstheme="minorHAnsi"/>
          <w:b/>
          <w:bCs/>
          <w:color w:val="FF0000"/>
        </w:rPr>
      </w:pPr>
      <w:r w:rsidRPr="00886585">
        <w:rPr>
          <w:rFonts w:cstheme="minorHAnsi"/>
          <w:b/>
          <w:bCs/>
          <w:color w:val="FF0000"/>
        </w:rPr>
        <w:t xml:space="preserve">Table 5b. Unadjusted </w:t>
      </w:r>
      <w:r w:rsidR="00123930">
        <w:rPr>
          <w:rFonts w:cstheme="minorHAnsi"/>
          <w:b/>
          <w:bCs/>
          <w:color w:val="FF0000"/>
        </w:rPr>
        <w:t>Plan-</w:t>
      </w:r>
      <w:r w:rsidRPr="00886585">
        <w:rPr>
          <w:rFonts w:cstheme="minorHAnsi"/>
          <w:b/>
          <w:bCs/>
          <w:color w:val="FF0000"/>
        </w:rPr>
        <w:t xml:space="preserve">Contract Reliability Scores </w:t>
      </w:r>
      <w:r w:rsidR="00FD197A">
        <w:rPr>
          <w:rFonts w:cstheme="minorHAnsi"/>
          <w:b/>
          <w:bCs/>
          <w:color w:val="FF0000"/>
        </w:rPr>
        <w:t xml:space="preserve">for Medicare </w:t>
      </w:r>
      <w:r w:rsidRPr="00886585">
        <w:rPr>
          <w:rFonts w:cstheme="minorHAnsi"/>
          <w:b/>
          <w:bCs/>
          <w:color w:val="FF0000"/>
        </w:rPr>
        <w:t xml:space="preserve">– By Therapeutic Category </w:t>
      </w:r>
    </w:p>
    <w:tbl>
      <w:tblPr>
        <w:tblStyle w:val="TableGrid"/>
        <w:tblW w:w="0" w:type="auto"/>
        <w:tblLook w:val="04A0" w:firstRow="1" w:lastRow="0" w:firstColumn="1" w:lastColumn="0" w:noHBand="0" w:noVBand="1"/>
      </w:tblPr>
      <w:tblGrid>
        <w:gridCol w:w="2936"/>
        <w:gridCol w:w="1907"/>
        <w:gridCol w:w="1891"/>
        <w:gridCol w:w="2093"/>
      </w:tblGrid>
      <w:tr w:rsidR="00886585" w:rsidRPr="00886585" w14:paraId="70EAAB29" w14:textId="77777777" w:rsidTr="00886585">
        <w:trPr>
          <w:trHeight w:val="206"/>
        </w:trPr>
        <w:tc>
          <w:tcPr>
            <w:tcW w:w="2936" w:type="dxa"/>
            <w:vMerge w:val="restart"/>
            <w:tcBorders>
              <w:top w:val="single" w:sz="4" w:space="0" w:color="auto"/>
              <w:left w:val="single" w:sz="4" w:space="0" w:color="auto"/>
              <w:right w:val="single" w:sz="4" w:space="0" w:color="auto"/>
            </w:tcBorders>
            <w:shd w:val="clear" w:color="auto" w:fill="D9D9D9" w:themeFill="background1" w:themeFillShade="D9"/>
            <w:hideMark/>
          </w:tcPr>
          <w:p w14:paraId="4A853A12" w14:textId="77777777" w:rsidR="00886585" w:rsidRPr="00886585" w:rsidRDefault="00886585" w:rsidP="00123930">
            <w:pPr>
              <w:autoSpaceDE w:val="0"/>
              <w:autoSpaceDN w:val="0"/>
              <w:adjustRightInd w:val="0"/>
              <w:jc w:val="center"/>
              <w:rPr>
                <w:rFonts w:cstheme="minorHAnsi"/>
                <w:b/>
                <w:bCs/>
                <w:color w:val="FF0000"/>
              </w:rPr>
            </w:pPr>
          </w:p>
          <w:p w14:paraId="74119E4D" w14:textId="77777777" w:rsidR="00886585" w:rsidRPr="00886585" w:rsidRDefault="00886585" w:rsidP="00123930">
            <w:pPr>
              <w:autoSpaceDE w:val="0"/>
              <w:autoSpaceDN w:val="0"/>
              <w:adjustRightInd w:val="0"/>
              <w:jc w:val="center"/>
              <w:rPr>
                <w:rFonts w:cstheme="minorHAnsi"/>
                <w:b/>
                <w:bCs/>
                <w:color w:val="FF0000"/>
              </w:rPr>
            </w:pPr>
            <w:r w:rsidRPr="00886585">
              <w:rPr>
                <w:rFonts w:cstheme="minorHAnsi"/>
                <w:b/>
                <w:bCs/>
                <w:color w:val="FF0000"/>
              </w:rPr>
              <w:t>Statistic</w:t>
            </w:r>
          </w:p>
        </w:tc>
        <w:tc>
          <w:tcPr>
            <w:tcW w:w="589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F2E10A" w14:textId="77777777" w:rsidR="00886585" w:rsidRPr="00886585" w:rsidRDefault="00886585" w:rsidP="00123930">
            <w:pPr>
              <w:autoSpaceDE w:val="0"/>
              <w:autoSpaceDN w:val="0"/>
              <w:adjustRightInd w:val="0"/>
              <w:jc w:val="center"/>
              <w:rPr>
                <w:rFonts w:cstheme="minorHAnsi"/>
                <w:b/>
                <w:bCs/>
                <w:color w:val="FF0000"/>
              </w:rPr>
            </w:pPr>
            <w:r w:rsidRPr="00886585">
              <w:rPr>
                <w:rFonts w:cstheme="minorHAnsi"/>
                <w:b/>
                <w:bCs/>
                <w:color w:val="FF0000"/>
              </w:rPr>
              <w:t>Medicare</w:t>
            </w:r>
          </w:p>
        </w:tc>
      </w:tr>
      <w:tr w:rsidR="00886585" w:rsidRPr="00886585" w14:paraId="3FAF02C2" w14:textId="77777777" w:rsidTr="00DE1331">
        <w:trPr>
          <w:trHeight w:val="206"/>
        </w:trPr>
        <w:tc>
          <w:tcPr>
            <w:tcW w:w="2936" w:type="dxa"/>
            <w:vMerge/>
            <w:tcBorders>
              <w:left w:val="single" w:sz="4" w:space="0" w:color="auto"/>
              <w:bottom w:val="single" w:sz="4" w:space="0" w:color="auto"/>
              <w:right w:val="single" w:sz="4" w:space="0" w:color="auto"/>
            </w:tcBorders>
            <w:shd w:val="clear" w:color="auto" w:fill="D9D9D9" w:themeFill="background1" w:themeFillShade="D9"/>
          </w:tcPr>
          <w:p w14:paraId="75B53568" w14:textId="77777777" w:rsidR="00886585" w:rsidRPr="00886585" w:rsidRDefault="00886585" w:rsidP="00123930">
            <w:pPr>
              <w:autoSpaceDE w:val="0"/>
              <w:autoSpaceDN w:val="0"/>
              <w:adjustRightInd w:val="0"/>
              <w:jc w:val="center"/>
              <w:rPr>
                <w:rFonts w:cstheme="minorHAnsi"/>
                <w:b/>
                <w:bCs/>
                <w:color w:val="FF0000"/>
              </w:rPr>
            </w:pPr>
          </w:p>
        </w:tc>
        <w:tc>
          <w:tcPr>
            <w:tcW w:w="190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CEDE2D" w14:textId="77777777" w:rsidR="00886585" w:rsidRPr="00886585" w:rsidRDefault="00886585" w:rsidP="00123930">
            <w:pPr>
              <w:autoSpaceDE w:val="0"/>
              <w:autoSpaceDN w:val="0"/>
              <w:adjustRightInd w:val="0"/>
              <w:jc w:val="center"/>
              <w:rPr>
                <w:rFonts w:cstheme="minorHAnsi"/>
                <w:b/>
                <w:bCs/>
                <w:color w:val="FF0000"/>
              </w:rPr>
            </w:pPr>
            <w:r w:rsidRPr="00886585">
              <w:rPr>
                <w:rFonts w:cstheme="minorHAnsi"/>
                <w:b/>
                <w:bCs/>
                <w:color w:val="FF0000"/>
              </w:rPr>
              <w:t>Diabetes</w:t>
            </w:r>
          </w:p>
        </w:tc>
        <w:tc>
          <w:tcPr>
            <w:tcW w:w="189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2E46E0" w14:textId="77777777" w:rsidR="00886585" w:rsidRPr="00886585" w:rsidRDefault="00886585" w:rsidP="00123930">
            <w:pPr>
              <w:autoSpaceDE w:val="0"/>
              <w:autoSpaceDN w:val="0"/>
              <w:adjustRightInd w:val="0"/>
              <w:jc w:val="center"/>
              <w:rPr>
                <w:rFonts w:cstheme="minorHAnsi"/>
                <w:b/>
                <w:bCs/>
                <w:color w:val="FF0000"/>
              </w:rPr>
            </w:pPr>
            <w:r w:rsidRPr="00886585">
              <w:rPr>
                <w:rFonts w:cstheme="minorHAnsi"/>
                <w:b/>
                <w:bCs/>
                <w:color w:val="FF0000"/>
              </w:rPr>
              <w:t>RASA</w:t>
            </w:r>
          </w:p>
        </w:tc>
        <w:tc>
          <w:tcPr>
            <w:tcW w:w="20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61FA1B" w14:textId="77777777" w:rsidR="00886585" w:rsidRPr="00886585" w:rsidRDefault="00886585" w:rsidP="00123930">
            <w:pPr>
              <w:autoSpaceDE w:val="0"/>
              <w:autoSpaceDN w:val="0"/>
              <w:adjustRightInd w:val="0"/>
              <w:jc w:val="center"/>
              <w:rPr>
                <w:rFonts w:cstheme="minorHAnsi"/>
                <w:b/>
                <w:bCs/>
                <w:color w:val="FF0000"/>
              </w:rPr>
            </w:pPr>
            <w:r w:rsidRPr="00886585">
              <w:rPr>
                <w:rFonts w:cstheme="minorHAnsi"/>
                <w:b/>
                <w:bCs/>
                <w:color w:val="FF0000"/>
              </w:rPr>
              <w:t>Statins</w:t>
            </w:r>
          </w:p>
        </w:tc>
      </w:tr>
      <w:tr w:rsidR="00A978FB" w:rsidRPr="00886585" w14:paraId="6BD4E66A" w14:textId="77777777" w:rsidTr="00DE1331">
        <w:trPr>
          <w:trHeight w:val="206"/>
        </w:trPr>
        <w:tc>
          <w:tcPr>
            <w:tcW w:w="2936" w:type="dxa"/>
            <w:tcBorders>
              <w:top w:val="single" w:sz="4" w:space="0" w:color="auto"/>
              <w:left w:val="single" w:sz="4" w:space="0" w:color="auto"/>
              <w:bottom w:val="single" w:sz="4" w:space="0" w:color="auto"/>
              <w:right w:val="single" w:sz="4" w:space="0" w:color="auto"/>
            </w:tcBorders>
            <w:hideMark/>
          </w:tcPr>
          <w:p w14:paraId="380995AF" w14:textId="77777777" w:rsidR="00A978FB" w:rsidRPr="00886585" w:rsidRDefault="00A978FB" w:rsidP="00A978FB">
            <w:pPr>
              <w:autoSpaceDE w:val="0"/>
              <w:autoSpaceDN w:val="0"/>
              <w:adjustRightInd w:val="0"/>
              <w:rPr>
                <w:rFonts w:cstheme="minorHAnsi"/>
                <w:bCs/>
                <w:color w:val="FF0000"/>
              </w:rPr>
            </w:pPr>
            <w:r w:rsidRPr="00886585">
              <w:rPr>
                <w:rFonts w:cstheme="minorHAnsi"/>
                <w:bCs/>
                <w:color w:val="FF0000"/>
              </w:rPr>
              <w:t xml:space="preserve">Mean </w:t>
            </w:r>
          </w:p>
        </w:tc>
        <w:tc>
          <w:tcPr>
            <w:tcW w:w="1907" w:type="dxa"/>
            <w:tcBorders>
              <w:top w:val="single" w:sz="4" w:space="0" w:color="auto"/>
              <w:left w:val="single" w:sz="4" w:space="0" w:color="auto"/>
              <w:bottom w:val="single" w:sz="4" w:space="0" w:color="auto"/>
              <w:right w:val="single" w:sz="4" w:space="0" w:color="auto"/>
            </w:tcBorders>
            <w:vAlign w:val="center"/>
          </w:tcPr>
          <w:p w14:paraId="62C01FCE" w14:textId="59AF903C" w:rsidR="00A978FB" w:rsidRPr="00A978FB" w:rsidRDefault="00A978FB" w:rsidP="00A978FB">
            <w:pPr>
              <w:autoSpaceDE w:val="0"/>
              <w:autoSpaceDN w:val="0"/>
              <w:adjustRightInd w:val="0"/>
              <w:jc w:val="right"/>
              <w:rPr>
                <w:rFonts w:cstheme="minorHAnsi"/>
                <w:bCs/>
                <w:color w:val="FF0000"/>
              </w:rPr>
            </w:pPr>
            <w:r w:rsidRPr="00A978FB">
              <w:rPr>
                <w:rFonts w:cstheme="minorHAnsi"/>
                <w:color w:val="FF0000"/>
              </w:rPr>
              <w:t>0.8553</w:t>
            </w:r>
          </w:p>
        </w:tc>
        <w:tc>
          <w:tcPr>
            <w:tcW w:w="1891" w:type="dxa"/>
            <w:tcBorders>
              <w:top w:val="single" w:sz="4" w:space="0" w:color="auto"/>
              <w:left w:val="single" w:sz="4" w:space="0" w:color="auto"/>
              <w:bottom w:val="single" w:sz="4" w:space="0" w:color="auto"/>
              <w:right w:val="single" w:sz="4" w:space="0" w:color="auto"/>
            </w:tcBorders>
            <w:vAlign w:val="center"/>
          </w:tcPr>
          <w:p w14:paraId="7F911BBE" w14:textId="4341804A" w:rsidR="00A978FB" w:rsidRPr="00A978FB" w:rsidRDefault="00A978FB" w:rsidP="00A978FB">
            <w:pPr>
              <w:autoSpaceDE w:val="0"/>
              <w:autoSpaceDN w:val="0"/>
              <w:adjustRightInd w:val="0"/>
              <w:jc w:val="right"/>
              <w:rPr>
                <w:rFonts w:eastAsia="Times New Roman" w:cstheme="minorHAnsi"/>
                <w:color w:val="FF0000"/>
              </w:rPr>
            </w:pPr>
            <w:r w:rsidRPr="00A978FB">
              <w:rPr>
                <w:rFonts w:cstheme="minorHAnsi"/>
                <w:color w:val="FF0000"/>
              </w:rPr>
              <w:t>0.8774</w:t>
            </w:r>
          </w:p>
        </w:tc>
        <w:tc>
          <w:tcPr>
            <w:tcW w:w="2093" w:type="dxa"/>
            <w:tcBorders>
              <w:top w:val="single" w:sz="4" w:space="0" w:color="auto"/>
              <w:left w:val="single" w:sz="4" w:space="0" w:color="auto"/>
              <w:bottom w:val="single" w:sz="4" w:space="0" w:color="auto"/>
              <w:right w:val="single" w:sz="4" w:space="0" w:color="auto"/>
            </w:tcBorders>
            <w:vAlign w:val="center"/>
          </w:tcPr>
          <w:p w14:paraId="7CE2362A" w14:textId="0BCB88A6" w:rsidR="00A978FB" w:rsidRPr="00A978FB" w:rsidRDefault="00A978FB" w:rsidP="00A978FB">
            <w:pPr>
              <w:autoSpaceDE w:val="0"/>
              <w:autoSpaceDN w:val="0"/>
              <w:adjustRightInd w:val="0"/>
              <w:jc w:val="right"/>
              <w:rPr>
                <w:rFonts w:cstheme="minorHAnsi"/>
                <w:bCs/>
                <w:color w:val="FF0000"/>
              </w:rPr>
            </w:pPr>
            <w:r w:rsidRPr="00A978FB">
              <w:rPr>
                <w:rFonts w:cstheme="minorHAnsi"/>
                <w:color w:val="FF0000"/>
              </w:rPr>
              <w:t>0.9211</w:t>
            </w:r>
          </w:p>
        </w:tc>
      </w:tr>
      <w:tr w:rsidR="00A978FB" w:rsidRPr="00886585" w14:paraId="1F5BB6D3" w14:textId="77777777" w:rsidTr="00DE1331">
        <w:trPr>
          <w:trHeight w:val="215"/>
        </w:trPr>
        <w:tc>
          <w:tcPr>
            <w:tcW w:w="2936" w:type="dxa"/>
            <w:tcBorders>
              <w:top w:val="single" w:sz="4" w:space="0" w:color="auto"/>
              <w:left w:val="single" w:sz="4" w:space="0" w:color="auto"/>
              <w:bottom w:val="single" w:sz="4" w:space="0" w:color="auto"/>
              <w:right w:val="single" w:sz="4" w:space="0" w:color="auto"/>
            </w:tcBorders>
            <w:hideMark/>
          </w:tcPr>
          <w:p w14:paraId="61986D30" w14:textId="77777777" w:rsidR="00A978FB" w:rsidRPr="00886585" w:rsidRDefault="00A978FB" w:rsidP="00A978FB">
            <w:pPr>
              <w:autoSpaceDE w:val="0"/>
              <w:autoSpaceDN w:val="0"/>
              <w:adjustRightInd w:val="0"/>
              <w:rPr>
                <w:rFonts w:cstheme="minorHAnsi"/>
                <w:bCs/>
                <w:color w:val="FF0000"/>
              </w:rPr>
            </w:pPr>
            <w:r w:rsidRPr="00886585">
              <w:rPr>
                <w:rFonts w:cstheme="minorHAnsi"/>
                <w:bCs/>
                <w:color w:val="FF0000"/>
              </w:rPr>
              <w:t>Standard Deviation</w:t>
            </w:r>
          </w:p>
        </w:tc>
        <w:tc>
          <w:tcPr>
            <w:tcW w:w="1907" w:type="dxa"/>
            <w:tcBorders>
              <w:top w:val="single" w:sz="4" w:space="0" w:color="auto"/>
              <w:left w:val="single" w:sz="4" w:space="0" w:color="auto"/>
              <w:bottom w:val="single" w:sz="4" w:space="0" w:color="auto"/>
              <w:right w:val="single" w:sz="4" w:space="0" w:color="auto"/>
            </w:tcBorders>
            <w:vAlign w:val="center"/>
          </w:tcPr>
          <w:p w14:paraId="2FA1ADDE" w14:textId="2AD56AFB" w:rsidR="00A978FB" w:rsidRPr="00A978FB" w:rsidRDefault="00A978FB" w:rsidP="00A978FB">
            <w:pPr>
              <w:autoSpaceDE w:val="0"/>
              <w:autoSpaceDN w:val="0"/>
              <w:adjustRightInd w:val="0"/>
              <w:jc w:val="right"/>
              <w:rPr>
                <w:rFonts w:cstheme="minorHAnsi"/>
                <w:bCs/>
                <w:color w:val="FF0000"/>
              </w:rPr>
            </w:pPr>
            <w:r w:rsidRPr="00A978FB">
              <w:rPr>
                <w:rFonts w:cstheme="minorHAnsi"/>
                <w:color w:val="FF0000"/>
              </w:rPr>
              <w:t>0.1811</w:t>
            </w:r>
          </w:p>
        </w:tc>
        <w:tc>
          <w:tcPr>
            <w:tcW w:w="1891" w:type="dxa"/>
            <w:tcBorders>
              <w:top w:val="single" w:sz="4" w:space="0" w:color="auto"/>
              <w:left w:val="single" w:sz="4" w:space="0" w:color="auto"/>
              <w:bottom w:val="single" w:sz="4" w:space="0" w:color="auto"/>
              <w:right w:val="single" w:sz="4" w:space="0" w:color="auto"/>
            </w:tcBorders>
            <w:vAlign w:val="center"/>
          </w:tcPr>
          <w:p w14:paraId="6897F8E9" w14:textId="2B8A8DD2" w:rsidR="00A978FB" w:rsidRPr="00A978FB" w:rsidRDefault="00A978FB" w:rsidP="00A978FB">
            <w:pPr>
              <w:autoSpaceDE w:val="0"/>
              <w:autoSpaceDN w:val="0"/>
              <w:adjustRightInd w:val="0"/>
              <w:jc w:val="right"/>
              <w:rPr>
                <w:rFonts w:eastAsia="Times New Roman" w:cstheme="minorHAnsi"/>
                <w:color w:val="FF0000"/>
              </w:rPr>
            </w:pPr>
            <w:r w:rsidRPr="00A978FB">
              <w:rPr>
                <w:rFonts w:cstheme="minorHAnsi"/>
                <w:color w:val="FF0000"/>
              </w:rPr>
              <w:t>0.1815</w:t>
            </w:r>
          </w:p>
        </w:tc>
        <w:tc>
          <w:tcPr>
            <w:tcW w:w="2093" w:type="dxa"/>
            <w:tcBorders>
              <w:top w:val="single" w:sz="4" w:space="0" w:color="auto"/>
              <w:left w:val="single" w:sz="4" w:space="0" w:color="auto"/>
              <w:bottom w:val="single" w:sz="4" w:space="0" w:color="auto"/>
              <w:right w:val="single" w:sz="4" w:space="0" w:color="auto"/>
            </w:tcBorders>
            <w:vAlign w:val="center"/>
          </w:tcPr>
          <w:p w14:paraId="2934E5A0" w14:textId="0871A97F" w:rsidR="00A978FB" w:rsidRPr="00A978FB" w:rsidRDefault="00A978FB" w:rsidP="00A978FB">
            <w:pPr>
              <w:autoSpaceDE w:val="0"/>
              <w:autoSpaceDN w:val="0"/>
              <w:adjustRightInd w:val="0"/>
              <w:jc w:val="right"/>
              <w:rPr>
                <w:rFonts w:cstheme="minorHAnsi"/>
                <w:bCs/>
                <w:color w:val="FF0000"/>
              </w:rPr>
            </w:pPr>
            <w:r w:rsidRPr="00A978FB">
              <w:rPr>
                <w:rFonts w:cstheme="minorHAnsi"/>
                <w:color w:val="FF0000"/>
              </w:rPr>
              <w:t>0.1284</w:t>
            </w:r>
          </w:p>
        </w:tc>
      </w:tr>
      <w:tr w:rsidR="00A978FB" w:rsidRPr="00886585" w14:paraId="1BD301AA" w14:textId="77777777" w:rsidTr="00DE1331">
        <w:trPr>
          <w:trHeight w:val="206"/>
        </w:trPr>
        <w:tc>
          <w:tcPr>
            <w:tcW w:w="2936" w:type="dxa"/>
            <w:tcBorders>
              <w:top w:val="single" w:sz="4" w:space="0" w:color="auto"/>
              <w:left w:val="single" w:sz="4" w:space="0" w:color="auto"/>
              <w:bottom w:val="single" w:sz="4" w:space="0" w:color="auto"/>
              <w:right w:val="single" w:sz="4" w:space="0" w:color="auto"/>
            </w:tcBorders>
            <w:hideMark/>
          </w:tcPr>
          <w:p w14:paraId="1C817048" w14:textId="77777777" w:rsidR="00A978FB" w:rsidRPr="00886585" w:rsidRDefault="00A978FB" w:rsidP="00A978FB">
            <w:pPr>
              <w:autoSpaceDE w:val="0"/>
              <w:autoSpaceDN w:val="0"/>
              <w:adjustRightInd w:val="0"/>
              <w:rPr>
                <w:rFonts w:cstheme="minorHAnsi"/>
                <w:bCs/>
                <w:color w:val="FF0000"/>
              </w:rPr>
            </w:pPr>
            <w:r w:rsidRPr="00886585">
              <w:rPr>
                <w:rFonts w:cstheme="minorHAnsi"/>
                <w:bCs/>
                <w:color w:val="FF0000"/>
              </w:rPr>
              <w:t>Minimum</w:t>
            </w:r>
          </w:p>
        </w:tc>
        <w:tc>
          <w:tcPr>
            <w:tcW w:w="1907" w:type="dxa"/>
            <w:tcBorders>
              <w:top w:val="single" w:sz="4" w:space="0" w:color="auto"/>
              <w:left w:val="single" w:sz="4" w:space="0" w:color="auto"/>
              <w:bottom w:val="single" w:sz="4" w:space="0" w:color="auto"/>
              <w:right w:val="single" w:sz="4" w:space="0" w:color="auto"/>
            </w:tcBorders>
            <w:vAlign w:val="center"/>
          </w:tcPr>
          <w:p w14:paraId="2CBD3367" w14:textId="3CEE3A3F" w:rsidR="00A978FB" w:rsidRPr="00A978FB" w:rsidRDefault="00A978FB" w:rsidP="00A978FB">
            <w:pPr>
              <w:autoSpaceDE w:val="0"/>
              <w:autoSpaceDN w:val="0"/>
              <w:adjustRightInd w:val="0"/>
              <w:jc w:val="right"/>
              <w:rPr>
                <w:rFonts w:cstheme="minorHAnsi"/>
                <w:bCs/>
                <w:color w:val="FF0000"/>
              </w:rPr>
            </w:pPr>
            <w:r w:rsidRPr="00A978FB">
              <w:rPr>
                <w:rFonts w:cstheme="minorHAnsi"/>
                <w:color w:val="FF0000"/>
              </w:rPr>
              <w:t>0.2346</w:t>
            </w:r>
          </w:p>
        </w:tc>
        <w:tc>
          <w:tcPr>
            <w:tcW w:w="1891" w:type="dxa"/>
            <w:tcBorders>
              <w:top w:val="single" w:sz="4" w:space="0" w:color="auto"/>
              <w:left w:val="single" w:sz="4" w:space="0" w:color="auto"/>
              <w:bottom w:val="single" w:sz="4" w:space="0" w:color="auto"/>
              <w:right w:val="single" w:sz="4" w:space="0" w:color="auto"/>
            </w:tcBorders>
            <w:vAlign w:val="center"/>
          </w:tcPr>
          <w:p w14:paraId="7169C790" w14:textId="36459BB2" w:rsidR="00A978FB" w:rsidRPr="00A978FB" w:rsidRDefault="00A978FB" w:rsidP="00A978FB">
            <w:pPr>
              <w:autoSpaceDE w:val="0"/>
              <w:autoSpaceDN w:val="0"/>
              <w:adjustRightInd w:val="0"/>
              <w:jc w:val="right"/>
              <w:rPr>
                <w:rFonts w:eastAsia="Times New Roman" w:cstheme="minorHAnsi"/>
                <w:color w:val="FF0000"/>
              </w:rPr>
            </w:pPr>
            <w:r w:rsidRPr="00A978FB">
              <w:rPr>
                <w:rFonts w:cstheme="minorHAnsi"/>
                <w:color w:val="FF0000"/>
              </w:rPr>
              <w:t>0.2257</w:t>
            </w:r>
          </w:p>
        </w:tc>
        <w:tc>
          <w:tcPr>
            <w:tcW w:w="2093" w:type="dxa"/>
            <w:tcBorders>
              <w:top w:val="single" w:sz="4" w:space="0" w:color="auto"/>
              <w:left w:val="single" w:sz="4" w:space="0" w:color="auto"/>
              <w:bottom w:val="single" w:sz="4" w:space="0" w:color="auto"/>
              <w:right w:val="single" w:sz="4" w:space="0" w:color="auto"/>
            </w:tcBorders>
            <w:vAlign w:val="center"/>
          </w:tcPr>
          <w:p w14:paraId="0219D4A8" w14:textId="4FD43D29" w:rsidR="00A978FB" w:rsidRPr="00A978FB" w:rsidRDefault="00A978FB" w:rsidP="00A978FB">
            <w:pPr>
              <w:autoSpaceDE w:val="0"/>
              <w:autoSpaceDN w:val="0"/>
              <w:adjustRightInd w:val="0"/>
              <w:jc w:val="right"/>
              <w:rPr>
                <w:rFonts w:cstheme="minorHAnsi"/>
                <w:bCs/>
                <w:color w:val="FF0000"/>
              </w:rPr>
            </w:pPr>
            <w:r w:rsidRPr="00A978FB">
              <w:rPr>
                <w:rFonts w:cstheme="minorHAnsi"/>
                <w:color w:val="FF0000"/>
              </w:rPr>
              <w:t>0.3710</w:t>
            </w:r>
          </w:p>
        </w:tc>
      </w:tr>
      <w:tr w:rsidR="00A978FB" w:rsidRPr="00886585" w14:paraId="6AD7522D" w14:textId="77777777" w:rsidTr="00DE1331">
        <w:trPr>
          <w:trHeight w:val="206"/>
        </w:trPr>
        <w:tc>
          <w:tcPr>
            <w:tcW w:w="2936" w:type="dxa"/>
            <w:tcBorders>
              <w:top w:val="single" w:sz="4" w:space="0" w:color="auto"/>
              <w:left w:val="single" w:sz="4" w:space="0" w:color="auto"/>
              <w:bottom w:val="single" w:sz="4" w:space="0" w:color="auto"/>
              <w:right w:val="single" w:sz="4" w:space="0" w:color="auto"/>
            </w:tcBorders>
            <w:hideMark/>
          </w:tcPr>
          <w:p w14:paraId="08F39806" w14:textId="77777777" w:rsidR="00A978FB" w:rsidRPr="00886585" w:rsidRDefault="00A978FB" w:rsidP="00A978FB">
            <w:pPr>
              <w:autoSpaceDE w:val="0"/>
              <w:autoSpaceDN w:val="0"/>
              <w:adjustRightInd w:val="0"/>
              <w:rPr>
                <w:rFonts w:cstheme="minorHAnsi"/>
                <w:bCs/>
                <w:color w:val="FF0000"/>
              </w:rPr>
            </w:pPr>
            <w:r w:rsidRPr="00886585">
              <w:rPr>
                <w:rFonts w:cstheme="minorHAnsi"/>
                <w:bCs/>
                <w:color w:val="FF0000"/>
              </w:rPr>
              <w:t>25</w:t>
            </w:r>
            <w:r w:rsidRPr="00886585">
              <w:rPr>
                <w:rFonts w:cstheme="minorHAnsi"/>
                <w:bCs/>
                <w:color w:val="FF0000"/>
                <w:vertAlign w:val="superscript"/>
              </w:rPr>
              <w:t>th</w:t>
            </w:r>
            <w:r w:rsidRPr="00886585">
              <w:rPr>
                <w:rFonts w:cstheme="minorHAnsi"/>
                <w:bCs/>
                <w:color w:val="FF0000"/>
              </w:rPr>
              <w:t xml:space="preserve"> Percentile</w:t>
            </w:r>
          </w:p>
        </w:tc>
        <w:tc>
          <w:tcPr>
            <w:tcW w:w="1907" w:type="dxa"/>
            <w:tcBorders>
              <w:top w:val="single" w:sz="4" w:space="0" w:color="auto"/>
              <w:left w:val="single" w:sz="4" w:space="0" w:color="auto"/>
              <w:bottom w:val="single" w:sz="4" w:space="0" w:color="auto"/>
              <w:right w:val="single" w:sz="4" w:space="0" w:color="auto"/>
            </w:tcBorders>
            <w:vAlign w:val="center"/>
          </w:tcPr>
          <w:p w14:paraId="041BD9AD" w14:textId="3D57D18C" w:rsidR="00A978FB" w:rsidRPr="00A978FB" w:rsidRDefault="00A978FB" w:rsidP="00A978FB">
            <w:pPr>
              <w:autoSpaceDE w:val="0"/>
              <w:autoSpaceDN w:val="0"/>
              <w:adjustRightInd w:val="0"/>
              <w:jc w:val="right"/>
              <w:rPr>
                <w:rFonts w:cstheme="minorHAnsi"/>
                <w:bCs/>
                <w:color w:val="FF0000"/>
              </w:rPr>
            </w:pPr>
            <w:r w:rsidRPr="00A978FB">
              <w:rPr>
                <w:rFonts w:cstheme="minorHAnsi"/>
                <w:color w:val="FF0000"/>
              </w:rPr>
              <w:t>0.7912</w:t>
            </w:r>
          </w:p>
        </w:tc>
        <w:tc>
          <w:tcPr>
            <w:tcW w:w="1891" w:type="dxa"/>
            <w:tcBorders>
              <w:top w:val="single" w:sz="4" w:space="0" w:color="auto"/>
              <w:left w:val="single" w:sz="4" w:space="0" w:color="auto"/>
              <w:bottom w:val="single" w:sz="4" w:space="0" w:color="auto"/>
              <w:right w:val="single" w:sz="4" w:space="0" w:color="auto"/>
            </w:tcBorders>
            <w:vAlign w:val="center"/>
          </w:tcPr>
          <w:p w14:paraId="3B7A7DDE" w14:textId="77CC71B1" w:rsidR="00A978FB" w:rsidRPr="00A978FB" w:rsidRDefault="00A978FB" w:rsidP="00A978FB">
            <w:pPr>
              <w:autoSpaceDE w:val="0"/>
              <w:autoSpaceDN w:val="0"/>
              <w:adjustRightInd w:val="0"/>
              <w:jc w:val="right"/>
              <w:rPr>
                <w:rFonts w:eastAsia="Times New Roman" w:cstheme="minorHAnsi"/>
                <w:color w:val="FF0000"/>
              </w:rPr>
            </w:pPr>
            <w:r w:rsidRPr="00A978FB">
              <w:rPr>
                <w:rFonts w:cstheme="minorHAnsi"/>
                <w:color w:val="FF0000"/>
              </w:rPr>
              <w:t>0.8393</w:t>
            </w:r>
          </w:p>
        </w:tc>
        <w:tc>
          <w:tcPr>
            <w:tcW w:w="2093" w:type="dxa"/>
            <w:tcBorders>
              <w:top w:val="single" w:sz="4" w:space="0" w:color="auto"/>
              <w:left w:val="single" w:sz="4" w:space="0" w:color="auto"/>
              <w:bottom w:val="single" w:sz="4" w:space="0" w:color="auto"/>
              <w:right w:val="single" w:sz="4" w:space="0" w:color="auto"/>
            </w:tcBorders>
            <w:vAlign w:val="center"/>
          </w:tcPr>
          <w:p w14:paraId="653B7414" w14:textId="250E41DC" w:rsidR="00A978FB" w:rsidRPr="00A978FB" w:rsidRDefault="00A978FB" w:rsidP="00A978FB">
            <w:pPr>
              <w:autoSpaceDE w:val="0"/>
              <w:autoSpaceDN w:val="0"/>
              <w:adjustRightInd w:val="0"/>
              <w:jc w:val="right"/>
              <w:rPr>
                <w:rFonts w:cstheme="minorHAnsi"/>
                <w:bCs/>
                <w:color w:val="FF0000"/>
              </w:rPr>
            </w:pPr>
            <w:r w:rsidRPr="00A978FB">
              <w:rPr>
                <w:rFonts w:cstheme="minorHAnsi"/>
                <w:color w:val="FF0000"/>
              </w:rPr>
              <w:t>0.9109</w:t>
            </w:r>
          </w:p>
        </w:tc>
      </w:tr>
      <w:tr w:rsidR="00A978FB" w:rsidRPr="00886585" w14:paraId="59B80DD7" w14:textId="77777777" w:rsidTr="00DE1331">
        <w:trPr>
          <w:trHeight w:val="206"/>
        </w:trPr>
        <w:tc>
          <w:tcPr>
            <w:tcW w:w="2936" w:type="dxa"/>
            <w:tcBorders>
              <w:top w:val="single" w:sz="4" w:space="0" w:color="auto"/>
              <w:left w:val="single" w:sz="4" w:space="0" w:color="auto"/>
              <w:bottom w:val="single" w:sz="4" w:space="0" w:color="auto"/>
              <w:right w:val="single" w:sz="4" w:space="0" w:color="auto"/>
            </w:tcBorders>
            <w:hideMark/>
          </w:tcPr>
          <w:p w14:paraId="61787EF5" w14:textId="77777777" w:rsidR="00A978FB" w:rsidRPr="00886585" w:rsidRDefault="00A978FB" w:rsidP="00A978FB">
            <w:pPr>
              <w:autoSpaceDE w:val="0"/>
              <w:autoSpaceDN w:val="0"/>
              <w:adjustRightInd w:val="0"/>
              <w:rPr>
                <w:rFonts w:cstheme="minorHAnsi"/>
                <w:bCs/>
                <w:color w:val="FF0000"/>
              </w:rPr>
            </w:pPr>
            <w:r w:rsidRPr="00886585">
              <w:rPr>
                <w:rFonts w:cstheme="minorHAnsi"/>
                <w:bCs/>
                <w:color w:val="FF0000"/>
              </w:rPr>
              <w:t>50</w:t>
            </w:r>
            <w:r w:rsidRPr="00886585">
              <w:rPr>
                <w:rFonts w:cstheme="minorHAnsi"/>
                <w:bCs/>
                <w:color w:val="FF0000"/>
                <w:vertAlign w:val="superscript"/>
              </w:rPr>
              <w:t>th</w:t>
            </w:r>
            <w:r w:rsidRPr="00886585">
              <w:rPr>
                <w:rFonts w:cstheme="minorHAnsi"/>
                <w:bCs/>
                <w:color w:val="FF0000"/>
              </w:rPr>
              <w:t xml:space="preserve"> Percentile</w:t>
            </w:r>
          </w:p>
        </w:tc>
        <w:tc>
          <w:tcPr>
            <w:tcW w:w="1907" w:type="dxa"/>
            <w:tcBorders>
              <w:top w:val="single" w:sz="4" w:space="0" w:color="auto"/>
              <w:left w:val="single" w:sz="4" w:space="0" w:color="auto"/>
              <w:bottom w:val="single" w:sz="4" w:space="0" w:color="auto"/>
              <w:right w:val="single" w:sz="4" w:space="0" w:color="auto"/>
            </w:tcBorders>
            <w:vAlign w:val="center"/>
          </w:tcPr>
          <w:p w14:paraId="66AB6B85" w14:textId="69522B65" w:rsidR="00A978FB" w:rsidRPr="00A978FB" w:rsidRDefault="00A978FB" w:rsidP="00A978FB">
            <w:pPr>
              <w:autoSpaceDE w:val="0"/>
              <w:autoSpaceDN w:val="0"/>
              <w:adjustRightInd w:val="0"/>
              <w:jc w:val="right"/>
              <w:rPr>
                <w:rFonts w:cstheme="minorHAnsi"/>
                <w:bCs/>
                <w:color w:val="FF0000"/>
              </w:rPr>
            </w:pPr>
            <w:r w:rsidRPr="00A978FB">
              <w:rPr>
                <w:rFonts w:cstheme="minorHAnsi"/>
                <w:color w:val="FF0000"/>
              </w:rPr>
              <w:t>0.9377</w:t>
            </w:r>
          </w:p>
        </w:tc>
        <w:tc>
          <w:tcPr>
            <w:tcW w:w="1891" w:type="dxa"/>
            <w:tcBorders>
              <w:top w:val="single" w:sz="4" w:space="0" w:color="auto"/>
              <w:left w:val="single" w:sz="4" w:space="0" w:color="auto"/>
              <w:bottom w:val="single" w:sz="4" w:space="0" w:color="auto"/>
              <w:right w:val="single" w:sz="4" w:space="0" w:color="auto"/>
            </w:tcBorders>
            <w:vAlign w:val="center"/>
          </w:tcPr>
          <w:p w14:paraId="5948CA72" w14:textId="245D0D18" w:rsidR="00A978FB" w:rsidRPr="00A978FB" w:rsidRDefault="00A978FB" w:rsidP="00A978FB">
            <w:pPr>
              <w:autoSpaceDE w:val="0"/>
              <w:autoSpaceDN w:val="0"/>
              <w:adjustRightInd w:val="0"/>
              <w:jc w:val="right"/>
              <w:rPr>
                <w:rFonts w:eastAsia="Times New Roman" w:cstheme="minorHAnsi"/>
                <w:color w:val="FF0000"/>
              </w:rPr>
            </w:pPr>
            <w:r w:rsidRPr="00A978FB">
              <w:rPr>
                <w:rFonts w:cstheme="minorHAnsi"/>
                <w:color w:val="FF0000"/>
              </w:rPr>
              <w:t>0.9706</w:t>
            </w:r>
          </w:p>
        </w:tc>
        <w:tc>
          <w:tcPr>
            <w:tcW w:w="2093" w:type="dxa"/>
            <w:tcBorders>
              <w:top w:val="single" w:sz="4" w:space="0" w:color="auto"/>
              <w:left w:val="single" w:sz="4" w:space="0" w:color="auto"/>
              <w:bottom w:val="single" w:sz="4" w:space="0" w:color="auto"/>
              <w:right w:val="single" w:sz="4" w:space="0" w:color="auto"/>
            </w:tcBorders>
            <w:vAlign w:val="center"/>
          </w:tcPr>
          <w:p w14:paraId="588B5E4A" w14:textId="5FB91D6C" w:rsidR="00A978FB" w:rsidRPr="00A978FB" w:rsidRDefault="00A978FB" w:rsidP="00A978FB">
            <w:pPr>
              <w:autoSpaceDE w:val="0"/>
              <w:autoSpaceDN w:val="0"/>
              <w:adjustRightInd w:val="0"/>
              <w:jc w:val="right"/>
              <w:rPr>
                <w:rFonts w:cstheme="minorHAnsi"/>
                <w:bCs/>
                <w:color w:val="FF0000"/>
              </w:rPr>
            </w:pPr>
            <w:r w:rsidRPr="00A978FB">
              <w:rPr>
                <w:rFonts w:cstheme="minorHAnsi"/>
                <w:color w:val="FF0000"/>
              </w:rPr>
              <w:t>0.9834</w:t>
            </w:r>
          </w:p>
        </w:tc>
      </w:tr>
      <w:tr w:rsidR="00A978FB" w:rsidRPr="00886585" w14:paraId="19382C57" w14:textId="77777777" w:rsidTr="00DE1331">
        <w:trPr>
          <w:trHeight w:val="206"/>
        </w:trPr>
        <w:tc>
          <w:tcPr>
            <w:tcW w:w="2936" w:type="dxa"/>
            <w:tcBorders>
              <w:top w:val="single" w:sz="4" w:space="0" w:color="auto"/>
              <w:left w:val="single" w:sz="4" w:space="0" w:color="auto"/>
              <w:bottom w:val="single" w:sz="4" w:space="0" w:color="auto"/>
              <w:right w:val="single" w:sz="4" w:space="0" w:color="auto"/>
            </w:tcBorders>
            <w:hideMark/>
          </w:tcPr>
          <w:p w14:paraId="04F7CDCC" w14:textId="77777777" w:rsidR="00A978FB" w:rsidRPr="00886585" w:rsidRDefault="00A978FB" w:rsidP="00A978FB">
            <w:pPr>
              <w:autoSpaceDE w:val="0"/>
              <w:autoSpaceDN w:val="0"/>
              <w:adjustRightInd w:val="0"/>
              <w:rPr>
                <w:rFonts w:cstheme="minorHAnsi"/>
                <w:bCs/>
                <w:color w:val="FF0000"/>
              </w:rPr>
            </w:pPr>
            <w:r w:rsidRPr="00886585">
              <w:rPr>
                <w:rFonts w:cstheme="minorHAnsi"/>
                <w:bCs/>
                <w:color w:val="FF0000"/>
              </w:rPr>
              <w:t>75</w:t>
            </w:r>
            <w:r w:rsidRPr="00886585">
              <w:rPr>
                <w:rFonts w:cstheme="minorHAnsi"/>
                <w:bCs/>
                <w:color w:val="FF0000"/>
                <w:vertAlign w:val="superscript"/>
              </w:rPr>
              <w:t>th</w:t>
            </w:r>
            <w:r w:rsidRPr="00886585">
              <w:rPr>
                <w:rFonts w:cstheme="minorHAnsi"/>
                <w:bCs/>
                <w:color w:val="FF0000"/>
              </w:rPr>
              <w:t xml:space="preserve"> Percentile</w:t>
            </w:r>
          </w:p>
        </w:tc>
        <w:tc>
          <w:tcPr>
            <w:tcW w:w="1907" w:type="dxa"/>
            <w:tcBorders>
              <w:top w:val="single" w:sz="4" w:space="0" w:color="auto"/>
              <w:left w:val="single" w:sz="4" w:space="0" w:color="auto"/>
              <w:bottom w:val="single" w:sz="4" w:space="0" w:color="auto"/>
              <w:right w:val="single" w:sz="4" w:space="0" w:color="auto"/>
            </w:tcBorders>
            <w:vAlign w:val="center"/>
          </w:tcPr>
          <w:p w14:paraId="319EB2AC" w14:textId="11FB3CC3" w:rsidR="00A978FB" w:rsidRPr="00A978FB" w:rsidRDefault="00A978FB" w:rsidP="00A978FB">
            <w:pPr>
              <w:autoSpaceDE w:val="0"/>
              <w:autoSpaceDN w:val="0"/>
              <w:adjustRightInd w:val="0"/>
              <w:jc w:val="right"/>
              <w:rPr>
                <w:rFonts w:cstheme="minorHAnsi"/>
                <w:bCs/>
                <w:color w:val="FF0000"/>
              </w:rPr>
            </w:pPr>
            <w:r w:rsidRPr="00A978FB">
              <w:rPr>
                <w:rFonts w:cstheme="minorHAnsi"/>
                <w:color w:val="FF0000"/>
              </w:rPr>
              <w:t>0.9853</w:t>
            </w:r>
          </w:p>
        </w:tc>
        <w:tc>
          <w:tcPr>
            <w:tcW w:w="1891" w:type="dxa"/>
            <w:tcBorders>
              <w:top w:val="single" w:sz="4" w:space="0" w:color="auto"/>
              <w:left w:val="single" w:sz="4" w:space="0" w:color="auto"/>
              <w:bottom w:val="single" w:sz="4" w:space="0" w:color="auto"/>
              <w:right w:val="single" w:sz="4" w:space="0" w:color="auto"/>
            </w:tcBorders>
            <w:vAlign w:val="center"/>
          </w:tcPr>
          <w:p w14:paraId="303946BA" w14:textId="52346FB1" w:rsidR="00A978FB" w:rsidRPr="00A978FB" w:rsidRDefault="00A978FB" w:rsidP="00A978FB">
            <w:pPr>
              <w:autoSpaceDE w:val="0"/>
              <w:autoSpaceDN w:val="0"/>
              <w:adjustRightInd w:val="0"/>
              <w:jc w:val="right"/>
              <w:rPr>
                <w:rFonts w:eastAsia="Times New Roman" w:cstheme="minorHAnsi"/>
                <w:color w:val="FF0000"/>
              </w:rPr>
            </w:pPr>
            <w:r w:rsidRPr="00A978FB">
              <w:rPr>
                <w:rFonts w:cstheme="minorHAnsi"/>
                <w:color w:val="FF0000"/>
              </w:rPr>
              <w:t>0.9945</w:t>
            </w:r>
          </w:p>
        </w:tc>
        <w:tc>
          <w:tcPr>
            <w:tcW w:w="2093" w:type="dxa"/>
            <w:tcBorders>
              <w:top w:val="single" w:sz="4" w:space="0" w:color="auto"/>
              <w:left w:val="single" w:sz="4" w:space="0" w:color="auto"/>
              <w:bottom w:val="single" w:sz="4" w:space="0" w:color="auto"/>
              <w:right w:val="single" w:sz="4" w:space="0" w:color="auto"/>
            </w:tcBorders>
            <w:vAlign w:val="center"/>
          </w:tcPr>
          <w:p w14:paraId="205B2A09" w14:textId="3D0E2DE8" w:rsidR="00A978FB" w:rsidRPr="00A978FB" w:rsidRDefault="00A978FB" w:rsidP="00A978FB">
            <w:pPr>
              <w:autoSpaceDE w:val="0"/>
              <w:autoSpaceDN w:val="0"/>
              <w:adjustRightInd w:val="0"/>
              <w:jc w:val="right"/>
              <w:rPr>
                <w:rFonts w:cstheme="minorHAnsi"/>
                <w:bCs/>
                <w:color w:val="FF0000"/>
              </w:rPr>
            </w:pPr>
            <w:r w:rsidRPr="00A978FB">
              <w:rPr>
                <w:rFonts w:cstheme="minorHAnsi"/>
                <w:color w:val="FF0000"/>
              </w:rPr>
              <w:t>0.9967</w:t>
            </w:r>
          </w:p>
        </w:tc>
      </w:tr>
      <w:tr w:rsidR="00A978FB" w:rsidRPr="00886585" w14:paraId="63337DE1" w14:textId="77777777" w:rsidTr="00123930">
        <w:trPr>
          <w:trHeight w:val="215"/>
        </w:trPr>
        <w:tc>
          <w:tcPr>
            <w:tcW w:w="2936" w:type="dxa"/>
            <w:tcBorders>
              <w:top w:val="single" w:sz="4" w:space="0" w:color="auto"/>
              <w:left w:val="single" w:sz="4" w:space="0" w:color="auto"/>
              <w:bottom w:val="single" w:sz="4" w:space="0" w:color="auto"/>
              <w:right w:val="single" w:sz="4" w:space="0" w:color="auto"/>
            </w:tcBorders>
            <w:hideMark/>
          </w:tcPr>
          <w:p w14:paraId="1B09B2F1" w14:textId="77777777" w:rsidR="00A978FB" w:rsidRPr="00886585" w:rsidRDefault="00A978FB" w:rsidP="00A978FB">
            <w:pPr>
              <w:autoSpaceDE w:val="0"/>
              <w:autoSpaceDN w:val="0"/>
              <w:adjustRightInd w:val="0"/>
              <w:rPr>
                <w:rFonts w:cstheme="minorHAnsi"/>
                <w:bCs/>
                <w:color w:val="FF0000"/>
              </w:rPr>
            </w:pPr>
            <w:r w:rsidRPr="00886585">
              <w:rPr>
                <w:rFonts w:cstheme="minorHAnsi"/>
                <w:bCs/>
                <w:color w:val="FF0000"/>
              </w:rPr>
              <w:t>Maximum</w:t>
            </w:r>
          </w:p>
        </w:tc>
        <w:tc>
          <w:tcPr>
            <w:tcW w:w="1907" w:type="dxa"/>
            <w:tcBorders>
              <w:top w:val="single" w:sz="4" w:space="0" w:color="auto"/>
              <w:left w:val="single" w:sz="4" w:space="0" w:color="auto"/>
              <w:bottom w:val="single" w:sz="4" w:space="0" w:color="auto"/>
              <w:right w:val="single" w:sz="4" w:space="0" w:color="auto"/>
            </w:tcBorders>
            <w:vAlign w:val="center"/>
          </w:tcPr>
          <w:p w14:paraId="5E2276E7" w14:textId="124571F1" w:rsidR="00A978FB" w:rsidRPr="00A978FB" w:rsidRDefault="00A978FB" w:rsidP="00A978FB">
            <w:pPr>
              <w:autoSpaceDE w:val="0"/>
              <w:autoSpaceDN w:val="0"/>
              <w:adjustRightInd w:val="0"/>
              <w:jc w:val="right"/>
              <w:rPr>
                <w:rFonts w:cstheme="minorHAnsi"/>
                <w:bCs/>
                <w:color w:val="FF0000"/>
              </w:rPr>
            </w:pPr>
            <w:r w:rsidRPr="00A978FB">
              <w:rPr>
                <w:rFonts w:cstheme="minorHAnsi"/>
                <w:color w:val="FF0000"/>
              </w:rPr>
              <w:t>0.9999</w:t>
            </w:r>
          </w:p>
        </w:tc>
        <w:tc>
          <w:tcPr>
            <w:tcW w:w="1891" w:type="dxa"/>
            <w:tcBorders>
              <w:top w:val="single" w:sz="4" w:space="0" w:color="auto"/>
              <w:left w:val="single" w:sz="4" w:space="0" w:color="auto"/>
              <w:bottom w:val="single" w:sz="4" w:space="0" w:color="auto"/>
              <w:right w:val="single" w:sz="4" w:space="0" w:color="auto"/>
            </w:tcBorders>
            <w:vAlign w:val="center"/>
          </w:tcPr>
          <w:p w14:paraId="6B387453" w14:textId="63B572A0" w:rsidR="00A978FB" w:rsidRPr="00A978FB" w:rsidRDefault="00A978FB" w:rsidP="00A978FB">
            <w:pPr>
              <w:autoSpaceDE w:val="0"/>
              <w:autoSpaceDN w:val="0"/>
              <w:adjustRightInd w:val="0"/>
              <w:jc w:val="right"/>
              <w:rPr>
                <w:rFonts w:eastAsia="Times New Roman" w:cstheme="minorHAnsi"/>
                <w:color w:val="FF0000"/>
              </w:rPr>
            </w:pPr>
            <w:r w:rsidRPr="00A978FB">
              <w:rPr>
                <w:rFonts w:cstheme="minorHAnsi"/>
                <w:color w:val="FF0000"/>
              </w:rPr>
              <w:t>1.0000</w:t>
            </w:r>
          </w:p>
        </w:tc>
        <w:tc>
          <w:tcPr>
            <w:tcW w:w="2093" w:type="dxa"/>
            <w:tcBorders>
              <w:top w:val="single" w:sz="4" w:space="0" w:color="auto"/>
              <w:left w:val="single" w:sz="4" w:space="0" w:color="auto"/>
              <w:bottom w:val="single" w:sz="4" w:space="0" w:color="auto"/>
              <w:right w:val="single" w:sz="4" w:space="0" w:color="auto"/>
            </w:tcBorders>
            <w:vAlign w:val="center"/>
          </w:tcPr>
          <w:p w14:paraId="6FD39062" w14:textId="066B9A9A" w:rsidR="00A978FB" w:rsidRPr="00A978FB" w:rsidRDefault="00A978FB" w:rsidP="00A978FB">
            <w:pPr>
              <w:autoSpaceDE w:val="0"/>
              <w:autoSpaceDN w:val="0"/>
              <w:adjustRightInd w:val="0"/>
              <w:jc w:val="right"/>
              <w:rPr>
                <w:rFonts w:cstheme="minorHAnsi"/>
                <w:bCs/>
                <w:color w:val="FF0000"/>
              </w:rPr>
            </w:pPr>
            <w:r w:rsidRPr="00A978FB">
              <w:rPr>
                <w:rFonts w:cstheme="minorHAnsi"/>
                <w:color w:val="FF0000"/>
              </w:rPr>
              <w:t>1.0000</w:t>
            </w:r>
          </w:p>
        </w:tc>
      </w:tr>
      <w:tr w:rsidR="00A978FB" w:rsidRPr="00886585" w14:paraId="5E571AA9" w14:textId="77777777" w:rsidTr="00123930">
        <w:trPr>
          <w:trHeight w:val="206"/>
        </w:trPr>
        <w:tc>
          <w:tcPr>
            <w:tcW w:w="2936" w:type="dxa"/>
            <w:tcBorders>
              <w:top w:val="single" w:sz="4" w:space="0" w:color="auto"/>
              <w:left w:val="single" w:sz="4" w:space="0" w:color="auto"/>
              <w:bottom w:val="single" w:sz="4" w:space="0" w:color="auto"/>
              <w:right w:val="single" w:sz="4" w:space="0" w:color="auto"/>
            </w:tcBorders>
            <w:hideMark/>
          </w:tcPr>
          <w:p w14:paraId="497105E4" w14:textId="77777777" w:rsidR="00A978FB" w:rsidRPr="00886585" w:rsidRDefault="00A978FB" w:rsidP="00A978FB">
            <w:pPr>
              <w:autoSpaceDE w:val="0"/>
              <w:autoSpaceDN w:val="0"/>
              <w:adjustRightInd w:val="0"/>
              <w:rPr>
                <w:rFonts w:cstheme="minorHAnsi"/>
                <w:bCs/>
                <w:color w:val="FF0000"/>
              </w:rPr>
            </w:pPr>
            <w:r w:rsidRPr="00886585">
              <w:rPr>
                <w:rFonts w:cstheme="minorHAnsi"/>
                <w:bCs/>
                <w:color w:val="FF0000"/>
              </w:rPr>
              <w:t>Interquartile Range</w:t>
            </w:r>
          </w:p>
        </w:tc>
        <w:tc>
          <w:tcPr>
            <w:tcW w:w="1907" w:type="dxa"/>
            <w:tcBorders>
              <w:top w:val="single" w:sz="4" w:space="0" w:color="auto"/>
              <w:left w:val="single" w:sz="4" w:space="0" w:color="auto"/>
              <w:bottom w:val="single" w:sz="4" w:space="0" w:color="auto"/>
              <w:right w:val="single" w:sz="4" w:space="0" w:color="auto"/>
            </w:tcBorders>
            <w:vAlign w:val="center"/>
          </w:tcPr>
          <w:p w14:paraId="0FFBDDEA" w14:textId="293AE7C4" w:rsidR="00A978FB" w:rsidRPr="00A978FB" w:rsidRDefault="00A978FB" w:rsidP="00A978FB">
            <w:pPr>
              <w:autoSpaceDE w:val="0"/>
              <w:autoSpaceDN w:val="0"/>
              <w:adjustRightInd w:val="0"/>
              <w:jc w:val="right"/>
              <w:rPr>
                <w:rFonts w:cstheme="minorHAnsi"/>
                <w:bCs/>
                <w:color w:val="FF0000"/>
              </w:rPr>
            </w:pPr>
            <w:r w:rsidRPr="00A978FB">
              <w:rPr>
                <w:rFonts w:cstheme="minorHAnsi"/>
                <w:color w:val="FF0000"/>
              </w:rPr>
              <w:t>0.1941</w:t>
            </w:r>
          </w:p>
        </w:tc>
        <w:tc>
          <w:tcPr>
            <w:tcW w:w="1891" w:type="dxa"/>
            <w:tcBorders>
              <w:top w:val="single" w:sz="4" w:space="0" w:color="auto"/>
              <w:left w:val="single" w:sz="4" w:space="0" w:color="auto"/>
              <w:bottom w:val="single" w:sz="4" w:space="0" w:color="auto"/>
              <w:right w:val="single" w:sz="4" w:space="0" w:color="auto"/>
            </w:tcBorders>
            <w:vAlign w:val="center"/>
          </w:tcPr>
          <w:p w14:paraId="4C7D0491" w14:textId="3FD4CCBE" w:rsidR="00A978FB" w:rsidRPr="00A978FB" w:rsidRDefault="00A978FB" w:rsidP="00A978FB">
            <w:pPr>
              <w:jc w:val="right"/>
              <w:rPr>
                <w:rFonts w:cstheme="minorHAnsi"/>
                <w:color w:val="FF0000"/>
              </w:rPr>
            </w:pPr>
            <w:r w:rsidRPr="00A978FB">
              <w:rPr>
                <w:rFonts w:cstheme="minorHAnsi"/>
                <w:color w:val="FF0000"/>
              </w:rPr>
              <w:t>0.1552</w:t>
            </w:r>
          </w:p>
        </w:tc>
        <w:tc>
          <w:tcPr>
            <w:tcW w:w="2093" w:type="dxa"/>
            <w:tcBorders>
              <w:top w:val="single" w:sz="4" w:space="0" w:color="auto"/>
              <w:left w:val="single" w:sz="4" w:space="0" w:color="auto"/>
              <w:bottom w:val="single" w:sz="4" w:space="0" w:color="auto"/>
              <w:right w:val="single" w:sz="4" w:space="0" w:color="auto"/>
            </w:tcBorders>
            <w:vAlign w:val="center"/>
          </w:tcPr>
          <w:p w14:paraId="73250F1B" w14:textId="28E5499F" w:rsidR="00A978FB" w:rsidRPr="00A978FB" w:rsidRDefault="00A978FB" w:rsidP="00A978FB">
            <w:pPr>
              <w:jc w:val="right"/>
              <w:rPr>
                <w:rFonts w:cstheme="minorHAnsi"/>
                <w:color w:val="FF0000"/>
              </w:rPr>
            </w:pPr>
            <w:r w:rsidRPr="00A978FB">
              <w:rPr>
                <w:rFonts w:cstheme="minorHAnsi"/>
                <w:color w:val="FF0000"/>
              </w:rPr>
              <w:t>0.0858</w:t>
            </w:r>
          </w:p>
        </w:tc>
      </w:tr>
      <w:tr w:rsidR="00886585" w:rsidRPr="00886585" w14:paraId="5B341D4B" w14:textId="77777777" w:rsidTr="00123930">
        <w:trPr>
          <w:trHeight w:val="206"/>
        </w:trPr>
        <w:tc>
          <w:tcPr>
            <w:tcW w:w="8827" w:type="dxa"/>
            <w:gridSpan w:val="4"/>
            <w:tcBorders>
              <w:top w:val="single" w:sz="4" w:space="0" w:color="auto"/>
              <w:left w:val="nil"/>
              <w:bottom w:val="nil"/>
              <w:right w:val="nil"/>
            </w:tcBorders>
          </w:tcPr>
          <w:p w14:paraId="5A9E925F" w14:textId="77777777" w:rsidR="00886585" w:rsidRPr="00886585" w:rsidRDefault="00886585" w:rsidP="00886585">
            <w:pPr>
              <w:rPr>
                <w:rFonts w:ascii="Calibri" w:hAnsi="Calibri" w:cs="Calibri"/>
                <w:i/>
                <w:color w:val="FF0000"/>
                <w:sz w:val="20"/>
              </w:rPr>
            </w:pPr>
            <w:r w:rsidRPr="00886585">
              <w:rPr>
                <w:rFonts w:ascii="Calibri" w:hAnsi="Calibri" w:cs="Calibri"/>
                <w:i/>
                <w:color w:val="FF0000"/>
                <w:sz w:val="20"/>
              </w:rPr>
              <w:t>RASA: renin-angiotensin system antagonist</w:t>
            </w:r>
          </w:p>
          <w:p w14:paraId="14E974D7" w14:textId="43E33A69" w:rsidR="00886585" w:rsidRPr="00886585" w:rsidRDefault="00886585" w:rsidP="00886585">
            <w:pPr>
              <w:rPr>
                <w:rFonts w:cstheme="minorHAnsi"/>
                <w:color w:val="FF0000"/>
              </w:rPr>
            </w:pPr>
            <w:r w:rsidRPr="00886585">
              <w:rPr>
                <w:rFonts w:cstheme="minorHAnsi"/>
                <w:bCs/>
                <w:i/>
                <w:color w:val="FF0000"/>
              </w:rPr>
              <w:t>Note: Additional reliability testing for Medicare conducted using the 201</w:t>
            </w:r>
            <w:r w:rsidR="00F71146">
              <w:rPr>
                <w:rFonts w:cstheme="minorHAnsi"/>
                <w:bCs/>
                <w:i/>
                <w:color w:val="FF0000"/>
              </w:rPr>
              <w:t>7</w:t>
            </w:r>
            <w:r w:rsidRPr="00886585">
              <w:rPr>
                <w:rFonts w:cstheme="minorHAnsi"/>
                <w:bCs/>
                <w:i/>
                <w:color w:val="FF0000"/>
              </w:rPr>
              <w:t xml:space="preserve"> 100% CMS PDE data.</w:t>
            </w:r>
          </w:p>
        </w:tc>
      </w:tr>
    </w:tbl>
    <w:p w14:paraId="43EF5DD6" w14:textId="45BA3BE1" w:rsidR="00316A54" w:rsidRDefault="00316A54" w:rsidP="00D86E7B">
      <w:pPr>
        <w:autoSpaceDE w:val="0"/>
        <w:autoSpaceDN w:val="0"/>
        <w:adjustRightInd w:val="0"/>
        <w:spacing w:after="0" w:line="240" w:lineRule="auto"/>
        <w:rPr>
          <w:rFonts w:cstheme="minorHAnsi"/>
          <w:bCs/>
        </w:rPr>
      </w:pPr>
    </w:p>
    <w:p w14:paraId="238F3FA4" w14:textId="75C70484" w:rsidR="00683970" w:rsidRPr="00683970" w:rsidRDefault="00683970" w:rsidP="00683970">
      <w:pPr>
        <w:autoSpaceDE w:val="0"/>
        <w:autoSpaceDN w:val="0"/>
        <w:adjustRightInd w:val="0"/>
        <w:spacing w:after="0" w:line="240" w:lineRule="auto"/>
        <w:rPr>
          <w:rFonts w:cstheme="minorHAnsi"/>
          <w:bCs/>
          <w:color w:val="FF0000"/>
        </w:rPr>
      </w:pPr>
      <w:r w:rsidRPr="00683970">
        <w:rPr>
          <w:rFonts w:cstheme="minorHAnsi"/>
          <w:bCs/>
          <w:color w:val="FF0000"/>
        </w:rPr>
        <w:t>The mean reliability score for the Medicare plan-contract (with median) w</w:t>
      </w:r>
      <w:r w:rsidR="002C4023">
        <w:rPr>
          <w:rFonts w:cstheme="minorHAnsi"/>
          <w:bCs/>
          <w:color w:val="FF0000"/>
        </w:rPr>
        <w:t>as</w:t>
      </w:r>
      <w:r w:rsidRPr="00683970">
        <w:rPr>
          <w:rFonts w:cstheme="minorHAnsi"/>
          <w:bCs/>
          <w:color w:val="FF0000"/>
        </w:rPr>
        <w:t xml:space="preserve"> 0.</w:t>
      </w:r>
      <w:r w:rsidR="003A4DB7">
        <w:rPr>
          <w:rFonts w:cstheme="minorHAnsi"/>
          <w:bCs/>
          <w:color w:val="FF0000"/>
        </w:rPr>
        <w:t>8</w:t>
      </w:r>
      <w:r>
        <w:rPr>
          <w:rFonts w:cstheme="minorHAnsi"/>
          <w:bCs/>
          <w:color w:val="FF0000"/>
        </w:rPr>
        <w:t>553</w:t>
      </w:r>
      <w:r w:rsidRPr="00683970">
        <w:rPr>
          <w:rFonts w:cstheme="minorHAnsi"/>
          <w:bCs/>
          <w:color w:val="FF0000"/>
        </w:rPr>
        <w:t xml:space="preserve"> (0.93</w:t>
      </w:r>
      <w:r>
        <w:rPr>
          <w:rFonts w:cstheme="minorHAnsi"/>
          <w:bCs/>
          <w:color w:val="FF0000"/>
        </w:rPr>
        <w:t>77</w:t>
      </w:r>
      <w:r w:rsidRPr="00683970">
        <w:rPr>
          <w:rFonts w:cstheme="minorHAnsi"/>
          <w:bCs/>
          <w:color w:val="FF0000"/>
        </w:rPr>
        <w:t>) for Diabetes, 0.8</w:t>
      </w:r>
      <w:r>
        <w:rPr>
          <w:rFonts w:cstheme="minorHAnsi"/>
          <w:bCs/>
          <w:color w:val="FF0000"/>
        </w:rPr>
        <w:t>774</w:t>
      </w:r>
      <w:r w:rsidRPr="00683970">
        <w:rPr>
          <w:rFonts w:cstheme="minorHAnsi"/>
          <w:bCs/>
          <w:color w:val="FF0000"/>
        </w:rPr>
        <w:t xml:space="preserve"> (0.97</w:t>
      </w:r>
      <w:r>
        <w:rPr>
          <w:rFonts w:cstheme="minorHAnsi"/>
          <w:bCs/>
          <w:color w:val="FF0000"/>
        </w:rPr>
        <w:t>06</w:t>
      </w:r>
      <w:r w:rsidRPr="00683970">
        <w:rPr>
          <w:rFonts w:cstheme="minorHAnsi"/>
          <w:bCs/>
          <w:color w:val="FF0000"/>
        </w:rPr>
        <w:t>) for RASA, and 0.9</w:t>
      </w:r>
      <w:r>
        <w:rPr>
          <w:rFonts w:cstheme="minorHAnsi"/>
          <w:bCs/>
          <w:color w:val="FF0000"/>
        </w:rPr>
        <w:t>211</w:t>
      </w:r>
      <w:r w:rsidRPr="00683970">
        <w:rPr>
          <w:rFonts w:cstheme="minorHAnsi"/>
          <w:bCs/>
          <w:color w:val="FF0000"/>
        </w:rPr>
        <w:t xml:space="preserve"> (0.9</w:t>
      </w:r>
      <w:r>
        <w:rPr>
          <w:rFonts w:cstheme="minorHAnsi"/>
          <w:bCs/>
          <w:color w:val="FF0000"/>
        </w:rPr>
        <w:t>834</w:t>
      </w:r>
      <w:r w:rsidRPr="00683970">
        <w:rPr>
          <w:rFonts w:cstheme="minorHAnsi"/>
          <w:bCs/>
          <w:color w:val="FF0000"/>
        </w:rPr>
        <w:t>) for Statins.</w:t>
      </w:r>
      <w:r w:rsidR="00A90422">
        <w:rPr>
          <w:rFonts w:cstheme="minorHAnsi"/>
          <w:bCs/>
          <w:color w:val="FF0000"/>
        </w:rPr>
        <w:t xml:space="preserve"> </w:t>
      </w:r>
      <w:r w:rsidR="00123930">
        <w:rPr>
          <w:rFonts w:cstheme="minorHAnsi"/>
          <w:bCs/>
          <w:color w:val="FF0000"/>
        </w:rPr>
        <w:t>(s</w:t>
      </w:r>
      <w:r w:rsidR="00A90422">
        <w:rPr>
          <w:rFonts w:cstheme="minorHAnsi"/>
          <w:bCs/>
          <w:color w:val="FF0000"/>
        </w:rPr>
        <w:t>ee Table 5b</w:t>
      </w:r>
      <w:r w:rsidR="00123930">
        <w:rPr>
          <w:rFonts w:cstheme="minorHAnsi"/>
          <w:bCs/>
          <w:color w:val="FF0000"/>
        </w:rPr>
        <w:t>)</w:t>
      </w:r>
      <w:r w:rsidR="00A90422">
        <w:rPr>
          <w:rFonts w:cstheme="minorHAnsi"/>
          <w:bCs/>
          <w:color w:val="FF0000"/>
        </w:rPr>
        <w:t xml:space="preserve">. </w:t>
      </w:r>
      <w:r>
        <w:rPr>
          <w:rFonts w:cstheme="minorHAnsi"/>
          <w:bCs/>
          <w:color w:val="FF0000"/>
        </w:rPr>
        <w:t xml:space="preserve">These results were </w:t>
      </w:r>
      <w:proofErr w:type="gramStart"/>
      <w:r>
        <w:rPr>
          <w:rFonts w:cstheme="minorHAnsi"/>
          <w:bCs/>
          <w:color w:val="FF0000"/>
        </w:rPr>
        <w:t>similar to</w:t>
      </w:r>
      <w:proofErr w:type="gramEnd"/>
      <w:r>
        <w:rPr>
          <w:rFonts w:cstheme="minorHAnsi"/>
          <w:bCs/>
          <w:color w:val="FF0000"/>
        </w:rPr>
        <w:t xml:space="preserve"> the 2014 100% CMS PDE analysis in Table 5a. </w:t>
      </w:r>
    </w:p>
    <w:p w14:paraId="1497EDEC" w14:textId="77777777" w:rsidR="00683970" w:rsidRDefault="00683970" w:rsidP="00D86E7B">
      <w:pPr>
        <w:autoSpaceDE w:val="0"/>
        <w:autoSpaceDN w:val="0"/>
        <w:adjustRightInd w:val="0"/>
        <w:spacing w:after="0" w:line="240" w:lineRule="auto"/>
        <w:rPr>
          <w:rFonts w:cstheme="minorHAnsi"/>
          <w:bCs/>
        </w:rPr>
      </w:pPr>
    </w:p>
    <w:p w14:paraId="50EFA836" w14:textId="1C44ACEF" w:rsidR="00316A54" w:rsidRPr="00A345D4" w:rsidRDefault="00FB26B7" w:rsidP="00D86E7B">
      <w:pPr>
        <w:autoSpaceDE w:val="0"/>
        <w:autoSpaceDN w:val="0"/>
        <w:adjustRightInd w:val="0"/>
        <w:spacing w:after="0" w:line="240" w:lineRule="auto"/>
        <w:rPr>
          <w:rFonts w:cstheme="minorHAnsi"/>
          <w:bCs/>
          <w:color w:val="0000E1"/>
          <w:u w:val="single"/>
        </w:rPr>
      </w:pPr>
      <w:r>
        <w:rPr>
          <w:rFonts w:cstheme="minorHAnsi"/>
          <w:bCs/>
          <w:color w:val="0000E1"/>
          <w:u w:val="single"/>
        </w:rPr>
        <w:t>Risk-Adjusted Measure S</w:t>
      </w:r>
      <w:r w:rsidR="00316A54" w:rsidRPr="00A345D4">
        <w:rPr>
          <w:rFonts w:cstheme="minorHAnsi"/>
          <w:bCs/>
          <w:color w:val="0000E1"/>
          <w:u w:val="single"/>
        </w:rPr>
        <w:t>cores</w:t>
      </w:r>
      <w:r w:rsidR="00852091" w:rsidRPr="00A345D4">
        <w:rPr>
          <w:rFonts w:cstheme="minorHAnsi"/>
          <w:bCs/>
          <w:color w:val="0000E1"/>
          <w:u w:val="single"/>
        </w:rPr>
        <w:t xml:space="preserve"> for Medicare</w:t>
      </w:r>
    </w:p>
    <w:p w14:paraId="29091EF7" w14:textId="26D94D9C" w:rsidR="00604DFF" w:rsidRDefault="00604DFF" w:rsidP="00D86E7B">
      <w:pPr>
        <w:autoSpaceDE w:val="0"/>
        <w:autoSpaceDN w:val="0"/>
        <w:adjustRightInd w:val="0"/>
        <w:spacing w:after="0" w:line="240" w:lineRule="auto"/>
        <w:rPr>
          <w:rFonts w:cstheme="minorHAnsi"/>
          <w:bCs/>
          <w:color w:val="0000E1"/>
        </w:rPr>
      </w:pPr>
      <w:r>
        <w:rPr>
          <w:rFonts w:cstheme="minorHAnsi"/>
          <w:bCs/>
          <w:color w:val="0000E1"/>
        </w:rPr>
        <w:t xml:space="preserve">Using the </w:t>
      </w:r>
      <w:r w:rsidR="00CB3C23">
        <w:rPr>
          <w:rFonts w:cstheme="minorHAnsi"/>
          <w:bCs/>
          <w:color w:val="0000E1"/>
        </w:rPr>
        <w:t>201</w:t>
      </w:r>
      <w:r w:rsidR="00C450B4">
        <w:rPr>
          <w:rFonts w:cstheme="minorHAnsi"/>
          <w:bCs/>
          <w:color w:val="0000E1"/>
        </w:rPr>
        <w:t>6</w:t>
      </w:r>
      <w:r w:rsidR="00CB3C23">
        <w:rPr>
          <w:rFonts w:cstheme="minorHAnsi"/>
          <w:bCs/>
          <w:color w:val="0000E1"/>
        </w:rPr>
        <w:t xml:space="preserve"> </w:t>
      </w:r>
      <w:r>
        <w:rPr>
          <w:rFonts w:cstheme="minorHAnsi"/>
          <w:bCs/>
          <w:color w:val="0000E1"/>
        </w:rPr>
        <w:t>5% Medicare sample</w:t>
      </w:r>
    </w:p>
    <w:p w14:paraId="15150885" w14:textId="45B76E23" w:rsidR="001A1F0F" w:rsidRDefault="001A1F0F" w:rsidP="00D86E7B">
      <w:pPr>
        <w:autoSpaceDE w:val="0"/>
        <w:autoSpaceDN w:val="0"/>
        <w:adjustRightInd w:val="0"/>
        <w:spacing w:after="0" w:line="240" w:lineRule="auto"/>
        <w:rPr>
          <w:rFonts w:cstheme="minorHAnsi"/>
          <w:bCs/>
          <w:color w:val="0000E1"/>
        </w:rPr>
      </w:pPr>
      <w:r w:rsidRPr="00A345D4">
        <w:rPr>
          <w:rFonts w:cstheme="minorHAnsi"/>
          <w:bCs/>
          <w:color w:val="0000E1"/>
        </w:rPr>
        <w:t>The intra-class correlation between the two risk standardized scores among the two samples was 0.</w:t>
      </w:r>
      <w:r w:rsidR="009D1F33" w:rsidRPr="00A345D4">
        <w:rPr>
          <w:rFonts w:cstheme="minorHAnsi"/>
          <w:bCs/>
          <w:color w:val="0000E1"/>
        </w:rPr>
        <w:t>35</w:t>
      </w:r>
      <w:r w:rsidR="0078648B">
        <w:rPr>
          <w:rFonts w:cstheme="minorHAnsi"/>
          <w:bCs/>
          <w:color w:val="0000E1"/>
        </w:rPr>
        <w:t>48</w:t>
      </w:r>
      <w:r w:rsidR="00F54F6A" w:rsidRPr="00A345D4">
        <w:rPr>
          <w:rFonts w:cstheme="minorHAnsi"/>
          <w:bCs/>
          <w:color w:val="0000E1"/>
        </w:rPr>
        <w:t xml:space="preserve"> for Diabetes, 0.3</w:t>
      </w:r>
      <w:r w:rsidR="004B2A7E">
        <w:rPr>
          <w:rFonts w:cstheme="minorHAnsi"/>
          <w:bCs/>
          <w:color w:val="0000E1"/>
        </w:rPr>
        <w:t>513</w:t>
      </w:r>
      <w:r w:rsidRPr="00A345D4">
        <w:rPr>
          <w:rFonts w:cstheme="minorHAnsi"/>
          <w:bCs/>
          <w:color w:val="0000E1"/>
        </w:rPr>
        <w:t xml:space="preserve"> for RASA and 0.</w:t>
      </w:r>
      <w:r w:rsidR="00E1567D" w:rsidRPr="00A345D4">
        <w:rPr>
          <w:rFonts w:cstheme="minorHAnsi"/>
          <w:bCs/>
          <w:color w:val="0000E1"/>
        </w:rPr>
        <w:t>5</w:t>
      </w:r>
      <w:r w:rsidR="00182443" w:rsidRPr="00A345D4">
        <w:rPr>
          <w:rFonts w:cstheme="minorHAnsi"/>
          <w:bCs/>
          <w:color w:val="0000E1"/>
        </w:rPr>
        <w:t>0</w:t>
      </w:r>
      <w:r w:rsidR="00252A24">
        <w:rPr>
          <w:rFonts w:cstheme="minorHAnsi"/>
          <w:bCs/>
          <w:color w:val="0000E1"/>
        </w:rPr>
        <w:t>22</w:t>
      </w:r>
      <w:r w:rsidRPr="00A345D4">
        <w:rPr>
          <w:rFonts w:cstheme="minorHAnsi"/>
          <w:bCs/>
          <w:color w:val="0000E1"/>
        </w:rPr>
        <w:t xml:space="preserve"> for Statins. </w:t>
      </w:r>
    </w:p>
    <w:p w14:paraId="62F4952E" w14:textId="5DF5B2EF" w:rsidR="00252A24" w:rsidRDefault="00252A24" w:rsidP="00D86E7B">
      <w:pPr>
        <w:autoSpaceDE w:val="0"/>
        <w:autoSpaceDN w:val="0"/>
        <w:adjustRightInd w:val="0"/>
        <w:spacing w:after="0" w:line="240" w:lineRule="auto"/>
        <w:rPr>
          <w:rFonts w:cstheme="minorHAnsi"/>
          <w:bCs/>
          <w:color w:val="0000E1"/>
        </w:rPr>
      </w:pPr>
    </w:p>
    <w:p w14:paraId="35DE666C" w14:textId="71112FA6" w:rsidR="00604DFF" w:rsidRPr="00060169" w:rsidRDefault="003F6E9F" w:rsidP="00D86E7B">
      <w:pPr>
        <w:autoSpaceDE w:val="0"/>
        <w:autoSpaceDN w:val="0"/>
        <w:adjustRightInd w:val="0"/>
        <w:spacing w:after="0" w:line="240" w:lineRule="auto"/>
        <w:rPr>
          <w:rFonts w:cstheme="minorHAnsi"/>
          <w:b/>
          <w:bCs/>
          <w:color w:val="FF0000"/>
        </w:rPr>
      </w:pPr>
      <w:r w:rsidRPr="00060169">
        <w:rPr>
          <w:rFonts w:cstheme="minorHAnsi"/>
          <w:b/>
          <w:bCs/>
          <w:color w:val="FF0000"/>
        </w:rPr>
        <w:t>Additional</w:t>
      </w:r>
      <w:r w:rsidR="00886585" w:rsidRPr="00060169">
        <w:rPr>
          <w:rFonts w:cstheme="minorHAnsi"/>
          <w:b/>
          <w:bCs/>
          <w:color w:val="FF0000"/>
        </w:rPr>
        <w:t xml:space="preserve"> Testing</w:t>
      </w:r>
      <w:r w:rsidR="00604DFF" w:rsidRPr="00060169">
        <w:rPr>
          <w:rFonts w:cstheme="minorHAnsi"/>
          <w:b/>
          <w:bCs/>
          <w:color w:val="FF0000"/>
        </w:rPr>
        <w:t xml:space="preserve">: Using the </w:t>
      </w:r>
      <w:r w:rsidR="00F71146" w:rsidRPr="00060169">
        <w:rPr>
          <w:rFonts w:cstheme="minorHAnsi"/>
          <w:b/>
          <w:bCs/>
          <w:color w:val="FF0000"/>
        </w:rPr>
        <w:t xml:space="preserve">2017 </w:t>
      </w:r>
      <w:r w:rsidR="00604DFF" w:rsidRPr="00060169">
        <w:rPr>
          <w:rFonts w:cstheme="minorHAnsi"/>
          <w:b/>
          <w:bCs/>
          <w:color w:val="FF0000"/>
        </w:rPr>
        <w:t>100% CMS PDE data</w:t>
      </w:r>
    </w:p>
    <w:p w14:paraId="415270D5" w14:textId="2C881FE4" w:rsidR="00604DFF" w:rsidRPr="00604DFF" w:rsidRDefault="00604DFF" w:rsidP="00604DFF">
      <w:pPr>
        <w:autoSpaceDE w:val="0"/>
        <w:autoSpaceDN w:val="0"/>
        <w:adjustRightInd w:val="0"/>
        <w:spacing w:after="0" w:line="240" w:lineRule="auto"/>
        <w:rPr>
          <w:rFonts w:cstheme="minorHAnsi"/>
          <w:bCs/>
          <w:color w:val="FF0000"/>
        </w:rPr>
      </w:pPr>
      <w:r w:rsidRPr="00CB5E68">
        <w:rPr>
          <w:rFonts w:cstheme="minorHAnsi"/>
          <w:bCs/>
          <w:color w:val="FF0000"/>
        </w:rPr>
        <w:t>The intra-class correlation between the two risk standardized scores among the two samples was 0.</w:t>
      </w:r>
      <w:r w:rsidR="00CB5E68" w:rsidRPr="00CB5E68">
        <w:rPr>
          <w:rFonts w:cstheme="minorHAnsi"/>
          <w:bCs/>
          <w:color w:val="FF0000"/>
        </w:rPr>
        <w:t>7756</w:t>
      </w:r>
      <w:r w:rsidRPr="00CB5E68">
        <w:rPr>
          <w:rFonts w:cstheme="minorHAnsi"/>
          <w:bCs/>
          <w:color w:val="FF0000"/>
        </w:rPr>
        <w:t xml:space="preserve"> for Diabetes, 0.</w:t>
      </w:r>
      <w:r w:rsidR="00CB5E68" w:rsidRPr="00CB5E68">
        <w:rPr>
          <w:rFonts w:cstheme="minorHAnsi"/>
          <w:bCs/>
          <w:color w:val="FF0000"/>
        </w:rPr>
        <w:t>7260</w:t>
      </w:r>
      <w:r w:rsidRPr="00CB5E68">
        <w:rPr>
          <w:rFonts w:cstheme="minorHAnsi"/>
          <w:bCs/>
          <w:color w:val="FF0000"/>
        </w:rPr>
        <w:t xml:space="preserve"> for RASA and 0.</w:t>
      </w:r>
      <w:r w:rsidR="00CB5E68" w:rsidRPr="00CB5E68">
        <w:rPr>
          <w:rFonts w:cstheme="minorHAnsi"/>
          <w:bCs/>
          <w:color w:val="FF0000"/>
        </w:rPr>
        <w:t>8806</w:t>
      </w:r>
      <w:r w:rsidRPr="00CB5E68">
        <w:rPr>
          <w:rFonts w:cstheme="minorHAnsi"/>
          <w:bCs/>
          <w:color w:val="FF0000"/>
        </w:rPr>
        <w:t xml:space="preserve"> for Statins.</w:t>
      </w:r>
      <w:r w:rsidRPr="00604DFF">
        <w:rPr>
          <w:rFonts w:cstheme="minorHAnsi"/>
          <w:bCs/>
          <w:color w:val="FF0000"/>
        </w:rPr>
        <w:t xml:space="preserve"> </w:t>
      </w:r>
    </w:p>
    <w:p w14:paraId="72F09D6F" w14:textId="77777777" w:rsidR="00604DFF" w:rsidRPr="00C66D63" w:rsidRDefault="00604DFF" w:rsidP="00D86E7B">
      <w:pPr>
        <w:autoSpaceDE w:val="0"/>
        <w:autoSpaceDN w:val="0"/>
        <w:adjustRightInd w:val="0"/>
        <w:spacing w:after="0" w:line="240" w:lineRule="auto"/>
        <w:rPr>
          <w:rFonts w:cstheme="minorHAnsi"/>
          <w:bCs/>
          <w:color w:val="0000E1"/>
        </w:rPr>
      </w:pPr>
    </w:p>
    <w:p w14:paraId="5C0BEEC2" w14:textId="77777777" w:rsidR="00206E83" w:rsidRDefault="00092566" w:rsidP="00D86E7B">
      <w:pPr>
        <w:autoSpaceDE w:val="0"/>
        <w:autoSpaceDN w:val="0"/>
        <w:adjustRightInd w:val="0"/>
        <w:spacing w:after="0" w:line="240" w:lineRule="auto"/>
        <w:rPr>
          <w:rFonts w:cstheme="minorHAnsi"/>
          <w:bCs/>
        </w:rPr>
      </w:pPr>
      <w:r w:rsidRPr="00206E83">
        <w:rPr>
          <w:rFonts w:cstheme="minorHAnsi"/>
          <w:b/>
          <w:bCs/>
        </w:rPr>
        <w:t xml:space="preserve">2a2.4 </w:t>
      </w:r>
      <w:r w:rsidR="007422FD" w:rsidRPr="00206E83">
        <w:rPr>
          <w:rFonts w:cstheme="minorHAnsi"/>
          <w:b/>
          <w:bCs/>
        </w:rPr>
        <w:t xml:space="preserve">What </w:t>
      </w:r>
      <w:r w:rsidR="000B2DF7" w:rsidRPr="00206E83">
        <w:rPr>
          <w:rFonts w:cstheme="minorHAnsi"/>
          <w:b/>
          <w:bCs/>
        </w:rPr>
        <w:t>is your interpretation of the results in terms of</w:t>
      </w:r>
      <w:r w:rsidR="007422FD" w:rsidRPr="00206E83">
        <w:rPr>
          <w:rFonts w:cstheme="minorHAnsi"/>
          <w:b/>
          <w:bCs/>
        </w:rPr>
        <w:t xml:space="preserve"> demonstrating reliability</w:t>
      </w:r>
      <w:r w:rsidR="007422FD" w:rsidRPr="00206E83">
        <w:rPr>
          <w:rFonts w:cstheme="minorHAnsi"/>
          <w:bCs/>
        </w:rPr>
        <w:t xml:space="preserve">? </w:t>
      </w:r>
      <w:r w:rsidR="000B2DF7" w:rsidRPr="00206E83">
        <w:rPr>
          <w:rFonts w:cstheme="minorHAnsi"/>
          <w:bCs/>
        </w:rPr>
        <w:t>(i</w:t>
      </w:r>
      <w:r w:rsidR="000B2DF7" w:rsidRPr="00206E83">
        <w:rPr>
          <w:rFonts w:cstheme="minorHAnsi"/>
          <w:bCs/>
          <w:i/>
        </w:rPr>
        <w:t>.e., what do the results mean and what are the norms for the test conducted</w:t>
      </w:r>
      <w:r w:rsidR="007757CE" w:rsidRPr="00206E83">
        <w:rPr>
          <w:rFonts w:cstheme="minorHAnsi"/>
          <w:bCs/>
          <w:i/>
        </w:rPr>
        <w:t>?</w:t>
      </w:r>
      <w:r w:rsidR="000B2DF7" w:rsidRPr="00206E83">
        <w:rPr>
          <w:rFonts w:cstheme="minorHAnsi"/>
          <w:bCs/>
        </w:rPr>
        <w:t>)</w:t>
      </w:r>
    </w:p>
    <w:p w14:paraId="50D37BA4" w14:textId="77777777" w:rsidR="00C66D63" w:rsidRDefault="00C66D63" w:rsidP="00D86E7B">
      <w:pPr>
        <w:autoSpaceDE w:val="0"/>
        <w:autoSpaceDN w:val="0"/>
        <w:adjustRightInd w:val="0"/>
        <w:spacing w:after="0" w:line="240" w:lineRule="auto"/>
        <w:rPr>
          <w:rFonts w:cstheme="minorHAnsi"/>
          <w:bCs/>
        </w:rPr>
      </w:pPr>
    </w:p>
    <w:p w14:paraId="5C3B2362" w14:textId="225CB600" w:rsidR="00465B8F" w:rsidRPr="008E2AEA" w:rsidRDefault="00465B8F" w:rsidP="00D86E7B">
      <w:pPr>
        <w:autoSpaceDE w:val="0"/>
        <w:autoSpaceDN w:val="0"/>
        <w:adjustRightInd w:val="0"/>
        <w:spacing w:after="0" w:line="240" w:lineRule="auto"/>
        <w:rPr>
          <w:rFonts w:cstheme="minorHAnsi"/>
          <w:bCs/>
          <w:color w:val="0000E1"/>
        </w:rPr>
      </w:pPr>
      <w:r w:rsidRPr="008E2AEA">
        <w:rPr>
          <w:rFonts w:cstheme="minorHAnsi"/>
          <w:bCs/>
          <w:color w:val="0000E1"/>
          <w:u w:val="single"/>
        </w:rPr>
        <w:t>Unad</w:t>
      </w:r>
      <w:r w:rsidR="00FB26B7">
        <w:rPr>
          <w:rFonts w:cstheme="minorHAnsi"/>
          <w:bCs/>
          <w:color w:val="0000E1"/>
          <w:u w:val="single"/>
        </w:rPr>
        <w:t>justed M</w:t>
      </w:r>
      <w:r w:rsidRPr="008E2AEA">
        <w:rPr>
          <w:rFonts w:cstheme="minorHAnsi"/>
          <w:bCs/>
          <w:color w:val="0000E1"/>
          <w:u w:val="single"/>
        </w:rPr>
        <w:t xml:space="preserve">easure </w:t>
      </w:r>
      <w:r w:rsidR="00FB26B7">
        <w:rPr>
          <w:rFonts w:cstheme="minorHAnsi"/>
          <w:bCs/>
          <w:color w:val="0000E1"/>
          <w:u w:val="single"/>
        </w:rPr>
        <w:t>S</w:t>
      </w:r>
      <w:r w:rsidRPr="008E2AEA">
        <w:rPr>
          <w:rFonts w:cstheme="minorHAnsi"/>
          <w:bCs/>
          <w:color w:val="0000E1"/>
          <w:u w:val="single"/>
        </w:rPr>
        <w:t>cores</w:t>
      </w:r>
    </w:p>
    <w:p w14:paraId="63C95A84" w14:textId="77777777" w:rsidR="00465B8F" w:rsidRPr="008E2AEA" w:rsidRDefault="00206E83" w:rsidP="00D86E7B">
      <w:pPr>
        <w:autoSpaceDE w:val="0"/>
        <w:autoSpaceDN w:val="0"/>
        <w:adjustRightInd w:val="0"/>
        <w:spacing w:after="0" w:line="240" w:lineRule="auto"/>
        <w:rPr>
          <w:rFonts w:cstheme="minorHAnsi"/>
          <w:bCs/>
          <w:color w:val="0000E1"/>
        </w:rPr>
      </w:pPr>
      <w:r w:rsidRPr="008E2AEA">
        <w:rPr>
          <w:rFonts w:cstheme="minorHAnsi"/>
          <w:bCs/>
          <w:color w:val="0000E1"/>
        </w:rPr>
        <w:t>A reliability score of 0.7 is</w:t>
      </w:r>
      <w:r w:rsidR="00AD3877">
        <w:rPr>
          <w:rFonts w:cstheme="minorHAnsi"/>
          <w:bCs/>
          <w:color w:val="0000E1"/>
        </w:rPr>
        <w:t xml:space="preserve"> considered</w:t>
      </w:r>
      <w:r w:rsidRPr="008E2AEA">
        <w:rPr>
          <w:rFonts w:cstheme="minorHAnsi"/>
          <w:bCs/>
          <w:color w:val="0000E1"/>
        </w:rPr>
        <w:t xml:space="preserve"> the minimum threshold for reliability. Based on the mean</w:t>
      </w:r>
      <w:r w:rsidR="00465B8F" w:rsidRPr="008E2AEA">
        <w:rPr>
          <w:rFonts w:cstheme="minorHAnsi"/>
          <w:bCs/>
          <w:color w:val="0000E1"/>
        </w:rPr>
        <w:t xml:space="preserve"> reliability scores </w:t>
      </w:r>
      <w:r w:rsidR="008E2AEA" w:rsidRPr="008E2AEA">
        <w:rPr>
          <w:rFonts w:cstheme="minorHAnsi"/>
          <w:bCs/>
          <w:color w:val="0000E1"/>
        </w:rPr>
        <w:t>between 0.85</w:t>
      </w:r>
      <w:r w:rsidR="00884753">
        <w:rPr>
          <w:rFonts w:cstheme="minorHAnsi"/>
          <w:bCs/>
          <w:color w:val="0000E1"/>
        </w:rPr>
        <w:t xml:space="preserve"> </w:t>
      </w:r>
      <w:r w:rsidR="008E2AEA" w:rsidRPr="008E2AEA">
        <w:rPr>
          <w:rFonts w:cstheme="minorHAnsi"/>
          <w:bCs/>
          <w:color w:val="0000E1"/>
        </w:rPr>
        <w:t>(Diabetes) and 0.92</w:t>
      </w:r>
      <w:r w:rsidR="00884753">
        <w:rPr>
          <w:rFonts w:cstheme="minorHAnsi"/>
          <w:bCs/>
          <w:color w:val="0000E1"/>
        </w:rPr>
        <w:t xml:space="preserve"> </w:t>
      </w:r>
      <w:r w:rsidR="00451089" w:rsidRPr="008E2AEA">
        <w:rPr>
          <w:rFonts w:cstheme="minorHAnsi"/>
          <w:bCs/>
          <w:color w:val="0000E1"/>
        </w:rPr>
        <w:t>(Statins) for Medicare and 0.92</w:t>
      </w:r>
      <w:r w:rsidR="00884753">
        <w:rPr>
          <w:rFonts w:cstheme="minorHAnsi"/>
          <w:bCs/>
          <w:color w:val="0000E1"/>
        </w:rPr>
        <w:t xml:space="preserve"> </w:t>
      </w:r>
      <w:r w:rsidR="00451089" w:rsidRPr="008E2AEA">
        <w:rPr>
          <w:rFonts w:cstheme="minorHAnsi"/>
          <w:bCs/>
          <w:color w:val="0000E1"/>
        </w:rPr>
        <w:t>(Diabetes)</w:t>
      </w:r>
      <w:r w:rsidRPr="008E2AEA">
        <w:rPr>
          <w:rFonts w:cstheme="minorHAnsi"/>
          <w:bCs/>
          <w:color w:val="0000E1"/>
        </w:rPr>
        <w:t xml:space="preserve"> and 0.9</w:t>
      </w:r>
      <w:r w:rsidR="00465B8F" w:rsidRPr="008E2AEA">
        <w:rPr>
          <w:rFonts w:cstheme="minorHAnsi"/>
          <w:bCs/>
          <w:color w:val="0000E1"/>
        </w:rPr>
        <w:t>3</w:t>
      </w:r>
      <w:r w:rsidR="00884753">
        <w:rPr>
          <w:rFonts w:cstheme="minorHAnsi"/>
          <w:bCs/>
          <w:color w:val="0000E1"/>
        </w:rPr>
        <w:t xml:space="preserve"> </w:t>
      </w:r>
      <w:r w:rsidR="00451089" w:rsidRPr="008E2AEA">
        <w:rPr>
          <w:rFonts w:cstheme="minorHAnsi"/>
          <w:bCs/>
          <w:color w:val="0000E1"/>
        </w:rPr>
        <w:t>(RASA and Statins)</w:t>
      </w:r>
      <w:r w:rsidRPr="008E2AEA">
        <w:rPr>
          <w:rFonts w:cstheme="minorHAnsi"/>
          <w:bCs/>
          <w:color w:val="0000E1"/>
        </w:rPr>
        <w:t xml:space="preserve"> for </w:t>
      </w:r>
      <w:r w:rsidR="001A1F0F" w:rsidRPr="008E2AEA">
        <w:rPr>
          <w:rFonts w:cstheme="minorHAnsi"/>
          <w:bCs/>
          <w:color w:val="0000E1"/>
        </w:rPr>
        <w:t>Medicaid</w:t>
      </w:r>
      <w:r w:rsidRPr="008E2AEA">
        <w:rPr>
          <w:rFonts w:cstheme="minorHAnsi"/>
          <w:bCs/>
          <w:color w:val="0000E1"/>
        </w:rPr>
        <w:t xml:space="preserve">, </w:t>
      </w:r>
      <w:r w:rsidR="001A1F0F" w:rsidRPr="008E2AEA">
        <w:rPr>
          <w:rFonts w:cstheme="minorHAnsi"/>
          <w:bCs/>
          <w:color w:val="0000E1"/>
        </w:rPr>
        <w:t>the measure scores for the</w:t>
      </w:r>
      <w:r w:rsidRPr="008E2AEA">
        <w:rPr>
          <w:rFonts w:cstheme="minorHAnsi"/>
          <w:bCs/>
          <w:color w:val="0000E1"/>
        </w:rPr>
        <w:t xml:space="preserve"> three </w:t>
      </w:r>
      <w:r w:rsidR="001A1F0F" w:rsidRPr="008E2AEA">
        <w:rPr>
          <w:rFonts w:cstheme="minorHAnsi"/>
          <w:bCs/>
          <w:color w:val="0000E1"/>
        </w:rPr>
        <w:t xml:space="preserve">therapeutic </w:t>
      </w:r>
      <w:r w:rsidR="001957C7" w:rsidRPr="008E2AEA">
        <w:rPr>
          <w:rFonts w:cstheme="minorHAnsi"/>
          <w:bCs/>
          <w:color w:val="0000E1"/>
        </w:rPr>
        <w:t>categories</w:t>
      </w:r>
      <w:r w:rsidRPr="008E2AEA">
        <w:rPr>
          <w:rFonts w:cstheme="minorHAnsi"/>
          <w:bCs/>
          <w:color w:val="0000E1"/>
        </w:rPr>
        <w:t xml:space="preserve"> are considered reliable.</w:t>
      </w:r>
    </w:p>
    <w:p w14:paraId="3EA253B8" w14:textId="77777777" w:rsidR="00451089" w:rsidRDefault="00451089" w:rsidP="00D86E7B">
      <w:pPr>
        <w:autoSpaceDE w:val="0"/>
        <w:autoSpaceDN w:val="0"/>
        <w:adjustRightInd w:val="0"/>
        <w:spacing w:after="0" w:line="240" w:lineRule="auto"/>
        <w:rPr>
          <w:rFonts w:cstheme="minorHAnsi"/>
          <w:bCs/>
        </w:rPr>
      </w:pPr>
    </w:p>
    <w:p w14:paraId="7472848B" w14:textId="341AB6CA" w:rsidR="00465B8F" w:rsidRPr="008E2AEA" w:rsidRDefault="00FB26B7" w:rsidP="00D86E7B">
      <w:pPr>
        <w:autoSpaceDE w:val="0"/>
        <w:autoSpaceDN w:val="0"/>
        <w:adjustRightInd w:val="0"/>
        <w:spacing w:after="0" w:line="240" w:lineRule="auto"/>
        <w:rPr>
          <w:rFonts w:cstheme="minorHAnsi"/>
          <w:bCs/>
          <w:color w:val="0000E1"/>
          <w:u w:val="single"/>
        </w:rPr>
      </w:pPr>
      <w:r>
        <w:rPr>
          <w:rFonts w:cstheme="minorHAnsi"/>
          <w:bCs/>
          <w:color w:val="0000E1"/>
          <w:u w:val="single"/>
        </w:rPr>
        <w:t>Risk-Adjusted Measure S</w:t>
      </w:r>
      <w:r w:rsidR="00465B8F" w:rsidRPr="008E2AEA">
        <w:rPr>
          <w:rFonts w:cstheme="minorHAnsi"/>
          <w:bCs/>
          <w:color w:val="0000E1"/>
          <w:u w:val="single"/>
        </w:rPr>
        <w:t>cores for Medicare</w:t>
      </w:r>
      <w:r w:rsidR="00A810C8">
        <w:rPr>
          <w:rFonts w:cstheme="minorHAnsi"/>
          <w:bCs/>
          <w:color w:val="0000E1"/>
          <w:u w:val="single"/>
        </w:rPr>
        <w:t xml:space="preserve"> (</w:t>
      </w:r>
      <w:r w:rsidR="001103FC">
        <w:rPr>
          <w:rFonts w:cstheme="minorHAnsi"/>
          <w:bCs/>
          <w:color w:val="0000E1"/>
          <w:u w:val="single"/>
        </w:rPr>
        <w:t>201</w:t>
      </w:r>
      <w:r w:rsidR="00C450B4">
        <w:rPr>
          <w:rFonts w:cstheme="minorHAnsi"/>
          <w:bCs/>
          <w:color w:val="0000E1"/>
          <w:u w:val="single"/>
        </w:rPr>
        <w:t>6</w:t>
      </w:r>
      <w:r w:rsidR="001103FC">
        <w:rPr>
          <w:rFonts w:cstheme="minorHAnsi"/>
          <w:bCs/>
          <w:color w:val="0000E1"/>
          <w:u w:val="single"/>
        </w:rPr>
        <w:t xml:space="preserve"> </w:t>
      </w:r>
      <w:r w:rsidR="00A810C8">
        <w:rPr>
          <w:rFonts w:cstheme="minorHAnsi"/>
          <w:bCs/>
          <w:color w:val="0000E1"/>
          <w:u w:val="single"/>
        </w:rPr>
        <w:t>5% sample)</w:t>
      </w:r>
    </w:p>
    <w:p w14:paraId="6853CC5E" w14:textId="77777777" w:rsidR="003B4DF1" w:rsidRDefault="00465B8F" w:rsidP="00D86E7B">
      <w:pPr>
        <w:autoSpaceDE w:val="0"/>
        <w:autoSpaceDN w:val="0"/>
        <w:adjustRightInd w:val="0"/>
        <w:spacing w:after="0" w:line="240" w:lineRule="auto"/>
        <w:rPr>
          <w:rFonts w:cstheme="minorHAnsi"/>
          <w:bCs/>
          <w:color w:val="0000E1"/>
        </w:rPr>
      </w:pPr>
      <w:r w:rsidRPr="008E2AEA">
        <w:rPr>
          <w:rFonts w:cstheme="minorHAnsi"/>
          <w:bCs/>
          <w:color w:val="0000E1"/>
        </w:rPr>
        <w:t xml:space="preserve">The ICC scores for Diabetes and RASA are considered </w:t>
      </w:r>
      <w:r w:rsidR="00991523">
        <w:rPr>
          <w:rFonts w:cstheme="minorHAnsi"/>
          <w:bCs/>
          <w:color w:val="0000E1"/>
        </w:rPr>
        <w:t>low</w:t>
      </w:r>
      <w:r w:rsidRPr="008E2AEA">
        <w:rPr>
          <w:rFonts w:cstheme="minorHAnsi"/>
          <w:bCs/>
          <w:color w:val="0000E1"/>
        </w:rPr>
        <w:t xml:space="preserve">, while the ICC score for Statins is considered </w:t>
      </w:r>
      <w:r w:rsidR="00991523">
        <w:rPr>
          <w:rFonts w:cstheme="minorHAnsi"/>
          <w:bCs/>
          <w:color w:val="0000E1"/>
        </w:rPr>
        <w:t>moderate</w:t>
      </w:r>
      <w:r w:rsidRPr="008E2AEA">
        <w:rPr>
          <w:rFonts w:cstheme="minorHAnsi"/>
          <w:bCs/>
          <w:color w:val="0000E1"/>
        </w:rPr>
        <w:t xml:space="preserve"> according to conventional interpretation.</w:t>
      </w:r>
      <w:r w:rsidR="00813164">
        <w:rPr>
          <w:rFonts w:cstheme="minorHAnsi"/>
          <w:bCs/>
          <w:color w:val="0000E1"/>
          <w:vertAlign w:val="superscript"/>
        </w:rPr>
        <w:t>1</w:t>
      </w:r>
      <w:r w:rsidR="00813164" w:rsidRPr="008E2AEA">
        <w:rPr>
          <w:rFonts w:cstheme="minorHAnsi"/>
          <w:bCs/>
          <w:color w:val="0000E1"/>
          <w:vertAlign w:val="superscript"/>
        </w:rPr>
        <w:t xml:space="preserve"> </w:t>
      </w:r>
      <w:r w:rsidR="00B41FF1" w:rsidRPr="008E2AEA">
        <w:rPr>
          <w:rFonts w:cstheme="minorHAnsi"/>
          <w:bCs/>
          <w:color w:val="0000E1"/>
        </w:rPr>
        <w:t xml:space="preserve">However, it is important to note that the analysis </w:t>
      </w:r>
      <w:r w:rsidR="00B41FF1" w:rsidRPr="008E2AEA">
        <w:rPr>
          <w:rFonts w:cstheme="minorHAnsi"/>
          <w:bCs/>
          <w:color w:val="0000E1"/>
        </w:rPr>
        <w:lastRenderedPageBreak/>
        <w:t xml:space="preserve">was conducted using the 5% sample </w:t>
      </w:r>
      <w:r w:rsidR="00A70FB4">
        <w:rPr>
          <w:rFonts w:cstheme="minorHAnsi"/>
          <w:bCs/>
          <w:color w:val="0000E1"/>
        </w:rPr>
        <w:t>of the Medicare population, and</w:t>
      </w:r>
      <w:r w:rsidR="00B41FF1" w:rsidRPr="008E2AEA">
        <w:rPr>
          <w:rFonts w:cstheme="minorHAnsi"/>
          <w:bCs/>
          <w:color w:val="0000E1"/>
        </w:rPr>
        <w:t xml:space="preserve"> sample size is one of the driver</w:t>
      </w:r>
      <w:r w:rsidR="008E2AEA">
        <w:rPr>
          <w:rFonts w:cstheme="minorHAnsi"/>
          <w:bCs/>
          <w:color w:val="0000E1"/>
        </w:rPr>
        <w:t xml:space="preserve">s of reliability. </w:t>
      </w:r>
    </w:p>
    <w:p w14:paraId="71D4265C" w14:textId="77777777" w:rsidR="003B4DF1" w:rsidRDefault="003B4DF1" w:rsidP="00D86E7B">
      <w:pPr>
        <w:autoSpaceDE w:val="0"/>
        <w:autoSpaceDN w:val="0"/>
        <w:adjustRightInd w:val="0"/>
        <w:spacing w:after="0" w:line="240" w:lineRule="auto"/>
        <w:rPr>
          <w:rFonts w:cstheme="minorHAnsi"/>
          <w:bCs/>
          <w:color w:val="0000E1"/>
        </w:rPr>
      </w:pPr>
    </w:p>
    <w:p w14:paraId="72D08D0E" w14:textId="2DE9A5F0" w:rsidR="00E028DF" w:rsidRDefault="008E2AEA" w:rsidP="00D86E7B">
      <w:pPr>
        <w:autoSpaceDE w:val="0"/>
        <w:autoSpaceDN w:val="0"/>
        <w:adjustRightInd w:val="0"/>
        <w:spacing w:after="0" w:line="240" w:lineRule="auto"/>
        <w:rPr>
          <w:rFonts w:cstheme="minorHAnsi"/>
          <w:bCs/>
          <w:color w:val="0000E1"/>
        </w:rPr>
      </w:pPr>
      <w:r w:rsidRPr="00930280">
        <w:rPr>
          <w:rFonts w:cstheme="minorHAnsi"/>
          <w:bCs/>
          <w:color w:val="0000E1"/>
        </w:rPr>
        <w:t xml:space="preserve">Smaller plan-contracts may negatively impact the ICC as the random split is more likely to introduce noise, since the two halves may </w:t>
      </w:r>
      <w:r w:rsidR="00AD3877" w:rsidRPr="00930280">
        <w:rPr>
          <w:rFonts w:cstheme="minorHAnsi"/>
          <w:bCs/>
          <w:color w:val="0000E1"/>
        </w:rPr>
        <w:t>not be equally balanced</w:t>
      </w:r>
      <w:r w:rsidRPr="00930280">
        <w:rPr>
          <w:rFonts w:cstheme="minorHAnsi"/>
          <w:bCs/>
          <w:color w:val="0000E1"/>
        </w:rPr>
        <w:t>, unlike large plan-contracts wher</w:t>
      </w:r>
      <w:r w:rsidR="00E028DF" w:rsidRPr="00930280">
        <w:rPr>
          <w:rFonts w:cstheme="minorHAnsi"/>
          <w:bCs/>
          <w:color w:val="0000E1"/>
        </w:rPr>
        <w:t>e we expect both samples to be normally distributed</w:t>
      </w:r>
      <w:r w:rsidR="00AD3877" w:rsidRPr="00930280">
        <w:rPr>
          <w:rFonts w:cstheme="minorHAnsi"/>
          <w:bCs/>
          <w:color w:val="0000E1"/>
        </w:rPr>
        <w:t xml:space="preserve"> due to the law of large numbers</w:t>
      </w:r>
      <w:r w:rsidR="00E028DF" w:rsidRPr="00930280">
        <w:rPr>
          <w:rFonts w:cstheme="minorHAnsi"/>
          <w:bCs/>
          <w:color w:val="0000E1"/>
        </w:rPr>
        <w:t>.</w:t>
      </w:r>
      <w:r w:rsidR="00884753">
        <w:rPr>
          <w:rFonts w:cstheme="minorHAnsi"/>
          <w:bCs/>
          <w:color w:val="0000E1"/>
        </w:rPr>
        <w:t xml:space="preserve"> </w:t>
      </w:r>
      <w:r w:rsidR="00A70FB4" w:rsidRPr="00930280">
        <w:rPr>
          <w:rFonts w:cstheme="minorHAnsi"/>
          <w:bCs/>
          <w:color w:val="0000E1"/>
        </w:rPr>
        <w:t xml:space="preserve">Thus, </w:t>
      </w:r>
      <w:r w:rsidR="00B41FF1" w:rsidRPr="00930280">
        <w:rPr>
          <w:rFonts w:cstheme="minorHAnsi"/>
          <w:bCs/>
          <w:color w:val="0000E1"/>
        </w:rPr>
        <w:t xml:space="preserve">we </w:t>
      </w:r>
      <w:r w:rsidR="002E6534">
        <w:rPr>
          <w:rFonts w:cstheme="minorHAnsi"/>
          <w:bCs/>
          <w:color w:val="0000E1"/>
        </w:rPr>
        <w:t>anticipate</w:t>
      </w:r>
      <w:r w:rsidR="00B41FF1" w:rsidRPr="00930280">
        <w:rPr>
          <w:rFonts w:cstheme="minorHAnsi"/>
          <w:bCs/>
          <w:color w:val="0000E1"/>
        </w:rPr>
        <w:t xml:space="preserve"> the reliability </w:t>
      </w:r>
      <w:r w:rsidR="002E6534">
        <w:rPr>
          <w:rFonts w:cstheme="minorHAnsi"/>
          <w:bCs/>
          <w:color w:val="0000E1"/>
        </w:rPr>
        <w:t>would</w:t>
      </w:r>
      <w:r w:rsidR="00B41FF1" w:rsidRPr="00930280">
        <w:rPr>
          <w:rFonts w:cstheme="minorHAnsi"/>
          <w:bCs/>
          <w:color w:val="0000E1"/>
        </w:rPr>
        <w:t xml:space="preserve"> improve when applied to the total Medicare population</w:t>
      </w:r>
      <w:r w:rsidR="00B41FF1" w:rsidRPr="008E2AEA">
        <w:rPr>
          <w:rFonts w:cstheme="minorHAnsi"/>
          <w:bCs/>
          <w:color w:val="0000E1"/>
        </w:rPr>
        <w:t>.</w:t>
      </w:r>
      <w:r w:rsidRPr="008E2AEA">
        <w:rPr>
          <w:rFonts w:cstheme="minorHAnsi"/>
          <w:bCs/>
          <w:color w:val="0000E1"/>
        </w:rPr>
        <w:t xml:space="preserve"> This is evident in the high reliability for the unadjusted measure scores for Medicare, which was conducted using the 100% CMS PDE data.</w:t>
      </w:r>
    </w:p>
    <w:p w14:paraId="778FC240" w14:textId="611BF7D3" w:rsidR="00604DFF" w:rsidRDefault="00604DFF" w:rsidP="00D86E7B">
      <w:pPr>
        <w:autoSpaceDE w:val="0"/>
        <w:autoSpaceDN w:val="0"/>
        <w:adjustRightInd w:val="0"/>
        <w:spacing w:after="0" w:line="240" w:lineRule="auto"/>
        <w:rPr>
          <w:rFonts w:cstheme="minorHAnsi"/>
          <w:bCs/>
          <w:color w:val="0000E1"/>
        </w:rPr>
      </w:pPr>
    </w:p>
    <w:p w14:paraId="08FF4D1F" w14:textId="65C7BC3D" w:rsidR="00604DFF" w:rsidRPr="00060169" w:rsidRDefault="003F6E9F" w:rsidP="00D86E7B">
      <w:pPr>
        <w:autoSpaceDE w:val="0"/>
        <w:autoSpaceDN w:val="0"/>
        <w:adjustRightInd w:val="0"/>
        <w:spacing w:after="0" w:line="240" w:lineRule="auto"/>
        <w:rPr>
          <w:rFonts w:cstheme="minorHAnsi"/>
          <w:b/>
          <w:bCs/>
          <w:color w:val="FF0000"/>
        </w:rPr>
      </w:pPr>
      <w:r w:rsidRPr="00060169">
        <w:rPr>
          <w:rFonts w:cstheme="minorHAnsi"/>
          <w:b/>
          <w:bCs/>
          <w:color w:val="FF0000"/>
        </w:rPr>
        <w:t>Additional</w:t>
      </w:r>
      <w:r w:rsidR="00CB3C23" w:rsidRPr="00060169">
        <w:rPr>
          <w:rFonts w:cstheme="minorHAnsi"/>
          <w:b/>
          <w:bCs/>
          <w:color w:val="FF0000"/>
        </w:rPr>
        <w:t xml:space="preserve"> Testing</w:t>
      </w:r>
      <w:r w:rsidR="001103FC" w:rsidRPr="00060169">
        <w:rPr>
          <w:rFonts w:cstheme="minorHAnsi"/>
          <w:b/>
          <w:bCs/>
          <w:color w:val="FF0000"/>
        </w:rPr>
        <w:t xml:space="preserve"> (2017 100% CMS PDE Data)</w:t>
      </w:r>
      <w:r w:rsidR="00604DFF" w:rsidRPr="00060169">
        <w:rPr>
          <w:rFonts w:cstheme="minorHAnsi"/>
          <w:b/>
          <w:bCs/>
          <w:color w:val="FF0000"/>
        </w:rPr>
        <w:t>:</w:t>
      </w:r>
    </w:p>
    <w:p w14:paraId="05890494" w14:textId="1624EC23" w:rsidR="00604DFF" w:rsidRPr="00604DFF" w:rsidRDefault="00604DFF" w:rsidP="00D86E7B">
      <w:pPr>
        <w:autoSpaceDE w:val="0"/>
        <w:autoSpaceDN w:val="0"/>
        <w:adjustRightInd w:val="0"/>
        <w:spacing w:after="0" w:line="240" w:lineRule="auto"/>
        <w:rPr>
          <w:rFonts w:cstheme="minorHAnsi"/>
          <w:bCs/>
          <w:color w:val="FF0000"/>
        </w:rPr>
      </w:pPr>
      <w:r w:rsidRPr="00604DFF">
        <w:rPr>
          <w:rFonts w:cstheme="minorHAnsi"/>
          <w:bCs/>
          <w:color w:val="FF0000"/>
        </w:rPr>
        <w:t xml:space="preserve">As expected, reliability of the risk-adjusted measure scores improved significantly when applied to the 100% </w:t>
      </w:r>
      <w:r w:rsidR="00772DFA">
        <w:rPr>
          <w:rFonts w:cstheme="minorHAnsi"/>
          <w:bCs/>
          <w:color w:val="FF0000"/>
        </w:rPr>
        <w:t xml:space="preserve">CMS PDE </w:t>
      </w:r>
      <w:r w:rsidR="00F71146">
        <w:rPr>
          <w:rFonts w:cstheme="minorHAnsi"/>
          <w:bCs/>
          <w:color w:val="FF0000"/>
        </w:rPr>
        <w:t>Medicare</w:t>
      </w:r>
      <w:r w:rsidRPr="00604DFF">
        <w:rPr>
          <w:rFonts w:cstheme="minorHAnsi"/>
          <w:bCs/>
          <w:color w:val="FF0000"/>
        </w:rPr>
        <w:t xml:space="preserve"> dataset</w:t>
      </w:r>
      <w:r w:rsidR="009A0C4B">
        <w:rPr>
          <w:rFonts w:cstheme="minorHAnsi"/>
          <w:bCs/>
          <w:color w:val="FF0000"/>
        </w:rPr>
        <w:t xml:space="preserve">, ranging from </w:t>
      </w:r>
      <w:r w:rsidR="00CB5E68">
        <w:rPr>
          <w:rFonts w:cstheme="minorHAnsi"/>
          <w:bCs/>
          <w:color w:val="FF0000"/>
        </w:rPr>
        <w:t>0.73</w:t>
      </w:r>
      <w:r w:rsidR="009A0C4B">
        <w:rPr>
          <w:rFonts w:cstheme="minorHAnsi"/>
          <w:bCs/>
          <w:color w:val="FF0000"/>
        </w:rPr>
        <w:t xml:space="preserve"> (</w:t>
      </w:r>
      <w:r w:rsidR="00CB5E68">
        <w:rPr>
          <w:rFonts w:cstheme="minorHAnsi"/>
          <w:bCs/>
          <w:color w:val="FF0000"/>
        </w:rPr>
        <w:t>RASA</w:t>
      </w:r>
      <w:r w:rsidR="009A0C4B">
        <w:rPr>
          <w:rFonts w:cstheme="minorHAnsi"/>
          <w:bCs/>
          <w:color w:val="FF0000"/>
        </w:rPr>
        <w:t xml:space="preserve">) to </w:t>
      </w:r>
      <w:r w:rsidR="00CB5E68">
        <w:rPr>
          <w:rFonts w:cstheme="minorHAnsi"/>
          <w:bCs/>
          <w:color w:val="FF0000"/>
        </w:rPr>
        <w:t xml:space="preserve">0.88 </w:t>
      </w:r>
      <w:r w:rsidR="009A0C4B">
        <w:rPr>
          <w:rFonts w:cstheme="minorHAnsi"/>
          <w:bCs/>
          <w:color w:val="FF0000"/>
        </w:rPr>
        <w:t>(Statins)</w:t>
      </w:r>
      <w:r w:rsidRPr="00604DFF">
        <w:rPr>
          <w:rFonts w:cstheme="minorHAnsi"/>
          <w:bCs/>
          <w:color w:val="FF0000"/>
        </w:rPr>
        <w:t>.  Based on conventional interpretation</w:t>
      </w:r>
      <w:r w:rsidR="00156C05">
        <w:rPr>
          <w:rFonts w:cstheme="minorHAnsi"/>
          <w:bCs/>
          <w:color w:val="FF0000"/>
        </w:rPr>
        <w:t>,</w:t>
      </w:r>
      <w:r w:rsidR="00156C05" w:rsidRPr="00156C05">
        <w:rPr>
          <w:rFonts w:cstheme="minorHAnsi"/>
          <w:bCs/>
          <w:color w:val="FF0000"/>
          <w:vertAlign w:val="superscript"/>
        </w:rPr>
        <w:t>1</w:t>
      </w:r>
      <w:r w:rsidR="00CB5E68">
        <w:rPr>
          <w:rFonts w:cstheme="minorHAnsi"/>
          <w:bCs/>
          <w:color w:val="FF0000"/>
        </w:rPr>
        <w:t xml:space="preserve"> </w:t>
      </w:r>
      <w:r w:rsidRPr="00604DFF">
        <w:rPr>
          <w:rFonts w:cstheme="minorHAnsi"/>
          <w:bCs/>
          <w:color w:val="FF0000"/>
        </w:rPr>
        <w:t xml:space="preserve">reliability for all three measures were </w:t>
      </w:r>
      <w:r w:rsidR="00CB5E68">
        <w:rPr>
          <w:rFonts w:cstheme="minorHAnsi"/>
          <w:bCs/>
          <w:color w:val="FF0000"/>
        </w:rPr>
        <w:t>good</w:t>
      </w:r>
      <w:r w:rsidRPr="00604DFF">
        <w:rPr>
          <w:rFonts w:cstheme="minorHAnsi"/>
          <w:bCs/>
          <w:color w:val="FF0000"/>
        </w:rPr>
        <w:t xml:space="preserve">. </w:t>
      </w:r>
    </w:p>
    <w:p w14:paraId="45C0592E" w14:textId="77777777" w:rsidR="00813164" w:rsidRDefault="00813164" w:rsidP="00D86E7B">
      <w:pPr>
        <w:autoSpaceDE w:val="0"/>
        <w:autoSpaceDN w:val="0"/>
        <w:adjustRightInd w:val="0"/>
        <w:spacing w:after="0" w:line="240" w:lineRule="auto"/>
        <w:rPr>
          <w:rFonts w:cstheme="minorHAnsi"/>
          <w:bCs/>
          <w:color w:val="0000E1"/>
        </w:rPr>
      </w:pPr>
    </w:p>
    <w:p w14:paraId="7F2A26BA" w14:textId="77777777" w:rsidR="00813164" w:rsidRPr="0009679C" w:rsidRDefault="00813164" w:rsidP="00D86E7B">
      <w:pPr>
        <w:autoSpaceDE w:val="0"/>
        <w:autoSpaceDN w:val="0"/>
        <w:adjustRightInd w:val="0"/>
        <w:spacing w:after="0" w:line="240" w:lineRule="auto"/>
        <w:rPr>
          <w:rFonts w:cstheme="minorHAnsi"/>
          <w:b/>
          <w:noProof/>
          <w:color w:val="0000E1"/>
        </w:rPr>
      </w:pPr>
      <w:r w:rsidRPr="0009679C">
        <w:rPr>
          <w:rFonts w:cstheme="minorHAnsi"/>
          <w:b/>
          <w:noProof/>
          <w:color w:val="0000E1"/>
        </w:rPr>
        <w:t>References:</w:t>
      </w:r>
    </w:p>
    <w:p w14:paraId="0F1CB8CA" w14:textId="77777777" w:rsidR="00813164" w:rsidRPr="00813164" w:rsidRDefault="00813164" w:rsidP="00D86E7B">
      <w:pPr>
        <w:pStyle w:val="ListParagraph"/>
        <w:numPr>
          <w:ilvl w:val="0"/>
          <w:numId w:val="15"/>
        </w:numPr>
        <w:autoSpaceDE w:val="0"/>
        <w:autoSpaceDN w:val="0"/>
        <w:adjustRightInd w:val="0"/>
        <w:spacing w:after="0" w:line="240" w:lineRule="auto"/>
        <w:rPr>
          <w:color w:val="0000E1"/>
        </w:rPr>
      </w:pPr>
      <w:r w:rsidRPr="00813164">
        <w:rPr>
          <w:color w:val="0000E1"/>
        </w:rPr>
        <w:t xml:space="preserve">Koo TK, Li MY. A guideline of Selecting and Reporting Intraclass Correlation Coefficients for Reliability Research. Journal of Chiropractic Medicine. 2016; 15(2):155-63. PMID: </w:t>
      </w:r>
      <w:hyperlink r:id="rId16" w:history="1">
        <w:r w:rsidRPr="008D03BA">
          <w:rPr>
            <w:rStyle w:val="Hyperlink"/>
          </w:rPr>
          <w:t>27330520</w:t>
        </w:r>
      </w:hyperlink>
      <w:r w:rsidRPr="00813164">
        <w:rPr>
          <w:color w:val="0000E1"/>
        </w:rPr>
        <w:t>.</w:t>
      </w:r>
    </w:p>
    <w:p w14:paraId="5BE9E3BD" w14:textId="77777777" w:rsidR="00021170" w:rsidRPr="00A25024" w:rsidRDefault="00483E94" w:rsidP="00D86E7B">
      <w:pPr>
        <w:autoSpaceDE w:val="0"/>
        <w:autoSpaceDN w:val="0"/>
        <w:adjustRightInd w:val="0"/>
        <w:spacing w:after="0" w:line="240" w:lineRule="auto"/>
        <w:rPr>
          <w:rFonts w:cstheme="minorHAnsi"/>
          <w:noProof/>
        </w:rPr>
      </w:pPr>
      <w:r>
        <w:rPr>
          <w:rFonts w:cstheme="minorHAnsi"/>
          <w:noProof/>
        </w:rPr>
        <w:t>___________________________</w:t>
      </w:r>
    </w:p>
    <w:p w14:paraId="36D2B901"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4D10320E" w14:textId="77777777"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15D2300" w14:textId="77777777" w:rsidR="00696262" w:rsidRPr="00A25024" w:rsidRDefault="00C87E2A"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327B89">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6D14574B" w14:textId="77777777" w:rsidR="00CA06D8" w:rsidRDefault="00C87E2A" w:rsidP="00D23F8B">
      <w:pPr>
        <w:autoSpaceDE w:val="0"/>
        <w:autoSpaceDN w:val="0"/>
        <w:adjustRightInd w:val="0"/>
        <w:spacing w:after="0" w:line="240" w:lineRule="auto"/>
        <w:ind w:left="255"/>
        <w:rPr>
          <w:rFonts w:eastAsia="MS Gothic"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327B89">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327B89">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862F92">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4065BD1A" w14:textId="77777777" w:rsidR="009850CD" w:rsidRPr="00D23F8B" w:rsidRDefault="009850CD" w:rsidP="00D23F8B">
      <w:pPr>
        <w:autoSpaceDE w:val="0"/>
        <w:autoSpaceDN w:val="0"/>
        <w:adjustRightInd w:val="0"/>
        <w:spacing w:after="0" w:line="240" w:lineRule="auto"/>
        <w:ind w:left="255"/>
        <w:rPr>
          <w:rFonts w:cstheme="minorHAnsi"/>
          <w:bCs/>
        </w:rPr>
      </w:pPr>
    </w:p>
    <w:p w14:paraId="1A146032" w14:textId="77777777" w:rsidR="003B4DF1" w:rsidRDefault="009C7513" w:rsidP="001E4E23">
      <w:pPr>
        <w:autoSpaceDE w:val="0"/>
        <w:autoSpaceDN w:val="0"/>
        <w:adjustRightInd w:val="0"/>
        <w:spacing w:after="0" w:line="240" w:lineRule="auto"/>
        <w:rPr>
          <w:rFonts w:cstheme="minorHAnsi"/>
          <w:bCs/>
          <w:i/>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1ABB1829" w14:textId="77777777" w:rsidR="003B4DF1" w:rsidRDefault="003B4DF1" w:rsidP="001E4E23">
      <w:pPr>
        <w:autoSpaceDE w:val="0"/>
        <w:autoSpaceDN w:val="0"/>
        <w:adjustRightInd w:val="0"/>
        <w:spacing w:after="0" w:line="240" w:lineRule="auto"/>
        <w:rPr>
          <w:rFonts w:cstheme="minorHAnsi"/>
          <w:bCs/>
          <w:color w:val="0000E1"/>
        </w:rPr>
      </w:pPr>
    </w:p>
    <w:p w14:paraId="169AA700" w14:textId="77777777" w:rsidR="007D6FA5" w:rsidRPr="003B4DF1" w:rsidRDefault="001E4E23" w:rsidP="001E4E23">
      <w:pPr>
        <w:autoSpaceDE w:val="0"/>
        <w:autoSpaceDN w:val="0"/>
        <w:adjustRightInd w:val="0"/>
        <w:spacing w:after="0" w:line="240" w:lineRule="auto"/>
        <w:rPr>
          <w:rFonts w:cstheme="minorHAnsi"/>
          <w:bCs/>
          <w:i/>
        </w:rPr>
      </w:pPr>
      <w:r w:rsidRPr="006B101F">
        <w:rPr>
          <w:rFonts w:cstheme="minorHAnsi"/>
          <w:bCs/>
          <w:color w:val="0000E1"/>
        </w:rPr>
        <w:t>We assessed convergent</w:t>
      </w:r>
      <w:r w:rsidR="00CD1EDD" w:rsidRPr="006B101F">
        <w:rPr>
          <w:rFonts w:cstheme="minorHAnsi"/>
          <w:bCs/>
          <w:color w:val="0000E1"/>
        </w:rPr>
        <w:t xml:space="preserve"> validity</w:t>
      </w:r>
      <w:r w:rsidR="009757EA" w:rsidRPr="006B101F">
        <w:rPr>
          <w:rFonts w:cstheme="minorHAnsi"/>
          <w:bCs/>
          <w:color w:val="0000E1"/>
        </w:rPr>
        <w:t xml:space="preserve"> of the measure score at the plan-contract level</w:t>
      </w:r>
      <w:r w:rsidRPr="006B101F">
        <w:rPr>
          <w:rFonts w:cstheme="minorHAnsi"/>
          <w:bCs/>
          <w:color w:val="0000E1"/>
        </w:rPr>
        <w:t xml:space="preserve"> (correlation with </w:t>
      </w:r>
      <w:r w:rsidR="00FA71F4" w:rsidRPr="006B101F">
        <w:rPr>
          <w:rFonts w:cstheme="minorHAnsi"/>
          <w:bCs/>
          <w:color w:val="0000E1"/>
        </w:rPr>
        <w:t xml:space="preserve">related measure in the same </w:t>
      </w:r>
      <w:r w:rsidR="00CD1EDD" w:rsidRPr="006B101F">
        <w:rPr>
          <w:rFonts w:cstheme="minorHAnsi"/>
          <w:bCs/>
          <w:color w:val="0000E1"/>
        </w:rPr>
        <w:t>performance</w:t>
      </w:r>
      <w:r w:rsidR="00FA71F4" w:rsidRPr="006B101F">
        <w:rPr>
          <w:rFonts w:cstheme="minorHAnsi"/>
          <w:bCs/>
          <w:color w:val="0000E1"/>
        </w:rPr>
        <w:t xml:space="preserve"> year</w:t>
      </w:r>
      <w:r w:rsidR="00444025" w:rsidRPr="006B101F">
        <w:rPr>
          <w:rFonts w:cstheme="minorHAnsi"/>
          <w:bCs/>
          <w:color w:val="0000E1"/>
        </w:rPr>
        <w:t xml:space="preserve">) for Medicare </w:t>
      </w:r>
      <w:r w:rsidRPr="006B101F">
        <w:rPr>
          <w:rFonts w:cstheme="minorHAnsi"/>
          <w:bCs/>
          <w:color w:val="0000E1"/>
        </w:rPr>
        <w:t>and face validity for all lines of business</w:t>
      </w:r>
      <w:r w:rsidR="00E57C81">
        <w:rPr>
          <w:rFonts w:cstheme="minorHAnsi"/>
          <w:bCs/>
          <w:color w:val="0000E1"/>
        </w:rPr>
        <w:t xml:space="preserve">. </w:t>
      </w:r>
    </w:p>
    <w:p w14:paraId="46057721" w14:textId="77777777" w:rsidR="001E4E23" w:rsidRPr="006B101F" w:rsidRDefault="001E4E23" w:rsidP="001E4E23">
      <w:pPr>
        <w:autoSpaceDE w:val="0"/>
        <w:autoSpaceDN w:val="0"/>
        <w:adjustRightInd w:val="0"/>
        <w:spacing w:after="0" w:line="240" w:lineRule="auto"/>
        <w:rPr>
          <w:rFonts w:cstheme="minorHAnsi"/>
          <w:bCs/>
          <w:color w:val="0000E1"/>
        </w:rPr>
      </w:pPr>
    </w:p>
    <w:p w14:paraId="5AB7F571" w14:textId="3D4A78B7" w:rsidR="00BC3C99" w:rsidRPr="006B101F" w:rsidRDefault="00C37014" w:rsidP="001E4E23">
      <w:pPr>
        <w:autoSpaceDE w:val="0"/>
        <w:autoSpaceDN w:val="0"/>
        <w:adjustRightInd w:val="0"/>
        <w:spacing w:after="0" w:line="240" w:lineRule="auto"/>
        <w:rPr>
          <w:rFonts w:cstheme="minorHAnsi"/>
          <w:bCs/>
          <w:color w:val="0000E1"/>
          <w:u w:val="single"/>
        </w:rPr>
      </w:pPr>
      <w:r>
        <w:rPr>
          <w:rFonts w:cstheme="minorHAnsi"/>
          <w:bCs/>
          <w:color w:val="0000E1"/>
          <w:u w:val="single"/>
        </w:rPr>
        <w:t>Convergent V</w:t>
      </w:r>
      <w:r w:rsidR="00BC3C99" w:rsidRPr="006B101F">
        <w:rPr>
          <w:rFonts w:cstheme="minorHAnsi"/>
          <w:bCs/>
          <w:color w:val="0000E1"/>
          <w:u w:val="single"/>
        </w:rPr>
        <w:t>alidity</w:t>
      </w:r>
    </w:p>
    <w:p w14:paraId="5E4FE2B1" w14:textId="77777777" w:rsidR="003D35C3" w:rsidRPr="006B101F" w:rsidRDefault="001E4E23" w:rsidP="001E4E23">
      <w:pPr>
        <w:autoSpaceDE w:val="0"/>
        <w:autoSpaceDN w:val="0"/>
        <w:adjustRightInd w:val="0"/>
        <w:spacing w:after="0" w:line="240" w:lineRule="auto"/>
        <w:rPr>
          <w:rFonts w:cstheme="minorHAnsi"/>
          <w:bCs/>
          <w:color w:val="0000E1"/>
        </w:rPr>
      </w:pPr>
      <w:r w:rsidRPr="006B101F">
        <w:rPr>
          <w:rFonts w:cstheme="minorHAnsi"/>
          <w:bCs/>
          <w:color w:val="0000E1"/>
        </w:rPr>
        <w:t>Convergent validity was tested for each therapeutic category for the Medicare population using the publicly available CMS Med</w:t>
      </w:r>
      <w:r w:rsidR="002F6A61" w:rsidRPr="006B101F">
        <w:rPr>
          <w:rFonts w:cstheme="minorHAnsi"/>
          <w:bCs/>
          <w:color w:val="0000E1"/>
        </w:rPr>
        <w:t>icare Part C &amp; D Star Ratings d</w:t>
      </w:r>
      <w:r w:rsidR="00884753">
        <w:rPr>
          <w:rFonts w:cstheme="minorHAnsi"/>
          <w:bCs/>
          <w:color w:val="0000E1"/>
        </w:rPr>
        <w:t>ata.</w:t>
      </w:r>
      <w:r w:rsidR="00A45209" w:rsidRPr="00A45209">
        <w:rPr>
          <w:rFonts w:cstheme="minorHAnsi"/>
          <w:bCs/>
          <w:color w:val="0000E1"/>
          <w:vertAlign w:val="superscript"/>
        </w:rPr>
        <w:t>1</w:t>
      </w:r>
      <w:r w:rsidR="00884753">
        <w:rPr>
          <w:rFonts w:cstheme="minorHAnsi"/>
          <w:bCs/>
          <w:color w:val="0000E1"/>
        </w:rPr>
        <w:t xml:space="preserve"> </w:t>
      </w:r>
      <w:r w:rsidR="009757EA" w:rsidRPr="006B101F">
        <w:rPr>
          <w:rFonts w:cstheme="minorHAnsi"/>
          <w:bCs/>
          <w:color w:val="0000E1"/>
        </w:rPr>
        <w:t xml:space="preserve">Correlation was examined using the Pearson correlation statistics between each of the therapeutic categories and other performance measures used in the Star Ratings program. </w:t>
      </w:r>
    </w:p>
    <w:p w14:paraId="39B876B2" w14:textId="77777777" w:rsidR="003D35C3" w:rsidRPr="006B101F" w:rsidRDefault="003D35C3" w:rsidP="001E4E23">
      <w:pPr>
        <w:autoSpaceDE w:val="0"/>
        <w:autoSpaceDN w:val="0"/>
        <w:adjustRightInd w:val="0"/>
        <w:spacing w:after="0" w:line="240" w:lineRule="auto"/>
        <w:rPr>
          <w:rFonts w:cstheme="minorHAnsi"/>
          <w:bCs/>
          <w:color w:val="0000E1"/>
        </w:rPr>
      </w:pPr>
    </w:p>
    <w:p w14:paraId="74AE4EB2" w14:textId="77777777" w:rsidR="00A7552F" w:rsidRPr="006B101F" w:rsidRDefault="001E4E23" w:rsidP="001E4E23">
      <w:pPr>
        <w:autoSpaceDE w:val="0"/>
        <w:autoSpaceDN w:val="0"/>
        <w:adjustRightInd w:val="0"/>
        <w:spacing w:after="0" w:line="240" w:lineRule="auto"/>
        <w:rPr>
          <w:color w:val="0000E1"/>
        </w:rPr>
      </w:pPr>
      <w:r w:rsidRPr="006B101F">
        <w:rPr>
          <w:rFonts w:cstheme="minorHAnsi"/>
          <w:bCs/>
          <w:color w:val="0000E1"/>
        </w:rPr>
        <w:t xml:space="preserve">For Diabetes, </w:t>
      </w:r>
      <w:r w:rsidR="00A46639" w:rsidRPr="006B101F">
        <w:rPr>
          <w:rFonts w:cstheme="minorHAnsi"/>
          <w:bCs/>
          <w:color w:val="0000E1"/>
        </w:rPr>
        <w:t xml:space="preserve">we examined whether the </w:t>
      </w:r>
      <w:r w:rsidRPr="006B101F">
        <w:rPr>
          <w:rFonts w:cstheme="minorHAnsi"/>
          <w:bCs/>
          <w:color w:val="0000E1"/>
        </w:rPr>
        <w:t xml:space="preserve">measure rate is correlated with the </w:t>
      </w:r>
      <w:r w:rsidRPr="00F677F7">
        <w:rPr>
          <w:rFonts w:cstheme="minorHAnsi"/>
          <w:bCs/>
          <w:i/>
          <w:color w:val="0000E1"/>
        </w:rPr>
        <w:t>Diabetes Care – Blood Sugar Controlled</w:t>
      </w:r>
      <w:r w:rsidRPr="006B101F">
        <w:rPr>
          <w:rFonts w:cstheme="minorHAnsi"/>
          <w:bCs/>
          <w:color w:val="0000E1"/>
        </w:rPr>
        <w:t xml:space="preserve"> measure used in the CMS Part C Star Ratings program</w:t>
      </w:r>
      <w:r w:rsidR="00E57C81">
        <w:rPr>
          <w:rFonts w:cstheme="minorHAnsi"/>
          <w:bCs/>
          <w:color w:val="0000E1"/>
        </w:rPr>
        <w:t xml:space="preserve">. </w:t>
      </w:r>
      <w:r w:rsidRPr="006B101F">
        <w:rPr>
          <w:rFonts w:cstheme="minorHAnsi"/>
          <w:bCs/>
          <w:color w:val="0000E1"/>
        </w:rPr>
        <w:t xml:space="preserve">We hypothesized that organizations that perform well on the </w:t>
      </w:r>
      <w:r w:rsidR="00884753">
        <w:rPr>
          <w:rFonts w:cstheme="minorHAnsi"/>
          <w:bCs/>
          <w:color w:val="0000E1"/>
        </w:rPr>
        <w:t>PDC</w:t>
      </w:r>
      <w:r w:rsidRPr="006B101F">
        <w:rPr>
          <w:rFonts w:cstheme="minorHAnsi"/>
          <w:bCs/>
          <w:color w:val="0000E1"/>
        </w:rPr>
        <w:t xml:space="preserve"> </w:t>
      </w:r>
      <w:r w:rsidR="0074035A">
        <w:rPr>
          <w:rFonts w:cstheme="minorHAnsi"/>
          <w:bCs/>
          <w:color w:val="0000E1"/>
        </w:rPr>
        <w:t xml:space="preserve">Diabetes </w:t>
      </w:r>
      <w:r w:rsidRPr="006B101F">
        <w:rPr>
          <w:rFonts w:cstheme="minorHAnsi"/>
          <w:bCs/>
          <w:color w:val="0000E1"/>
        </w:rPr>
        <w:t xml:space="preserve">measure should perform well on the </w:t>
      </w:r>
      <w:r w:rsidRPr="00F677F7">
        <w:rPr>
          <w:rFonts w:cstheme="minorHAnsi"/>
          <w:bCs/>
          <w:i/>
          <w:color w:val="0000E1"/>
        </w:rPr>
        <w:t>Diabetes Care – Blood Sugar Controlled</w:t>
      </w:r>
      <w:r w:rsidRPr="006B101F">
        <w:rPr>
          <w:rFonts w:cstheme="minorHAnsi"/>
          <w:bCs/>
          <w:color w:val="0000E1"/>
        </w:rPr>
        <w:t xml:space="preserve"> measure as both focus on diabetes care, and </w:t>
      </w:r>
      <w:r w:rsidRPr="006B101F">
        <w:rPr>
          <w:rFonts w:cstheme="minorHAnsi"/>
          <w:color w:val="0000E1"/>
        </w:rPr>
        <w:t xml:space="preserve">adherence to </w:t>
      </w:r>
      <w:r w:rsidR="00884753">
        <w:rPr>
          <w:rFonts w:cstheme="minorHAnsi"/>
          <w:color w:val="0000E1"/>
        </w:rPr>
        <w:t>anti-hyperglycemic</w:t>
      </w:r>
      <w:r w:rsidRPr="006B101F">
        <w:rPr>
          <w:rFonts w:cstheme="minorHAnsi"/>
          <w:color w:val="0000E1"/>
        </w:rPr>
        <w:t xml:space="preserve"> agents can lower blood </w:t>
      </w:r>
      <w:r w:rsidR="00884753" w:rsidRPr="006B101F">
        <w:rPr>
          <w:rFonts w:cstheme="minorHAnsi"/>
          <w:color w:val="0000E1"/>
        </w:rPr>
        <w:t>sugar and</w:t>
      </w:r>
      <w:r w:rsidRPr="006B101F">
        <w:rPr>
          <w:rFonts w:cstheme="minorHAnsi"/>
          <w:color w:val="0000E1"/>
        </w:rPr>
        <w:t xml:space="preserve"> decrease complications such a</w:t>
      </w:r>
      <w:r w:rsidR="00875489" w:rsidRPr="006B101F">
        <w:rPr>
          <w:rFonts w:cstheme="minorHAnsi"/>
          <w:color w:val="0000E1"/>
        </w:rPr>
        <w:t>s visual loss and renal failure</w:t>
      </w:r>
      <w:r w:rsidR="000F6F93" w:rsidRPr="006B101F">
        <w:rPr>
          <w:rFonts w:cstheme="minorHAnsi"/>
          <w:color w:val="0000E1"/>
        </w:rPr>
        <w:t>.</w:t>
      </w:r>
      <w:r w:rsidR="00A45209">
        <w:rPr>
          <w:rFonts w:cstheme="minorHAnsi"/>
          <w:color w:val="0000E1"/>
          <w:vertAlign w:val="superscript"/>
        </w:rPr>
        <w:t>2</w:t>
      </w:r>
      <w:r w:rsidR="000F6F93" w:rsidRPr="006B101F">
        <w:rPr>
          <w:rFonts w:cstheme="minorHAnsi"/>
          <w:color w:val="0000E1"/>
          <w:vertAlign w:val="superscript"/>
        </w:rPr>
        <w:t>,</w:t>
      </w:r>
      <w:r w:rsidR="00A45209">
        <w:rPr>
          <w:rFonts w:cstheme="minorHAnsi"/>
          <w:color w:val="0000E1"/>
          <w:vertAlign w:val="superscript"/>
        </w:rPr>
        <w:t>3</w:t>
      </w:r>
      <w:r w:rsidR="000F6F93" w:rsidRPr="006B101F">
        <w:rPr>
          <w:rFonts w:cstheme="minorHAnsi"/>
          <w:color w:val="0000E1"/>
        </w:rPr>
        <w:t xml:space="preserve"> </w:t>
      </w:r>
    </w:p>
    <w:p w14:paraId="5E0E002B" w14:textId="77777777" w:rsidR="001E4E23" w:rsidRPr="006B101F" w:rsidRDefault="00A7552F" w:rsidP="001E4E23">
      <w:pPr>
        <w:autoSpaceDE w:val="0"/>
        <w:autoSpaceDN w:val="0"/>
        <w:adjustRightInd w:val="0"/>
        <w:spacing w:after="0" w:line="240" w:lineRule="auto"/>
        <w:rPr>
          <w:rFonts w:cstheme="minorHAnsi"/>
          <w:bCs/>
          <w:color w:val="0000E1"/>
        </w:rPr>
      </w:pPr>
      <w:r w:rsidRPr="006B101F">
        <w:rPr>
          <w:rFonts w:cstheme="minorHAnsi"/>
          <w:bCs/>
          <w:color w:val="0000E1"/>
        </w:rPr>
        <w:lastRenderedPageBreak/>
        <w:t xml:space="preserve"> </w:t>
      </w:r>
    </w:p>
    <w:p w14:paraId="5A29550D" w14:textId="647CB12A" w:rsidR="001E4E23" w:rsidRPr="006B101F" w:rsidRDefault="001E4E23" w:rsidP="001E4E23">
      <w:pPr>
        <w:autoSpaceDE w:val="0"/>
        <w:autoSpaceDN w:val="0"/>
        <w:adjustRightInd w:val="0"/>
        <w:spacing w:after="0" w:line="240" w:lineRule="auto"/>
        <w:rPr>
          <w:rFonts w:cstheme="minorHAnsi"/>
          <w:bCs/>
          <w:color w:val="0000E1"/>
        </w:rPr>
      </w:pPr>
      <w:r w:rsidRPr="006B101F">
        <w:rPr>
          <w:rFonts w:cstheme="minorHAnsi"/>
          <w:bCs/>
          <w:color w:val="0000E1"/>
        </w:rPr>
        <w:t xml:space="preserve">For RASA, convergent validity </w:t>
      </w:r>
      <w:r w:rsidR="003D35C3" w:rsidRPr="006B101F">
        <w:rPr>
          <w:rFonts w:cstheme="minorHAnsi"/>
          <w:bCs/>
          <w:color w:val="0000E1"/>
        </w:rPr>
        <w:t>was</w:t>
      </w:r>
      <w:r w:rsidRPr="006B101F">
        <w:rPr>
          <w:rFonts w:cstheme="minorHAnsi"/>
          <w:bCs/>
          <w:color w:val="0000E1"/>
        </w:rPr>
        <w:t xml:space="preserve"> tested by exploring whether the measure rate is correlated with the </w:t>
      </w:r>
      <w:r w:rsidRPr="00F677F7">
        <w:rPr>
          <w:rFonts w:cstheme="minorHAnsi"/>
          <w:bCs/>
          <w:i/>
          <w:color w:val="0000E1"/>
        </w:rPr>
        <w:t>Controlling Blood Pressure</w:t>
      </w:r>
      <w:r w:rsidRPr="006B101F">
        <w:rPr>
          <w:rFonts w:cstheme="minorHAnsi"/>
          <w:bCs/>
          <w:color w:val="0000E1"/>
        </w:rPr>
        <w:t xml:space="preserve"> measure used in the CMS Part C Star Ratings program</w:t>
      </w:r>
      <w:r w:rsidR="00E57C81">
        <w:rPr>
          <w:rFonts w:cstheme="minorHAnsi"/>
          <w:bCs/>
          <w:color w:val="0000E1"/>
        </w:rPr>
        <w:t xml:space="preserve">. </w:t>
      </w:r>
      <w:r w:rsidRPr="006B101F">
        <w:rPr>
          <w:rFonts w:cstheme="minorHAnsi"/>
          <w:bCs/>
          <w:color w:val="0000E1"/>
        </w:rPr>
        <w:t xml:space="preserve">We hypothesized that organizations that perform well on the </w:t>
      </w:r>
      <w:r w:rsidR="00884753">
        <w:rPr>
          <w:rFonts w:cstheme="minorHAnsi"/>
          <w:bCs/>
          <w:color w:val="0000E1"/>
        </w:rPr>
        <w:t xml:space="preserve">PDC </w:t>
      </w:r>
      <w:r w:rsidRPr="006B101F">
        <w:rPr>
          <w:rFonts w:cstheme="minorHAnsi"/>
          <w:bCs/>
          <w:color w:val="0000E1"/>
        </w:rPr>
        <w:t>RASA measure</w:t>
      </w:r>
      <w:r w:rsidR="0094400B" w:rsidRPr="006B101F">
        <w:rPr>
          <w:rFonts w:cstheme="minorHAnsi"/>
          <w:bCs/>
          <w:color w:val="0000E1"/>
        </w:rPr>
        <w:t xml:space="preserve"> </w:t>
      </w:r>
      <w:r w:rsidRPr="006B101F">
        <w:rPr>
          <w:rFonts w:cstheme="minorHAnsi"/>
          <w:bCs/>
          <w:color w:val="0000E1"/>
        </w:rPr>
        <w:t xml:space="preserve">should perform well on the </w:t>
      </w:r>
      <w:r w:rsidRPr="002350B1">
        <w:rPr>
          <w:rFonts w:cstheme="minorHAnsi"/>
          <w:bCs/>
          <w:i/>
          <w:color w:val="0000E1"/>
        </w:rPr>
        <w:t>Controlling Blood Pressure measure</w:t>
      </w:r>
      <w:r w:rsidRPr="006B101F">
        <w:rPr>
          <w:rFonts w:cstheme="minorHAnsi"/>
          <w:bCs/>
          <w:color w:val="0000E1"/>
        </w:rPr>
        <w:t xml:space="preserve">. </w:t>
      </w:r>
      <w:r w:rsidRPr="006B101F">
        <w:rPr>
          <w:rFonts w:eastAsiaTheme="minorHAnsi" w:cstheme="minorHAnsi"/>
          <w:color w:val="0000E1"/>
        </w:rPr>
        <w:t>According to the 2017 ACC/AHA/AAPA/ABC/ACPM/AGS/</w:t>
      </w:r>
      <w:proofErr w:type="spellStart"/>
      <w:r w:rsidRPr="006B101F">
        <w:rPr>
          <w:rFonts w:eastAsiaTheme="minorHAnsi" w:cstheme="minorHAnsi"/>
          <w:color w:val="0000E1"/>
        </w:rPr>
        <w:t>APhA</w:t>
      </w:r>
      <w:proofErr w:type="spellEnd"/>
      <w:r w:rsidRPr="006B101F">
        <w:rPr>
          <w:rFonts w:eastAsiaTheme="minorHAnsi" w:cstheme="minorHAnsi"/>
          <w:color w:val="0000E1"/>
        </w:rPr>
        <w:t>/ASH/ASPC/NMA/PCNA hypertension guidelines and the 2018 American Diabetes Association guidelines</w:t>
      </w:r>
      <w:r w:rsidR="00884753">
        <w:rPr>
          <w:rFonts w:eastAsiaTheme="minorHAnsi" w:cstheme="minorHAnsi"/>
          <w:color w:val="0000E1"/>
        </w:rPr>
        <w:t>,</w:t>
      </w:r>
      <w:r w:rsidRPr="006B101F">
        <w:rPr>
          <w:rFonts w:eastAsiaTheme="minorHAnsi" w:cstheme="minorHAnsi"/>
          <w:color w:val="0000E1"/>
        </w:rPr>
        <w:t xml:space="preserve"> medication nonadherence is a major contributor to poor control of hypertension and a key barrier to reducing mortality</w:t>
      </w:r>
      <w:r w:rsidR="000F6F93" w:rsidRPr="006B101F">
        <w:rPr>
          <w:rFonts w:eastAsiaTheme="minorHAnsi" w:cstheme="minorHAnsi"/>
          <w:color w:val="0000E1"/>
        </w:rPr>
        <w:t>.</w:t>
      </w:r>
      <w:r w:rsidR="00A45209">
        <w:rPr>
          <w:rFonts w:eastAsiaTheme="minorHAnsi" w:cstheme="minorHAnsi"/>
          <w:color w:val="0000E1"/>
          <w:vertAlign w:val="superscript"/>
        </w:rPr>
        <w:t>4</w:t>
      </w:r>
      <w:r w:rsidR="000F6F93" w:rsidRPr="006B101F">
        <w:rPr>
          <w:rFonts w:eastAsiaTheme="minorHAnsi" w:cstheme="minorHAnsi"/>
          <w:color w:val="0000E1"/>
          <w:vertAlign w:val="superscript"/>
        </w:rPr>
        <w:t>,</w:t>
      </w:r>
      <w:r w:rsidR="00A45209">
        <w:rPr>
          <w:rFonts w:eastAsiaTheme="minorHAnsi" w:cstheme="minorHAnsi"/>
          <w:color w:val="0000E1"/>
          <w:vertAlign w:val="superscript"/>
        </w:rPr>
        <w:t>5</w:t>
      </w:r>
      <w:r w:rsidR="000F6F93" w:rsidRPr="006B101F">
        <w:rPr>
          <w:rFonts w:eastAsiaTheme="minorHAnsi" w:cstheme="minorHAnsi"/>
          <w:color w:val="0000E1"/>
        </w:rPr>
        <w:t xml:space="preserve"> </w:t>
      </w:r>
      <w:r w:rsidRPr="006B101F">
        <w:rPr>
          <w:rFonts w:eastAsiaTheme="minorHAnsi" w:cstheme="minorHAnsi"/>
          <w:color w:val="0000E1"/>
        </w:rPr>
        <w:t xml:space="preserve">Moreover, </w:t>
      </w:r>
      <w:r w:rsidR="00027291">
        <w:rPr>
          <w:rFonts w:eastAsiaTheme="minorHAnsi" w:cstheme="minorHAnsi"/>
          <w:color w:val="0000E1"/>
        </w:rPr>
        <w:t>studies have shown</w:t>
      </w:r>
      <w:r w:rsidRPr="006B101F">
        <w:rPr>
          <w:rFonts w:eastAsiaTheme="minorHAnsi" w:cstheme="minorHAnsi"/>
          <w:color w:val="0000E1"/>
        </w:rPr>
        <w:t xml:space="preserve"> improved clinical outcomes for </w:t>
      </w:r>
      <w:r w:rsidR="00D96579">
        <w:rPr>
          <w:rFonts w:eastAsiaTheme="minorHAnsi" w:cstheme="minorHAnsi"/>
          <w:color w:val="0000E1"/>
        </w:rPr>
        <w:t>individuals</w:t>
      </w:r>
      <w:r w:rsidRPr="006B101F">
        <w:rPr>
          <w:rFonts w:eastAsiaTheme="minorHAnsi" w:cstheme="minorHAnsi"/>
          <w:color w:val="0000E1"/>
        </w:rPr>
        <w:t xml:space="preserve"> who are adherent to their medications</w:t>
      </w:r>
      <w:r w:rsidR="000F6F93" w:rsidRPr="006B101F">
        <w:rPr>
          <w:rFonts w:eastAsiaTheme="minorHAnsi" w:cstheme="minorHAnsi"/>
          <w:color w:val="0000E1"/>
        </w:rPr>
        <w:t>.</w:t>
      </w:r>
      <w:r w:rsidR="00A45209">
        <w:rPr>
          <w:rFonts w:eastAsiaTheme="minorHAnsi" w:cstheme="minorHAnsi"/>
          <w:color w:val="0000E1"/>
          <w:vertAlign w:val="superscript"/>
        </w:rPr>
        <w:t>6</w:t>
      </w:r>
    </w:p>
    <w:p w14:paraId="7EB0AEFB" w14:textId="77777777" w:rsidR="009A4451" w:rsidRPr="006B101F" w:rsidRDefault="009A4451" w:rsidP="0094400B">
      <w:pPr>
        <w:autoSpaceDE w:val="0"/>
        <w:autoSpaceDN w:val="0"/>
        <w:adjustRightInd w:val="0"/>
        <w:spacing w:after="0" w:line="240" w:lineRule="auto"/>
        <w:rPr>
          <w:rFonts w:cstheme="minorHAnsi"/>
          <w:bCs/>
          <w:color w:val="0000E1"/>
        </w:rPr>
      </w:pPr>
    </w:p>
    <w:p w14:paraId="5B35DC87" w14:textId="785A90E7" w:rsidR="0094400B" w:rsidRPr="006B101F" w:rsidRDefault="001E4E23" w:rsidP="0094400B">
      <w:pPr>
        <w:autoSpaceDE w:val="0"/>
        <w:autoSpaceDN w:val="0"/>
        <w:adjustRightInd w:val="0"/>
        <w:spacing w:after="0" w:line="240" w:lineRule="auto"/>
        <w:rPr>
          <w:rFonts w:eastAsiaTheme="minorHAnsi" w:cstheme="minorHAnsi"/>
          <w:color w:val="0000E1"/>
        </w:rPr>
      </w:pPr>
      <w:r w:rsidRPr="006B101F">
        <w:rPr>
          <w:rFonts w:cstheme="minorHAnsi"/>
          <w:bCs/>
          <w:color w:val="0000E1"/>
        </w:rPr>
        <w:t xml:space="preserve">For Statins, convergent validity </w:t>
      </w:r>
      <w:r w:rsidR="003D35C3" w:rsidRPr="006B101F">
        <w:rPr>
          <w:rFonts w:cstheme="minorHAnsi"/>
          <w:bCs/>
          <w:color w:val="0000E1"/>
        </w:rPr>
        <w:t>w</w:t>
      </w:r>
      <w:r w:rsidRPr="006B101F">
        <w:rPr>
          <w:rFonts w:cstheme="minorHAnsi"/>
          <w:bCs/>
          <w:color w:val="0000E1"/>
        </w:rPr>
        <w:t xml:space="preserve">as tested by exploring whether the measure </w:t>
      </w:r>
      <w:r w:rsidR="00884753">
        <w:rPr>
          <w:rFonts w:cstheme="minorHAnsi"/>
          <w:bCs/>
          <w:color w:val="0000E1"/>
        </w:rPr>
        <w:t xml:space="preserve">rate </w:t>
      </w:r>
      <w:r w:rsidRPr="006B101F">
        <w:rPr>
          <w:rFonts w:cstheme="minorHAnsi"/>
          <w:bCs/>
          <w:color w:val="0000E1"/>
        </w:rPr>
        <w:t xml:space="preserve">is correlated with the </w:t>
      </w:r>
      <w:r w:rsidRPr="00F677F7">
        <w:rPr>
          <w:rFonts w:cstheme="minorHAnsi"/>
          <w:bCs/>
          <w:i/>
          <w:color w:val="0000E1"/>
        </w:rPr>
        <w:t>Statin Use in Persons with Diabetes</w:t>
      </w:r>
      <w:r w:rsidRPr="006B101F">
        <w:rPr>
          <w:rFonts w:cstheme="minorHAnsi"/>
          <w:bCs/>
          <w:color w:val="0000E1"/>
        </w:rPr>
        <w:t xml:space="preserve"> measure used in the CMS Part D Display measures</w:t>
      </w:r>
      <w:r w:rsidR="00E57C81">
        <w:rPr>
          <w:rFonts w:cstheme="minorHAnsi"/>
          <w:bCs/>
          <w:color w:val="0000E1"/>
        </w:rPr>
        <w:t xml:space="preserve">. </w:t>
      </w:r>
      <w:r w:rsidRPr="006B101F">
        <w:rPr>
          <w:rFonts w:cstheme="minorHAnsi"/>
          <w:bCs/>
          <w:color w:val="0000E1"/>
        </w:rPr>
        <w:t xml:space="preserve">We hypothesized that organizations that perform well on the </w:t>
      </w:r>
      <w:r w:rsidR="00884753">
        <w:rPr>
          <w:rFonts w:cstheme="minorHAnsi"/>
          <w:bCs/>
          <w:color w:val="0000E1"/>
        </w:rPr>
        <w:t xml:space="preserve">PDC </w:t>
      </w:r>
      <w:r w:rsidRPr="006B101F">
        <w:rPr>
          <w:rFonts w:cstheme="minorHAnsi"/>
          <w:bCs/>
          <w:color w:val="0000E1"/>
        </w:rPr>
        <w:t xml:space="preserve">Statins measure should </w:t>
      </w:r>
      <w:r w:rsidR="0094400B" w:rsidRPr="006B101F">
        <w:rPr>
          <w:rFonts w:cstheme="minorHAnsi"/>
          <w:bCs/>
          <w:color w:val="0000E1"/>
        </w:rPr>
        <w:t xml:space="preserve">perform well on the </w:t>
      </w:r>
      <w:r w:rsidR="0094400B" w:rsidRPr="00C37014">
        <w:rPr>
          <w:rFonts w:cstheme="minorHAnsi"/>
          <w:bCs/>
          <w:i/>
          <w:color w:val="0000E1"/>
        </w:rPr>
        <w:t>Statin Use in Persons with Diabetes</w:t>
      </w:r>
      <w:r w:rsidR="0094400B" w:rsidRPr="006B101F">
        <w:rPr>
          <w:rFonts w:cstheme="minorHAnsi"/>
          <w:bCs/>
          <w:color w:val="0000E1"/>
        </w:rPr>
        <w:t xml:space="preserve"> measure.</w:t>
      </w:r>
      <w:r w:rsidR="0094400B" w:rsidRPr="006B101F">
        <w:rPr>
          <w:rFonts w:eastAsiaTheme="minorHAnsi" w:cstheme="minorHAnsi"/>
          <w:color w:val="0000E1"/>
        </w:rPr>
        <w:t xml:space="preserve"> </w:t>
      </w:r>
      <w:r w:rsidR="0094400B" w:rsidRPr="006B101F">
        <w:rPr>
          <w:rFonts w:eastAsia="Times New Roman" w:cstheme="minorHAnsi"/>
          <w:color w:val="0000E1"/>
        </w:rPr>
        <w:t xml:space="preserve">Atherosclerotic cardiovascular disease (ASCVD) is the leading cause of morbidity and mortality for </w:t>
      </w:r>
      <w:r w:rsidR="00D96579">
        <w:rPr>
          <w:rFonts w:eastAsia="Times New Roman" w:cstheme="minorHAnsi"/>
          <w:color w:val="0000E1"/>
        </w:rPr>
        <w:t>individuals</w:t>
      </w:r>
      <w:r w:rsidR="0094400B" w:rsidRPr="006B101F">
        <w:rPr>
          <w:rFonts w:eastAsia="Times New Roman" w:cstheme="minorHAnsi"/>
          <w:color w:val="0000E1"/>
        </w:rPr>
        <w:t xml:space="preserve"> with diabetes in addition to </w:t>
      </w:r>
      <w:proofErr w:type="gramStart"/>
      <w:r w:rsidR="0094400B" w:rsidRPr="006B101F">
        <w:rPr>
          <w:rFonts w:eastAsia="Times New Roman" w:cstheme="minorHAnsi"/>
          <w:color w:val="0000E1"/>
        </w:rPr>
        <w:t>being</w:t>
      </w:r>
      <w:proofErr w:type="gramEnd"/>
      <w:r w:rsidR="0094400B" w:rsidRPr="006B101F">
        <w:rPr>
          <w:rFonts w:eastAsia="Times New Roman" w:cstheme="minorHAnsi"/>
          <w:color w:val="0000E1"/>
        </w:rPr>
        <w:t xml:space="preserve"> the largest contributor to costs of diabetes care</w:t>
      </w:r>
      <w:r w:rsidR="000F6F93" w:rsidRPr="006B101F">
        <w:rPr>
          <w:rFonts w:eastAsia="Times New Roman" w:cstheme="minorHAnsi"/>
          <w:color w:val="0000E1"/>
        </w:rPr>
        <w:t>.</w:t>
      </w:r>
      <w:r w:rsidR="000F6F93" w:rsidRPr="006B101F">
        <w:rPr>
          <w:rFonts w:eastAsia="Times New Roman" w:cstheme="minorHAnsi"/>
          <w:color w:val="0000E1"/>
          <w:vertAlign w:val="superscript"/>
        </w:rPr>
        <w:t>4</w:t>
      </w:r>
      <w:r w:rsidR="00A7552F" w:rsidRPr="006B101F">
        <w:rPr>
          <w:rFonts w:eastAsia="Times New Roman" w:cstheme="minorHAnsi"/>
          <w:color w:val="0000E1"/>
          <w:vertAlign w:val="superscript"/>
        </w:rPr>
        <w:t xml:space="preserve"> </w:t>
      </w:r>
      <w:r w:rsidR="00D96579">
        <w:rPr>
          <w:rFonts w:eastAsia="Times New Roman" w:cstheme="minorHAnsi"/>
          <w:color w:val="0000E1"/>
        </w:rPr>
        <w:t>Individuals</w:t>
      </w:r>
      <w:r w:rsidR="0094400B" w:rsidRPr="006B101F">
        <w:rPr>
          <w:rFonts w:eastAsia="Times New Roman" w:cstheme="minorHAnsi"/>
          <w:color w:val="0000E1"/>
        </w:rPr>
        <w:t xml:space="preserve"> with diabetes who are 40-75 years old are at a markedly increased lifetime risk for the development of ASCVD, experience greater morbidity, and are at a decreased likelihood of survival following the onset of ASCVD.</w:t>
      </w:r>
      <w:r w:rsidR="00A7552F" w:rsidRPr="006B101F">
        <w:rPr>
          <w:rFonts w:eastAsia="Times New Roman" w:cstheme="minorHAnsi"/>
          <w:color w:val="0000E1"/>
          <w:vertAlign w:val="superscript"/>
        </w:rPr>
        <w:t xml:space="preserve"> </w:t>
      </w:r>
      <w:r w:rsidR="0094400B" w:rsidRPr="006B101F">
        <w:rPr>
          <w:rFonts w:eastAsiaTheme="minorHAnsi" w:cstheme="minorHAnsi"/>
          <w:color w:val="0000E1"/>
        </w:rPr>
        <w:t>HMG-CoA reductase inhibitors, also known as statins, are recommended for management of dyslipidemia and/or primary prevention of cardiovascular disease (CVD) in several treatment guidelines</w:t>
      </w:r>
      <w:r w:rsidR="000F6F93" w:rsidRPr="006B101F">
        <w:rPr>
          <w:rFonts w:eastAsiaTheme="minorHAnsi" w:cstheme="minorHAnsi"/>
          <w:color w:val="0000E1"/>
        </w:rPr>
        <w:t>.</w:t>
      </w:r>
      <w:r w:rsidR="00A45209">
        <w:rPr>
          <w:rFonts w:eastAsiaTheme="minorHAnsi" w:cstheme="minorHAnsi"/>
          <w:color w:val="0000E1"/>
          <w:vertAlign w:val="superscript"/>
        </w:rPr>
        <w:t>7</w:t>
      </w:r>
      <w:r w:rsidR="00D86E7B">
        <w:rPr>
          <w:rFonts w:eastAsiaTheme="minorHAnsi" w:cstheme="minorHAnsi"/>
          <w:color w:val="0000E1"/>
          <w:vertAlign w:val="superscript"/>
        </w:rPr>
        <w:t>-</w:t>
      </w:r>
      <w:r w:rsidR="00A45209">
        <w:rPr>
          <w:rFonts w:eastAsiaTheme="minorHAnsi" w:cstheme="minorHAnsi"/>
          <w:color w:val="0000E1"/>
          <w:vertAlign w:val="superscript"/>
        </w:rPr>
        <w:t>11</w:t>
      </w:r>
      <w:r w:rsidR="000F6F93" w:rsidRPr="006B101F">
        <w:rPr>
          <w:rFonts w:eastAsiaTheme="minorHAnsi" w:cstheme="minorHAnsi"/>
          <w:color w:val="0000E1"/>
        </w:rPr>
        <w:t xml:space="preserve"> </w:t>
      </w:r>
      <w:r w:rsidR="0094400B" w:rsidRPr="006B101F">
        <w:rPr>
          <w:rFonts w:eastAsiaTheme="minorHAnsi" w:cstheme="minorHAnsi"/>
          <w:color w:val="0000E1"/>
        </w:rPr>
        <w:t>By lowering LDL cholesterol, statins decrease the risk of CVD morbidity and mortality</w:t>
      </w:r>
      <w:r w:rsidR="000F6F93" w:rsidRPr="006B101F">
        <w:rPr>
          <w:rFonts w:eastAsiaTheme="minorHAnsi" w:cstheme="minorHAnsi"/>
          <w:color w:val="0000E1"/>
        </w:rPr>
        <w:t>.</w:t>
      </w:r>
      <w:r w:rsidR="000F6F93" w:rsidRPr="006B101F">
        <w:rPr>
          <w:rFonts w:eastAsiaTheme="minorHAnsi" w:cstheme="minorHAnsi"/>
          <w:color w:val="0000E1"/>
          <w:vertAlign w:val="superscript"/>
        </w:rPr>
        <w:t>1</w:t>
      </w:r>
      <w:r w:rsidR="00A45209">
        <w:rPr>
          <w:rFonts w:eastAsiaTheme="minorHAnsi" w:cstheme="minorHAnsi"/>
          <w:color w:val="0000E1"/>
          <w:vertAlign w:val="superscript"/>
        </w:rPr>
        <w:t>2</w:t>
      </w:r>
    </w:p>
    <w:p w14:paraId="3C59FEEF" w14:textId="77777777" w:rsidR="00CD1EDD" w:rsidRPr="006B101F" w:rsidRDefault="00CD1EDD" w:rsidP="0094400B">
      <w:pPr>
        <w:autoSpaceDE w:val="0"/>
        <w:autoSpaceDN w:val="0"/>
        <w:adjustRightInd w:val="0"/>
        <w:spacing w:after="0" w:line="240" w:lineRule="auto"/>
        <w:rPr>
          <w:rFonts w:eastAsiaTheme="minorHAnsi" w:cstheme="minorHAnsi"/>
          <w:color w:val="0000E1"/>
        </w:rPr>
      </w:pPr>
    </w:p>
    <w:p w14:paraId="6395F322" w14:textId="77777777" w:rsidR="008D03BA" w:rsidRPr="007D0DFD" w:rsidRDefault="008D03BA" w:rsidP="007D0DFD">
      <w:pPr>
        <w:autoSpaceDE w:val="0"/>
        <w:autoSpaceDN w:val="0"/>
        <w:adjustRightInd w:val="0"/>
        <w:spacing w:after="0" w:line="240" w:lineRule="auto"/>
        <w:rPr>
          <w:rFonts w:eastAsiaTheme="minorHAnsi" w:cstheme="minorHAnsi"/>
          <w:b/>
          <w:color w:val="0000E1"/>
        </w:rPr>
      </w:pPr>
      <w:r w:rsidRPr="007D0DFD">
        <w:rPr>
          <w:rFonts w:eastAsiaTheme="minorHAnsi" w:cstheme="minorHAnsi"/>
          <w:b/>
          <w:color w:val="0000E1"/>
        </w:rPr>
        <w:t>References:</w:t>
      </w:r>
    </w:p>
    <w:p w14:paraId="0A9D572A" w14:textId="77777777" w:rsidR="00A45209" w:rsidRPr="00A45209" w:rsidRDefault="00F1566E" w:rsidP="00A45209">
      <w:pPr>
        <w:pStyle w:val="FootnoteText"/>
        <w:numPr>
          <w:ilvl w:val="0"/>
          <w:numId w:val="10"/>
        </w:numPr>
        <w:ind w:left="360"/>
        <w:rPr>
          <w:rFonts w:asciiTheme="minorHAnsi" w:hAnsiTheme="minorHAnsi" w:cstheme="minorHAnsi"/>
          <w:color w:val="0000E1"/>
          <w:sz w:val="22"/>
          <w:szCs w:val="22"/>
        </w:rPr>
      </w:pPr>
      <w:r w:rsidRPr="002350B1">
        <w:rPr>
          <w:rFonts w:asciiTheme="minorHAnsi" w:hAnsiTheme="minorHAnsi" w:cstheme="minorHAnsi"/>
          <w:color w:val="0000E1"/>
          <w:sz w:val="22"/>
          <w:szCs w:val="22"/>
        </w:rPr>
        <w:t xml:space="preserve">Centers for Medicare and Medicaid Services. Part C and D Performance Data. Available at:  </w:t>
      </w:r>
      <w:hyperlink r:id="rId17" w:history="1">
        <w:r w:rsidR="00A45209" w:rsidRPr="00A45209">
          <w:rPr>
            <w:rStyle w:val="Hyperlink"/>
            <w:rFonts w:asciiTheme="minorHAnsi" w:hAnsiTheme="minorHAnsi" w:cstheme="minorHAnsi"/>
            <w:sz w:val="22"/>
            <w:szCs w:val="22"/>
          </w:rPr>
          <w:t>https://www.cms.gov/Medicare/Prescription-Drug-Coverage/PrescriptionDrugCovGenIn/PerformanceData.html</w:t>
        </w:r>
      </w:hyperlink>
      <w:r>
        <w:rPr>
          <w:rStyle w:val="Hyperlink"/>
          <w:rFonts w:asciiTheme="minorHAnsi" w:hAnsiTheme="minorHAnsi" w:cstheme="minorHAnsi"/>
          <w:sz w:val="22"/>
          <w:szCs w:val="22"/>
        </w:rPr>
        <w:t>.</w:t>
      </w:r>
    </w:p>
    <w:p w14:paraId="5125AABE" w14:textId="77777777" w:rsidR="008D03BA" w:rsidRPr="006B101F" w:rsidRDefault="008D03BA" w:rsidP="00A45209">
      <w:pPr>
        <w:pStyle w:val="FootnoteText"/>
        <w:numPr>
          <w:ilvl w:val="0"/>
          <w:numId w:val="10"/>
        </w:numPr>
        <w:ind w:left="360"/>
        <w:rPr>
          <w:rFonts w:asciiTheme="minorHAnsi" w:hAnsiTheme="minorHAnsi" w:cstheme="minorHAnsi"/>
          <w:color w:val="0000E1"/>
          <w:sz w:val="22"/>
          <w:szCs w:val="22"/>
        </w:rPr>
      </w:pPr>
      <w:r w:rsidRPr="006B101F">
        <w:rPr>
          <w:rFonts w:asciiTheme="minorHAnsi" w:hAnsiTheme="minorHAnsi" w:cstheme="minorHAnsi"/>
          <w:color w:val="0000E1"/>
          <w:sz w:val="22"/>
          <w:szCs w:val="22"/>
        </w:rPr>
        <w:t xml:space="preserve">Lau DT, Nau DP. Oral antihyperglycemic medication nonadherence and subsequent </w:t>
      </w:r>
      <w:r w:rsidRPr="006B101F">
        <w:rPr>
          <w:rFonts w:asciiTheme="minorHAnsi" w:eastAsia="Times New Roman" w:hAnsiTheme="minorHAnsi" w:cstheme="minorHAnsi"/>
          <w:color w:val="0000E1"/>
          <w:sz w:val="22"/>
          <w:szCs w:val="22"/>
        </w:rPr>
        <w:t>hospitalization among individuals with type 2 diabetes. Diabetes Care. 2004;</w:t>
      </w:r>
      <w:r w:rsidR="00813164">
        <w:rPr>
          <w:rFonts w:asciiTheme="minorHAnsi" w:eastAsia="Times New Roman" w:hAnsiTheme="minorHAnsi" w:cstheme="minorHAnsi"/>
          <w:color w:val="0000E1"/>
          <w:sz w:val="22"/>
          <w:szCs w:val="22"/>
        </w:rPr>
        <w:t xml:space="preserve"> </w:t>
      </w:r>
      <w:r w:rsidRPr="006B101F">
        <w:rPr>
          <w:rFonts w:asciiTheme="minorHAnsi" w:eastAsia="Times New Roman" w:hAnsiTheme="minorHAnsi" w:cstheme="minorHAnsi"/>
          <w:color w:val="0000E1"/>
          <w:sz w:val="22"/>
          <w:szCs w:val="22"/>
        </w:rPr>
        <w:t xml:space="preserve">27(9):2149-53. PMID: </w:t>
      </w:r>
      <w:hyperlink r:id="rId18" w:history="1">
        <w:r w:rsidRPr="006B101F">
          <w:rPr>
            <w:rStyle w:val="Hyperlink"/>
            <w:rFonts w:asciiTheme="minorHAnsi" w:hAnsiTheme="minorHAnsi" w:cstheme="minorHAnsi"/>
            <w:color w:val="0000E1"/>
            <w:sz w:val="22"/>
            <w:szCs w:val="22"/>
          </w:rPr>
          <w:t>15333476</w:t>
        </w:r>
      </w:hyperlink>
      <w:r w:rsidRPr="006B101F">
        <w:rPr>
          <w:rFonts w:asciiTheme="minorHAnsi" w:eastAsia="Times New Roman" w:hAnsiTheme="minorHAnsi" w:cstheme="minorHAnsi"/>
          <w:color w:val="0000E1"/>
          <w:sz w:val="22"/>
          <w:szCs w:val="22"/>
        </w:rPr>
        <w:t>.</w:t>
      </w:r>
    </w:p>
    <w:p w14:paraId="2D14159D" w14:textId="77777777" w:rsidR="008D03BA" w:rsidRPr="007D0DFD" w:rsidRDefault="008D03BA" w:rsidP="00597F27">
      <w:pPr>
        <w:pStyle w:val="ListParagraph"/>
        <w:numPr>
          <w:ilvl w:val="0"/>
          <w:numId w:val="10"/>
        </w:numPr>
        <w:autoSpaceDE w:val="0"/>
        <w:autoSpaceDN w:val="0"/>
        <w:adjustRightInd w:val="0"/>
        <w:spacing w:after="0"/>
        <w:ind w:left="360"/>
        <w:rPr>
          <w:rFonts w:cstheme="minorHAnsi"/>
          <w:color w:val="0000E1"/>
        </w:rPr>
      </w:pPr>
      <w:r w:rsidRPr="007D0DFD">
        <w:rPr>
          <w:rFonts w:cstheme="minorHAnsi"/>
          <w:color w:val="0000E1"/>
        </w:rPr>
        <w:t xml:space="preserve">Sokol MC, McGuigan KA, </w:t>
      </w:r>
      <w:proofErr w:type="spellStart"/>
      <w:r w:rsidRPr="007D0DFD">
        <w:rPr>
          <w:rFonts w:cstheme="minorHAnsi"/>
          <w:color w:val="0000E1"/>
        </w:rPr>
        <w:t>Verbrugge</w:t>
      </w:r>
      <w:proofErr w:type="spellEnd"/>
      <w:r w:rsidRPr="007D0DFD">
        <w:rPr>
          <w:rFonts w:cstheme="minorHAnsi"/>
          <w:color w:val="0000E1"/>
        </w:rPr>
        <w:t xml:space="preserve"> RR, Epstein RS. Impact of medication adherence on hospitalization risk and healthcare cost. Med Care. 2005;</w:t>
      </w:r>
      <w:r w:rsidR="00813164">
        <w:rPr>
          <w:rFonts w:cstheme="minorHAnsi"/>
          <w:color w:val="0000E1"/>
        </w:rPr>
        <w:t xml:space="preserve"> </w:t>
      </w:r>
      <w:r w:rsidRPr="007D0DFD">
        <w:rPr>
          <w:rFonts w:cstheme="minorHAnsi"/>
          <w:color w:val="0000E1"/>
        </w:rPr>
        <w:t xml:space="preserve">43(6):521-30. PMID: </w:t>
      </w:r>
      <w:hyperlink r:id="rId19" w:history="1">
        <w:r w:rsidRPr="007D0DFD">
          <w:rPr>
            <w:rStyle w:val="Hyperlink"/>
            <w:rFonts w:cstheme="minorHAnsi"/>
            <w:color w:val="0000E1"/>
          </w:rPr>
          <w:t>15908846</w:t>
        </w:r>
      </w:hyperlink>
      <w:r w:rsidRPr="007D0DFD">
        <w:rPr>
          <w:rFonts w:cstheme="minorHAnsi"/>
          <w:color w:val="0000E1"/>
        </w:rPr>
        <w:t>.</w:t>
      </w:r>
    </w:p>
    <w:p w14:paraId="768DF2A9" w14:textId="77777777" w:rsidR="008D03BA" w:rsidRPr="007D0DFD" w:rsidRDefault="008D03BA" w:rsidP="00597F27">
      <w:pPr>
        <w:pStyle w:val="ListParagraph"/>
        <w:numPr>
          <w:ilvl w:val="0"/>
          <w:numId w:val="10"/>
        </w:numPr>
        <w:autoSpaceDE w:val="0"/>
        <w:autoSpaceDN w:val="0"/>
        <w:adjustRightInd w:val="0"/>
        <w:spacing w:after="0"/>
        <w:ind w:left="360"/>
        <w:rPr>
          <w:rFonts w:cstheme="minorHAnsi"/>
          <w:color w:val="0000E1"/>
        </w:rPr>
      </w:pPr>
      <w:proofErr w:type="spellStart"/>
      <w:r w:rsidRPr="007D0DFD">
        <w:rPr>
          <w:rFonts w:cstheme="minorHAnsi"/>
          <w:color w:val="0000E1"/>
        </w:rPr>
        <w:t>Whelton</w:t>
      </w:r>
      <w:proofErr w:type="spellEnd"/>
      <w:r w:rsidRPr="007D0DFD">
        <w:rPr>
          <w:rFonts w:cstheme="minorHAnsi"/>
          <w:color w:val="0000E1"/>
        </w:rPr>
        <w:t xml:space="preserve"> PK, Carey RM, </w:t>
      </w:r>
      <w:proofErr w:type="spellStart"/>
      <w:r w:rsidRPr="007D0DFD">
        <w:rPr>
          <w:rFonts w:cstheme="minorHAnsi"/>
          <w:color w:val="0000E1"/>
        </w:rPr>
        <w:t>Aronow</w:t>
      </w:r>
      <w:proofErr w:type="spellEnd"/>
      <w:r w:rsidRPr="007D0DFD">
        <w:rPr>
          <w:rFonts w:cstheme="minorHAnsi"/>
          <w:color w:val="0000E1"/>
        </w:rPr>
        <w:t xml:space="preserve"> WS, et al. 2017 ACC/AHA/AAPA/ABC/ACPM/AGS/</w:t>
      </w:r>
      <w:proofErr w:type="spellStart"/>
      <w:r w:rsidRPr="007D0DFD">
        <w:rPr>
          <w:rFonts w:cstheme="minorHAnsi"/>
          <w:color w:val="0000E1"/>
        </w:rPr>
        <w:t>APhA</w:t>
      </w:r>
      <w:proofErr w:type="spellEnd"/>
      <w:r w:rsidRPr="007D0DFD">
        <w:rPr>
          <w:rFonts w:cstheme="minorHAnsi"/>
          <w:color w:val="0000E1"/>
        </w:rPr>
        <w:t xml:space="preserve">/ASH/ASPC/NMA/PCNA Guideline for the Prevention, Detection, Evaluation, and Management of High Blood Pressure in Adults: Executive Summary: A Report of the American College of Cardiology/American Heart Association Task Force on Clinical Practice Guidelines. J Am Soc </w:t>
      </w:r>
      <w:proofErr w:type="spellStart"/>
      <w:r w:rsidRPr="007D0DFD">
        <w:rPr>
          <w:rFonts w:cstheme="minorHAnsi"/>
          <w:color w:val="0000E1"/>
        </w:rPr>
        <w:t>Hypertens</w:t>
      </w:r>
      <w:proofErr w:type="spellEnd"/>
      <w:r w:rsidRPr="007D0DFD">
        <w:rPr>
          <w:rFonts w:cstheme="minorHAnsi"/>
          <w:color w:val="0000E1"/>
        </w:rPr>
        <w:t>. 2018;</w:t>
      </w:r>
      <w:r w:rsidR="00813164">
        <w:rPr>
          <w:rFonts w:cstheme="minorHAnsi"/>
          <w:color w:val="0000E1"/>
        </w:rPr>
        <w:t xml:space="preserve"> </w:t>
      </w:r>
      <w:r w:rsidRPr="007D0DFD">
        <w:rPr>
          <w:rFonts w:cstheme="minorHAnsi"/>
          <w:color w:val="0000E1"/>
        </w:rPr>
        <w:t>12(8</w:t>
      </w:r>
      <w:proofErr w:type="gramStart"/>
      <w:r w:rsidRPr="007D0DFD">
        <w:rPr>
          <w:rFonts w:cstheme="minorHAnsi"/>
          <w:color w:val="0000E1"/>
        </w:rPr>
        <w:t>):579.e</w:t>
      </w:r>
      <w:proofErr w:type="gramEnd"/>
      <w:r w:rsidRPr="007D0DFD">
        <w:rPr>
          <w:rFonts w:cstheme="minorHAnsi"/>
          <w:color w:val="0000E1"/>
        </w:rPr>
        <w:t xml:space="preserve">1-579.e73. PMID: </w:t>
      </w:r>
      <w:hyperlink r:id="rId20" w:history="1">
        <w:r w:rsidRPr="007D0DFD">
          <w:rPr>
            <w:rStyle w:val="Hyperlink"/>
            <w:rFonts w:cstheme="minorHAnsi"/>
            <w:color w:val="0000E1"/>
          </w:rPr>
          <w:t>30219548</w:t>
        </w:r>
      </w:hyperlink>
      <w:r w:rsidRPr="007D0DFD">
        <w:rPr>
          <w:rFonts w:cstheme="minorHAnsi"/>
          <w:color w:val="0000E1"/>
        </w:rPr>
        <w:t>.</w:t>
      </w:r>
    </w:p>
    <w:p w14:paraId="3EA33A4D" w14:textId="77777777" w:rsidR="008D03BA" w:rsidRPr="007D0DFD" w:rsidRDefault="008D03BA" w:rsidP="00597F27">
      <w:pPr>
        <w:pStyle w:val="ListParagraph"/>
        <w:numPr>
          <w:ilvl w:val="0"/>
          <w:numId w:val="10"/>
        </w:numPr>
        <w:autoSpaceDE w:val="0"/>
        <w:autoSpaceDN w:val="0"/>
        <w:adjustRightInd w:val="0"/>
        <w:spacing w:after="0"/>
        <w:ind w:left="360"/>
        <w:rPr>
          <w:rFonts w:eastAsiaTheme="minorHAnsi" w:cstheme="minorHAnsi"/>
          <w:color w:val="0000E1"/>
        </w:rPr>
      </w:pPr>
      <w:r w:rsidRPr="007D0DFD">
        <w:rPr>
          <w:rFonts w:cstheme="minorHAnsi"/>
          <w:color w:val="0000E1"/>
        </w:rPr>
        <w:t>American Diabetes Association. Standards of Medical Care in Diabetes – 2018. Diabetes Care. 2018;</w:t>
      </w:r>
      <w:r w:rsidR="00813164">
        <w:rPr>
          <w:rFonts w:cstheme="minorHAnsi"/>
          <w:color w:val="0000E1"/>
        </w:rPr>
        <w:t xml:space="preserve"> </w:t>
      </w:r>
      <w:r w:rsidRPr="007D0DFD">
        <w:rPr>
          <w:rFonts w:cstheme="minorHAnsi"/>
          <w:color w:val="0000E1"/>
        </w:rPr>
        <w:t>41(Supplement 1): S1-S159</w:t>
      </w:r>
      <w:r w:rsidR="00E57C81">
        <w:rPr>
          <w:rFonts w:cstheme="minorHAnsi"/>
          <w:color w:val="0000E1"/>
        </w:rPr>
        <w:t xml:space="preserve">. </w:t>
      </w:r>
      <w:r w:rsidRPr="007D0DFD">
        <w:rPr>
          <w:rFonts w:cstheme="minorHAnsi"/>
          <w:color w:val="0000E1"/>
        </w:rPr>
        <w:t>https://doi.org/10.2337/dc18-Srev01.</w:t>
      </w:r>
    </w:p>
    <w:p w14:paraId="17006E06" w14:textId="77777777" w:rsidR="008D03BA" w:rsidRPr="006B101F" w:rsidRDefault="008D03BA" w:rsidP="00597F27">
      <w:pPr>
        <w:pStyle w:val="FootnoteText"/>
        <w:numPr>
          <w:ilvl w:val="0"/>
          <w:numId w:val="10"/>
        </w:numPr>
        <w:ind w:left="360"/>
        <w:rPr>
          <w:rFonts w:asciiTheme="minorHAnsi" w:hAnsiTheme="minorHAnsi" w:cstheme="minorHAnsi"/>
          <w:color w:val="0000E1"/>
          <w:sz w:val="22"/>
          <w:szCs w:val="22"/>
        </w:rPr>
      </w:pPr>
      <w:r w:rsidRPr="006B101F">
        <w:rPr>
          <w:rFonts w:asciiTheme="minorHAnsi" w:hAnsiTheme="minorHAnsi" w:cstheme="minorHAnsi"/>
          <w:color w:val="0000E1"/>
          <w:sz w:val="22"/>
          <w:szCs w:val="22"/>
        </w:rPr>
        <w:t xml:space="preserve">Sokol MC, McGuigan KA, </w:t>
      </w:r>
      <w:proofErr w:type="spellStart"/>
      <w:r w:rsidRPr="006B101F">
        <w:rPr>
          <w:rFonts w:asciiTheme="minorHAnsi" w:hAnsiTheme="minorHAnsi" w:cstheme="minorHAnsi"/>
          <w:color w:val="0000E1"/>
          <w:sz w:val="22"/>
          <w:szCs w:val="22"/>
        </w:rPr>
        <w:t>Verbrugge</w:t>
      </w:r>
      <w:proofErr w:type="spellEnd"/>
      <w:r w:rsidRPr="006B101F">
        <w:rPr>
          <w:rFonts w:asciiTheme="minorHAnsi" w:hAnsiTheme="minorHAnsi" w:cstheme="minorHAnsi"/>
          <w:color w:val="0000E1"/>
          <w:sz w:val="22"/>
          <w:szCs w:val="22"/>
        </w:rPr>
        <w:t xml:space="preserve"> RR, Epstein RS. Impact of medication adherence on hospitalization risk and healthcare cost. Med Care. 2005;</w:t>
      </w:r>
      <w:r w:rsidR="00510D33">
        <w:rPr>
          <w:rFonts w:asciiTheme="minorHAnsi" w:hAnsiTheme="minorHAnsi" w:cstheme="minorHAnsi"/>
          <w:color w:val="0000E1"/>
          <w:sz w:val="22"/>
          <w:szCs w:val="22"/>
        </w:rPr>
        <w:t xml:space="preserve"> </w:t>
      </w:r>
      <w:r w:rsidRPr="006B101F">
        <w:rPr>
          <w:rFonts w:asciiTheme="minorHAnsi" w:hAnsiTheme="minorHAnsi" w:cstheme="minorHAnsi"/>
          <w:color w:val="0000E1"/>
          <w:sz w:val="22"/>
          <w:szCs w:val="22"/>
        </w:rPr>
        <w:t xml:space="preserve">43(6):521-30. PMID: </w:t>
      </w:r>
      <w:hyperlink r:id="rId21" w:history="1">
        <w:r w:rsidRPr="006B101F">
          <w:rPr>
            <w:rStyle w:val="Hyperlink"/>
            <w:rFonts w:asciiTheme="minorHAnsi" w:hAnsiTheme="minorHAnsi" w:cstheme="minorHAnsi"/>
            <w:color w:val="0000E1"/>
            <w:sz w:val="22"/>
            <w:szCs w:val="22"/>
          </w:rPr>
          <w:t>15908846</w:t>
        </w:r>
      </w:hyperlink>
      <w:r w:rsidRPr="006B101F">
        <w:rPr>
          <w:rFonts w:asciiTheme="minorHAnsi" w:hAnsiTheme="minorHAnsi" w:cstheme="minorHAnsi"/>
          <w:color w:val="0000E1"/>
          <w:sz w:val="22"/>
          <w:szCs w:val="22"/>
        </w:rPr>
        <w:t>.</w:t>
      </w:r>
    </w:p>
    <w:p w14:paraId="06898BB0" w14:textId="77777777" w:rsidR="008D03BA" w:rsidRPr="007D0DFD" w:rsidRDefault="008D03BA" w:rsidP="00597F27">
      <w:pPr>
        <w:pStyle w:val="ListParagraph"/>
        <w:numPr>
          <w:ilvl w:val="0"/>
          <w:numId w:val="10"/>
        </w:numPr>
        <w:autoSpaceDE w:val="0"/>
        <w:autoSpaceDN w:val="0"/>
        <w:adjustRightInd w:val="0"/>
        <w:spacing w:after="0"/>
        <w:ind w:left="360"/>
        <w:rPr>
          <w:rFonts w:cstheme="minorHAnsi"/>
          <w:color w:val="0000E1"/>
        </w:rPr>
      </w:pPr>
      <w:proofErr w:type="spellStart"/>
      <w:r w:rsidRPr="007D0DFD">
        <w:rPr>
          <w:rFonts w:cstheme="minorHAnsi"/>
          <w:color w:val="0000E1"/>
        </w:rPr>
        <w:t>Jellinger</w:t>
      </w:r>
      <w:proofErr w:type="spellEnd"/>
      <w:r w:rsidRPr="007D0DFD">
        <w:rPr>
          <w:rFonts w:cstheme="minorHAnsi"/>
          <w:color w:val="0000E1"/>
        </w:rPr>
        <w:t xml:space="preserve"> PS, </w:t>
      </w:r>
      <w:proofErr w:type="spellStart"/>
      <w:r w:rsidRPr="007D0DFD">
        <w:rPr>
          <w:rFonts w:cstheme="minorHAnsi"/>
          <w:color w:val="0000E1"/>
        </w:rPr>
        <w:t>Handelsman</w:t>
      </w:r>
      <w:proofErr w:type="spellEnd"/>
      <w:r w:rsidRPr="007D0DFD">
        <w:rPr>
          <w:rFonts w:cstheme="minorHAnsi"/>
          <w:color w:val="0000E1"/>
        </w:rPr>
        <w:t xml:space="preserve"> Y, </w:t>
      </w:r>
      <w:proofErr w:type="spellStart"/>
      <w:r w:rsidRPr="007D0DFD">
        <w:rPr>
          <w:rFonts w:cstheme="minorHAnsi"/>
          <w:color w:val="0000E1"/>
        </w:rPr>
        <w:t>Rosenblit</w:t>
      </w:r>
      <w:proofErr w:type="spellEnd"/>
      <w:r w:rsidRPr="007D0DFD">
        <w:rPr>
          <w:rFonts w:cstheme="minorHAnsi"/>
          <w:color w:val="0000E1"/>
        </w:rPr>
        <w:t xml:space="preserve"> PD, et al. American Association of Clinical Endocrinologists and American College of Endocrinology guidelines for management of dyslipidemia and prevention of cardiovascular disease. </w:t>
      </w:r>
      <w:proofErr w:type="spellStart"/>
      <w:r w:rsidRPr="007D0DFD">
        <w:rPr>
          <w:rFonts w:cstheme="minorHAnsi"/>
          <w:color w:val="0000E1"/>
        </w:rPr>
        <w:t>Endocr</w:t>
      </w:r>
      <w:proofErr w:type="spellEnd"/>
      <w:r w:rsidRPr="007D0DFD">
        <w:rPr>
          <w:rFonts w:cstheme="minorHAnsi"/>
          <w:color w:val="0000E1"/>
        </w:rPr>
        <w:t xml:space="preserve"> </w:t>
      </w:r>
      <w:proofErr w:type="spellStart"/>
      <w:r w:rsidRPr="007D0DFD">
        <w:rPr>
          <w:rFonts w:cstheme="minorHAnsi"/>
          <w:color w:val="0000E1"/>
        </w:rPr>
        <w:t>Pract</w:t>
      </w:r>
      <w:proofErr w:type="spellEnd"/>
      <w:r w:rsidRPr="007D0DFD">
        <w:rPr>
          <w:rFonts w:cstheme="minorHAnsi"/>
          <w:color w:val="0000E1"/>
        </w:rPr>
        <w:t>. 2017;</w:t>
      </w:r>
      <w:r w:rsidR="00510D33">
        <w:rPr>
          <w:rFonts w:cstheme="minorHAnsi"/>
          <w:color w:val="0000E1"/>
        </w:rPr>
        <w:t xml:space="preserve"> </w:t>
      </w:r>
      <w:r w:rsidRPr="007D0DFD">
        <w:rPr>
          <w:rFonts w:cstheme="minorHAnsi"/>
          <w:color w:val="0000E1"/>
        </w:rPr>
        <w:t xml:space="preserve">23(Suppl 2):1-87. PMID: </w:t>
      </w:r>
      <w:hyperlink r:id="rId22" w:history="1">
        <w:r w:rsidRPr="007D0DFD">
          <w:rPr>
            <w:rStyle w:val="Hyperlink"/>
            <w:rFonts w:cstheme="minorHAnsi"/>
            <w:color w:val="0000E1"/>
          </w:rPr>
          <w:t>28437620</w:t>
        </w:r>
      </w:hyperlink>
      <w:r w:rsidRPr="007D0DFD">
        <w:rPr>
          <w:rFonts w:cstheme="minorHAnsi"/>
          <w:color w:val="0000E1"/>
        </w:rPr>
        <w:t>.</w:t>
      </w:r>
    </w:p>
    <w:p w14:paraId="65C0988E" w14:textId="77777777" w:rsidR="008D03BA" w:rsidRPr="007D0DFD" w:rsidRDefault="008D03BA" w:rsidP="00597F27">
      <w:pPr>
        <w:pStyle w:val="ListParagraph"/>
        <w:numPr>
          <w:ilvl w:val="0"/>
          <w:numId w:val="10"/>
        </w:numPr>
        <w:autoSpaceDE w:val="0"/>
        <w:autoSpaceDN w:val="0"/>
        <w:adjustRightInd w:val="0"/>
        <w:spacing w:after="0"/>
        <w:ind w:left="360"/>
        <w:rPr>
          <w:rFonts w:cstheme="minorHAnsi"/>
          <w:color w:val="0000E1"/>
        </w:rPr>
      </w:pPr>
      <w:r w:rsidRPr="007D0DFD">
        <w:rPr>
          <w:rFonts w:cstheme="minorHAnsi"/>
          <w:color w:val="0000E1"/>
        </w:rPr>
        <w:t xml:space="preserve">Taylor F, Huffman MD, Macedo AF, et al. Statins for the primary prevention of cardiovascular disease. Cochrane Database Syst Rev. 2013; (1):CD004816. PMID: </w:t>
      </w:r>
      <w:hyperlink r:id="rId23" w:history="1">
        <w:r w:rsidRPr="007D0DFD">
          <w:rPr>
            <w:rStyle w:val="Hyperlink"/>
            <w:rFonts w:cstheme="minorHAnsi"/>
            <w:color w:val="0000E1"/>
          </w:rPr>
          <w:t>23440795</w:t>
        </w:r>
      </w:hyperlink>
      <w:r w:rsidRPr="007D0DFD">
        <w:rPr>
          <w:rFonts w:cstheme="minorHAnsi"/>
          <w:color w:val="0000E1"/>
        </w:rPr>
        <w:t>.</w:t>
      </w:r>
    </w:p>
    <w:p w14:paraId="28A97394" w14:textId="77777777" w:rsidR="008D03BA" w:rsidRPr="007D0DFD" w:rsidRDefault="008D03BA" w:rsidP="00597F27">
      <w:pPr>
        <w:pStyle w:val="ListParagraph"/>
        <w:numPr>
          <w:ilvl w:val="0"/>
          <w:numId w:val="10"/>
        </w:numPr>
        <w:autoSpaceDE w:val="0"/>
        <w:autoSpaceDN w:val="0"/>
        <w:adjustRightInd w:val="0"/>
        <w:spacing w:after="0"/>
        <w:ind w:left="360"/>
        <w:rPr>
          <w:rFonts w:cstheme="minorHAnsi"/>
          <w:color w:val="0000E1"/>
        </w:rPr>
      </w:pPr>
      <w:r w:rsidRPr="007D0DFD">
        <w:rPr>
          <w:rFonts w:cstheme="minorHAnsi"/>
          <w:color w:val="0000E1"/>
        </w:rPr>
        <w:t xml:space="preserve">Stone NJ, Robinson JG, Lichtenstein AH, et al. American College of Cardiology/American Heart Association Task Force on Practice Guidelines. 2013 ACC/AHA guideline on the treatment of blood </w:t>
      </w:r>
      <w:r w:rsidRPr="007D0DFD">
        <w:rPr>
          <w:rFonts w:cstheme="minorHAnsi"/>
          <w:color w:val="0000E1"/>
        </w:rPr>
        <w:lastRenderedPageBreak/>
        <w:t>cholesterol to reduce atherosclerotic cardiovascular risk in adults: a report of the American College of Cardiology/American Heart Association Task Force on Practice Guidelines. Circulation. 2014;</w:t>
      </w:r>
      <w:r w:rsidR="00510D33">
        <w:rPr>
          <w:rFonts w:cstheme="minorHAnsi"/>
          <w:color w:val="0000E1"/>
        </w:rPr>
        <w:t xml:space="preserve"> </w:t>
      </w:r>
      <w:r w:rsidRPr="007D0DFD">
        <w:rPr>
          <w:rFonts w:cstheme="minorHAnsi"/>
          <w:color w:val="0000E1"/>
        </w:rPr>
        <w:t>129(25 Suppl 2</w:t>
      </w:r>
      <w:proofErr w:type="gramStart"/>
      <w:r w:rsidRPr="007D0DFD">
        <w:rPr>
          <w:rFonts w:cstheme="minorHAnsi"/>
          <w:color w:val="0000E1"/>
        </w:rPr>
        <w:t>):S</w:t>
      </w:r>
      <w:proofErr w:type="gramEnd"/>
      <w:r w:rsidRPr="007D0DFD">
        <w:rPr>
          <w:rFonts w:cstheme="minorHAnsi"/>
          <w:color w:val="0000E1"/>
        </w:rPr>
        <w:t xml:space="preserve">1-45. PMID: </w:t>
      </w:r>
      <w:hyperlink r:id="rId24" w:history="1">
        <w:r w:rsidRPr="007D0DFD">
          <w:rPr>
            <w:rStyle w:val="Hyperlink"/>
            <w:rFonts w:cstheme="minorHAnsi"/>
            <w:color w:val="0000E1"/>
          </w:rPr>
          <w:t>24222016</w:t>
        </w:r>
      </w:hyperlink>
      <w:r w:rsidRPr="007D0DFD">
        <w:rPr>
          <w:rFonts w:cstheme="minorHAnsi"/>
          <w:color w:val="0000E1"/>
        </w:rPr>
        <w:t>.</w:t>
      </w:r>
    </w:p>
    <w:p w14:paraId="07C3AF23" w14:textId="77777777" w:rsidR="008D03BA" w:rsidRPr="007D0DFD" w:rsidRDefault="008D03BA" w:rsidP="00597F27">
      <w:pPr>
        <w:pStyle w:val="ListParagraph"/>
        <w:numPr>
          <w:ilvl w:val="0"/>
          <w:numId w:val="10"/>
        </w:numPr>
        <w:autoSpaceDE w:val="0"/>
        <w:autoSpaceDN w:val="0"/>
        <w:adjustRightInd w:val="0"/>
        <w:spacing w:after="0"/>
        <w:ind w:left="360"/>
        <w:rPr>
          <w:rFonts w:cstheme="minorHAnsi"/>
          <w:color w:val="0000E1"/>
        </w:rPr>
      </w:pPr>
      <w:r w:rsidRPr="007D0DFD">
        <w:rPr>
          <w:rFonts w:cstheme="minorHAnsi"/>
          <w:color w:val="0000E1"/>
        </w:rPr>
        <w:t xml:space="preserve">Jacobson TA, Ito MK, Maki KC, et al. National lipid association recommendations for patient-centered management of dyslipidemia: part 1—full report. J Clin </w:t>
      </w:r>
      <w:proofErr w:type="spellStart"/>
      <w:r w:rsidRPr="007D0DFD">
        <w:rPr>
          <w:rFonts w:cstheme="minorHAnsi"/>
          <w:color w:val="0000E1"/>
        </w:rPr>
        <w:t>Lipidol</w:t>
      </w:r>
      <w:proofErr w:type="spellEnd"/>
      <w:r w:rsidRPr="007D0DFD">
        <w:rPr>
          <w:rFonts w:cstheme="minorHAnsi"/>
          <w:color w:val="0000E1"/>
        </w:rPr>
        <w:t>. 2015</w:t>
      </w:r>
      <w:r w:rsidR="00510D33">
        <w:rPr>
          <w:rFonts w:cstheme="minorHAnsi"/>
          <w:color w:val="0000E1"/>
        </w:rPr>
        <w:t xml:space="preserve"> </w:t>
      </w:r>
      <w:r w:rsidRPr="007D0DFD">
        <w:rPr>
          <w:rFonts w:cstheme="minorHAnsi"/>
          <w:color w:val="0000E1"/>
        </w:rPr>
        <w:t xml:space="preserve">;9(2):129-69. PMID: </w:t>
      </w:r>
      <w:hyperlink r:id="rId25" w:history="1">
        <w:r w:rsidRPr="007D0DFD">
          <w:rPr>
            <w:rStyle w:val="Hyperlink"/>
            <w:rFonts w:cstheme="minorHAnsi"/>
            <w:color w:val="0000E1"/>
          </w:rPr>
          <w:t>25911072</w:t>
        </w:r>
      </w:hyperlink>
      <w:r w:rsidRPr="007D0DFD">
        <w:rPr>
          <w:rFonts w:cstheme="minorHAnsi"/>
          <w:color w:val="0000E1"/>
        </w:rPr>
        <w:t>.</w:t>
      </w:r>
    </w:p>
    <w:p w14:paraId="7922984B" w14:textId="77777777" w:rsidR="008D03BA" w:rsidRPr="007D0DFD" w:rsidRDefault="008D03BA" w:rsidP="00597F27">
      <w:pPr>
        <w:pStyle w:val="ListParagraph"/>
        <w:numPr>
          <w:ilvl w:val="0"/>
          <w:numId w:val="10"/>
        </w:numPr>
        <w:autoSpaceDE w:val="0"/>
        <w:autoSpaceDN w:val="0"/>
        <w:adjustRightInd w:val="0"/>
        <w:spacing w:after="0"/>
        <w:ind w:left="360"/>
        <w:rPr>
          <w:rFonts w:cstheme="minorHAnsi"/>
          <w:color w:val="0000E1"/>
        </w:rPr>
      </w:pPr>
      <w:proofErr w:type="spellStart"/>
      <w:r w:rsidRPr="007D0DFD">
        <w:rPr>
          <w:rFonts w:cstheme="minorHAnsi"/>
          <w:color w:val="0000E1"/>
        </w:rPr>
        <w:t>Bibbins</w:t>
      </w:r>
      <w:proofErr w:type="spellEnd"/>
      <w:r w:rsidRPr="007D0DFD">
        <w:rPr>
          <w:rFonts w:cstheme="minorHAnsi"/>
          <w:color w:val="0000E1"/>
        </w:rPr>
        <w:t>-Domingo K, Grossman DC, Curry SJ, et al. Statin Use for the Primary Prevention of Cardiovascular Disease in Adults: US Preventive Services Task Force Recommendation Statement. JAMA. 2016;</w:t>
      </w:r>
      <w:r w:rsidR="00510D33">
        <w:rPr>
          <w:rFonts w:cstheme="minorHAnsi"/>
          <w:color w:val="0000E1"/>
        </w:rPr>
        <w:t xml:space="preserve"> </w:t>
      </w:r>
      <w:r w:rsidRPr="007D0DFD">
        <w:rPr>
          <w:rFonts w:cstheme="minorHAnsi"/>
          <w:color w:val="0000E1"/>
        </w:rPr>
        <w:t xml:space="preserve">316(19):1997-2007. PMID: </w:t>
      </w:r>
      <w:hyperlink r:id="rId26" w:history="1">
        <w:r w:rsidRPr="007D0DFD">
          <w:rPr>
            <w:rStyle w:val="Hyperlink"/>
            <w:rFonts w:cstheme="minorHAnsi"/>
            <w:color w:val="0000E1"/>
          </w:rPr>
          <w:t>27838723</w:t>
        </w:r>
      </w:hyperlink>
      <w:r w:rsidRPr="007D0DFD">
        <w:rPr>
          <w:rFonts w:cstheme="minorHAnsi"/>
          <w:color w:val="0000E1"/>
        </w:rPr>
        <w:t>.</w:t>
      </w:r>
    </w:p>
    <w:p w14:paraId="3F39797F" w14:textId="77777777" w:rsidR="008F7295" w:rsidRPr="007D0DFD" w:rsidRDefault="008D03BA" w:rsidP="00597F27">
      <w:pPr>
        <w:pStyle w:val="ListParagraph"/>
        <w:numPr>
          <w:ilvl w:val="0"/>
          <w:numId w:val="10"/>
        </w:numPr>
        <w:autoSpaceDE w:val="0"/>
        <w:autoSpaceDN w:val="0"/>
        <w:adjustRightInd w:val="0"/>
        <w:spacing w:after="0" w:line="240" w:lineRule="auto"/>
        <w:ind w:left="360"/>
        <w:rPr>
          <w:rFonts w:cstheme="minorHAnsi"/>
          <w:color w:val="0000E1"/>
        </w:rPr>
      </w:pPr>
      <w:r w:rsidRPr="007D0DFD">
        <w:rPr>
          <w:rFonts w:cstheme="minorHAnsi"/>
          <w:color w:val="0000E1"/>
        </w:rPr>
        <w:t xml:space="preserve">Cholesterol Treatment Trialists' (CTT) Collaborators, </w:t>
      </w:r>
      <w:proofErr w:type="spellStart"/>
      <w:r w:rsidRPr="007D0DFD">
        <w:rPr>
          <w:rFonts w:cstheme="minorHAnsi"/>
          <w:color w:val="0000E1"/>
        </w:rPr>
        <w:t>Mihaylova</w:t>
      </w:r>
      <w:proofErr w:type="spellEnd"/>
      <w:r w:rsidRPr="007D0DFD">
        <w:rPr>
          <w:rFonts w:cstheme="minorHAnsi"/>
          <w:color w:val="0000E1"/>
        </w:rPr>
        <w:t xml:space="preserve"> B, </w:t>
      </w:r>
      <w:proofErr w:type="spellStart"/>
      <w:r w:rsidRPr="007D0DFD">
        <w:rPr>
          <w:rFonts w:cstheme="minorHAnsi"/>
          <w:color w:val="0000E1"/>
        </w:rPr>
        <w:t>Emberson</w:t>
      </w:r>
      <w:proofErr w:type="spellEnd"/>
      <w:r w:rsidRPr="007D0DFD">
        <w:rPr>
          <w:rFonts w:cstheme="minorHAnsi"/>
          <w:color w:val="0000E1"/>
        </w:rPr>
        <w:t xml:space="preserve"> J, Blackwell L, et al. The effects of lowering LDL cholesterol with statin therapy in people at low risk of vascular disease: meta-analysis of individual data from 27 randomised trials. Lancet. 2012;</w:t>
      </w:r>
      <w:r w:rsidR="00510D33">
        <w:rPr>
          <w:rFonts w:cstheme="minorHAnsi"/>
          <w:color w:val="0000E1"/>
        </w:rPr>
        <w:t xml:space="preserve"> </w:t>
      </w:r>
      <w:r w:rsidRPr="007D0DFD">
        <w:rPr>
          <w:rFonts w:cstheme="minorHAnsi"/>
          <w:color w:val="0000E1"/>
        </w:rPr>
        <w:t xml:space="preserve">380(9841):581-90. PMID: </w:t>
      </w:r>
      <w:hyperlink r:id="rId27" w:history="1">
        <w:r w:rsidRPr="007D0DFD">
          <w:rPr>
            <w:rStyle w:val="Hyperlink"/>
            <w:rFonts w:cstheme="minorHAnsi"/>
            <w:color w:val="0000E1"/>
          </w:rPr>
          <w:t>22607822</w:t>
        </w:r>
      </w:hyperlink>
      <w:r w:rsidR="008F7295" w:rsidRPr="007D0DFD">
        <w:rPr>
          <w:rFonts w:cstheme="minorHAnsi"/>
          <w:color w:val="0000E1"/>
        </w:rPr>
        <w:t>.</w:t>
      </w:r>
    </w:p>
    <w:p w14:paraId="1AF6C78B" w14:textId="77777777" w:rsidR="002F6A61" w:rsidRPr="006B101F" w:rsidRDefault="002F6A61" w:rsidP="00326D45">
      <w:pPr>
        <w:autoSpaceDE w:val="0"/>
        <w:autoSpaceDN w:val="0"/>
        <w:adjustRightInd w:val="0"/>
        <w:spacing w:after="0" w:line="240" w:lineRule="auto"/>
        <w:rPr>
          <w:rFonts w:cstheme="minorHAnsi"/>
          <w:bCs/>
          <w:color w:val="0000E1"/>
        </w:rPr>
      </w:pPr>
    </w:p>
    <w:p w14:paraId="0851E123" w14:textId="7F116EAE" w:rsidR="00BC3C99" w:rsidRPr="006B101F" w:rsidRDefault="00C37014" w:rsidP="00BC3C99">
      <w:pPr>
        <w:autoSpaceDE w:val="0"/>
        <w:autoSpaceDN w:val="0"/>
        <w:adjustRightInd w:val="0"/>
        <w:spacing w:after="0" w:line="240" w:lineRule="auto"/>
        <w:rPr>
          <w:rFonts w:cstheme="minorHAnsi"/>
          <w:bCs/>
          <w:color w:val="0000E1"/>
          <w:u w:val="single"/>
        </w:rPr>
      </w:pPr>
      <w:r>
        <w:rPr>
          <w:rFonts w:cstheme="minorHAnsi"/>
          <w:bCs/>
          <w:color w:val="0000E1"/>
          <w:u w:val="single"/>
        </w:rPr>
        <w:t>Face V</w:t>
      </w:r>
      <w:r w:rsidR="00BC3C99" w:rsidRPr="006B101F">
        <w:rPr>
          <w:rFonts w:cstheme="minorHAnsi"/>
          <w:bCs/>
          <w:color w:val="0000E1"/>
          <w:u w:val="single"/>
        </w:rPr>
        <w:t>alidity</w:t>
      </w:r>
    </w:p>
    <w:p w14:paraId="4836B3B0" w14:textId="77777777" w:rsidR="00BC3C99" w:rsidRDefault="00BC3C99" w:rsidP="00326D45">
      <w:pPr>
        <w:widowControl w:val="0"/>
        <w:autoSpaceDE w:val="0"/>
        <w:autoSpaceDN w:val="0"/>
        <w:adjustRightInd w:val="0"/>
        <w:spacing w:after="0" w:line="240" w:lineRule="auto"/>
        <w:rPr>
          <w:rFonts w:cstheme="minorHAnsi"/>
          <w:color w:val="0000E1"/>
        </w:rPr>
      </w:pPr>
      <w:r w:rsidRPr="006B101F">
        <w:rPr>
          <w:rFonts w:cs="Trebuchet MS"/>
          <w:color w:val="0000E1"/>
        </w:rPr>
        <w:t xml:space="preserve">PQA uses a systematic, transparent, consensus-based measure development, testing, and endorsement process. That process was used in 2008 to develop this measure. </w:t>
      </w:r>
      <w:r w:rsidRPr="006B101F">
        <w:rPr>
          <w:rFonts w:cstheme="minorHAnsi"/>
          <w:color w:val="0000E1"/>
        </w:rPr>
        <w:t xml:space="preserve">The measure was assessed for face validity (i.e., whether it appears to measure what it intends to measure) through review by workgroup </w:t>
      </w:r>
      <w:r w:rsidR="00884753">
        <w:rPr>
          <w:rFonts w:cstheme="minorHAnsi"/>
          <w:color w:val="0000E1"/>
        </w:rPr>
        <w:t xml:space="preserve">participants </w:t>
      </w:r>
      <w:r w:rsidRPr="006B101F">
        <w:rPr>
          <w:rFonts w:cstheme="minorHAnsi"/>
          <w:color w:val="0000E1"/>
        </w:rPr>
        <w:t>that developed the measure (PQA Adherence Workgroup), the PQA Quality Metrics Expert Panel (QMEP), and PQA’s full membership.</w:t>
      </w:r>
    </w:p>
    <w:p w14:paraId="759834B6" w14:textId="77777777" w:rsidR="001D459A" w:rsidRDefault="001D459A" w:rsidP="00326D45">
      <w:pPr>
        <w:widowControl w:val="0"/>
        <w:autoSpaceDE w:val="0"/>
        <w:autoSpaceDN w:val="0"/>
        <w:adjustRightInd w:val="0"/>
        <w:spacing w:after="0" w:line="240" w:lineRule="auto"/>
        <w:rPr>
          <w:rFonts w:cstheme="minorHAnsi"/>
          <w:color w:val="0000E1"/>
        </w:rPr>
      </w:pPr>
    </w:p>
    <w:p w14:paraId="6B2B18C9" w14:textId="77777777" w:rsidR="00BC3C99" w:rsidRPr="006B101F" w:rsidRDefault="00BC3C99" w:rsidP="00326D45">
      <w:pPr>
        <w:widowControl w:val="0"/>
        <w:autoSpaceDE w:val="0"/>
        <w:autoSpaceDN w:val="0"/>
        <w:adjustRightInd w:val="0"/>
        <w:spacing w:after="0" w:line="240" w:lineRule="auto"/>
        <w:rPr>
          <w:rFonts w:cstheme="minorHAnsi"/>
          <w:color w:val="0000E1"/>
        </w:rPr>
      </w:pPr>
      <w:r w:rsidRPr="006B101F">
        <w:rPr>
          <w:rFonts w:cstheme="minorHAnsi"/>
          <w:color w:val="0000E1"/>
        </w:rPr>
        <w:t>The 2018 PQA Measure Update Panel and QMEP most recently reviewed this measure. These panels include individuals with expertise and experience in pharmacy, medicine, research, and clinical or other technical expertise related to quality improvement and measure development.</w:t>
      </w:r>
    </w:p>
    <w:p w14:paraId="6F62BBCC" w14:textId="77777777" w:rsidR="00614F90" w:rsidRPr="00A25024" w:rsidRDefault="00614F90" w:rsidP="00326D45">
      <w:pPr>
        <w:autoSpaceDE w:val="0"/>
        <w:autoSpaceDN w:val="0"/>
        <w:adjustRightInd w:val="0"/>
        <w:spacing w:after="0" w:line="240" w:lineRule="auto"/>
        <w:rPr>
          <w:rFonts w:cstheme="minorHAnsi"/>
          <w:bCs/>
        </w:rPr>
      </w:pPr>
    </w:p>
    <w:p w14:paraId="39CB66CA" w14:textId="77777777" w:rsidR="006461BA" w:rsidRDefault="009C7513" w:rsidP="00EF250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4B331997" w14:textId="77777777" w:rsidR="00614F90" w:rsidRPr="008C56C8" w:rsidRDefault="00833325" w:rsidP="00EF2507">
      <w:pPr>
        <w:autoSpaceDE w:val="0"/>
        <w:autoSpaceDN w:val="0"/>
        <w:adjustRightInd w:val="0"/>
        <w:spacing w:after="0" w:line="240" w:lineRule="auto"/>
        <w:rPr>
          <w:rFonts w:cstheme="minorHAnsi"/>
          <w:bCs/>
          <w:color w:val="0000E1"/>
        </w:rPr>
      </w:pPr>
      <w:r w:rsidRPr="00A25024">
        <w:rPr>
          <w:rFonts w:cstheme="minorHAnsi"/>
          <w:bCs/>
        </w:rPr>
        <w:br/>
      </w:r>
      <w:r w:rsidR="00614F90" w:rsidRPr="008C56C8">
        <w:rPr>
          <w:rFonts w:cstheme="minorHAnsi"/>
          <w:bCs/>
          <w:color w:val="0000E1"/>
        </w:rPr>
        <w:t>Resul</w:t>
      </w:r>
      <w:r w:rsidR="00213F7C" w:rsidRPr="008C56C8">
        <w:rPr>
          <w:rFonts w:cstheme="minorHAnsi"/>
          <w:bCs/>
          <w:color w:val="0000E1"/>
        </w:rPr>
        <w:t xml:space="preserve">ts for </w:t>
      </w:r>
      <w:r w:rsidR="000F6F93" w:rsidRPr="008C56C8">
        <w:rPr>
          <w:rFonts w:cstheme="minorHAnsi"/>
          <w:bCs/>
          <w:color w:val="0000E1"/>
        </w:rPr>
        <w:t xml:space="preserve">convergent </w:t>
      </w:r>
      <w:r w:rsidR="00213F7C" w:rsidRPr="008C56C8">
        <w:rPr>
          <w:rFonts w:cstheme="minorHAnsi"/>
          <w:bCs/>
          <w:color w:val="0000E1"/>
        </w:rPr>
        <w:t xml:space="preserve">validity testing </w:t>
      </w:r>
      <w:r w:rsidR="00614F90" w:rsidRPr="008C56C8">
        <w:rPr>
          <w:rFonts w:cstheme="minorHAnsi"/>
          <w:bCs/>
          <w:color w:val="0000E1"/>
        </w:rPr>
        <w:t>for the Medicar</w:t>
      </w:r>
      <w:r w:rsidR="008A70AC" w:rsidRPr="008C56C8">
        <w:rPr>
          <w:rFonts w:cstheme="minorHAnsi"/>
          <w:bCs/>
          <w:color w:val="0000E1"/>
        </w:rPr>
        <w:t>e population is shown in Table 6</w:t>
      </w:r>
      <w:r w:rsidR="00E57C81">
        <w:rPr>
          <w:rFonts w:cstheme="minorHAnsi"/>
          <w:bCs/>
          <w:color w:val="0000E1"/>
        </w:rPr>
        <w:t xml:space="preserve">. </w:t>
      </w:r>
      <w:r w:rsidR="00614F90" w:rsidRPr="008C56C8">
        <w:rPr>
          <w:rFonts w:cstheme="minorHAnsi"/>
          <w:bCs/>
          <w:color w:val="0000E1"/>
        </w:rPr>
        <w:t xml:space="preserve">For all three </w:t>
      </w:r>
      <w:r w:rsidR="00444025" w:rsidRPr="008C56C8">
        <w:rPr>
          <w:rFonts w:cstheme="minorHAnsi"/>
          <w:bCs/>
          <w:color w:val="0000E1"/>
        </w:rPr>
        <w:t>therapeutic categories</w:t>
      </w:r>
      <w:r w:rsidR="00614F90" w:rsidRPr="008C56C8">
        <w:rPr>
          <w:rFonts w:cstheme="minorHAnsi"/>
          <w:bCs/>
          <w:color w:val="0000E1"/>
        </w:rPr>
        <w:t xml:space="preserve">, there was a positive relationship </w:t>
      </w:r>
      <w:r w:rsidR="00444025" w:rsidRPr="008C56C8">
        <w:rPr>
          <w:rFonts w:cstheme="minorHAnsi"/>
          <w:bCs/>
          <w:color w:val="0000E1"/>
        </w:rPr>
        <w:t>with the</w:t>
      </w:r>
      <w:r w:rsidR="00614F90" w:rsidRPr="008C56C8">
        <w:rPr>
          <w:rFonts w:cstheme="minorHAnsi"/>
          <w:bCs/>
          <w:color w:val="0000E1"/>
        </w:rPr>
        <w:t xml:space="preserve"> comparator, and all three were statistically significant at alpha </w:t>
      </w:r>
      <w:r w:rsidR="00B10BE2" w:rsidRPr="008C56C8">
        <w:rPr>
          <w:rFonts w:cstheme="minorHAnsi"/>
          <w:bCs/>
          <w:color w:val="0000E1"/>
        </w:rPr>
        <w:t>&lt;</w:t>
      </w:r>
      <w:r w:rsidR="00F677F7">
        <w:rPr>
          <w:rFonts w:cstheme="minorHAnsi"/>
          <w:bCs/>
          <w:color w:val="0000E1"/>
        </w:rPr>
        <w:t>0</w:t>
      </w:r>
      <w:r w:rsidR="00B10BE2" w:rsidRPr="008C56C8">
        <w:rPr>
          <w:rFonts w:cstheme="minorHAnsi"/>
          <w:bCs/>
          <w:color w:val="0000E1"/>
        </w:rPr>
        <w:t>.0001</w:t>
      </w:r>
      <w:r w:rsidR="00614F90" w:rsidRPr="008C56C8">
        <w:rPr>
          <w:rFonts w:cstheme="minorHAnsi"/>
          <w:bCs/>
          <w:color w:val="0000E1"/>
        </w:rPr>
        <w:t xml:space="preserve">. </w:t>
      </w:r>
    </w:p>
    <w:p w14:paraId="02699744" w14:textId="77777777" w:rsidR="003B4DF1" w:rsidRDefault="003B4DF1" w:rsidP="00EF2507">
      <w:pPr>
        <w:autoSpaceDE w:val="0"/>
        <w:autoSpaceDN w:val="0"/>
        <w:adjustRightInd w:val="0"/>
        <w:spacing w:after="0" w:line="240" w:lineRule="auto"/>
        <w:rPr>
          <w:rFonts w:cstheme="minorHAnsi"/>
          <w:b/>
          <w:bCs/>
          <w:color w:val="0000E1"/>
        </w:rPr>
      </w:pPr>
    </w:p>
    <w:p w14:paraId="27DCC447" w14:textId="77777777" w:rsidR="00614F90" w:rsidRPr="008C56C8" w:rsidRDefault="008A70AC" w:rsidP="00EF2507">
      <w:pPr>
        <w:autoSpaceDE w:val="0"/>
        <w:autoSpaceDN w:val="0"/>
        <w:adjustRightInd w:val="0"/>
        <w:spacing w:after="0" w:line="240" w:lineRule="auto"/>
        <w:rPr>
          <w:rFonts w:cstheme="minorHAnsi"/>
          <w:b/>
          <w:bCs/>
          <w:color w:val="0000E1"/>
        </w:rPr>
      </w:pPr>
      <w:r w:rsidRPr="008C56C8">
        <w:rPr>
          <w:rFonts w:cstheme="minorHAnsi"/>
          <w:b/>
          <w:bCs/>
          <w:color w:val="0000E1"/>
        </w:rPr>
        <w:t>Table 6</w:t>
      </w:r>
      <w:r w:rsidR="00614F90" w:rsidRPr="008C56C8">
        <w:rPr>
          <w:rFonts w:cstheme="minorHAnsi"/>
          <w:b/>
          <w:bCs/>
          <w:color w:val="0000E1"/>
        </w:rPr>
        <w:t>. Convergent Validity Testing for Medicare</w:t>
      </w:r>
      <w:r w:rsidR="00FE2037" w:rsidRPr="008C56C8">
        <w:rPr>
          <w:rFonts w:cstheme="minorHAnsi"/>
          <w:b/>
          <w:bCs/>
          <w:color w:val="0000E1"/>
        </w:rPr>
        <w:t xml:space="preserve"> – By Therapeutic </w:t>
      </w:r>
      <w:r w:rsidR="00444025" w:rsidRPr="008C56C8">
        <w:rPr>
          <w:rFonts w:cstheme="minorHAnsi"/>
          <w:b/>
          <w:bCs/>
          <w:color w:val="0000E1"/>
        </w:rPr>
        <w:t>Category</w:t>
      </w:r>
    </w:p>
    <w:tbl>
      <w:tblPr>
        <w:tblStyle w:val="TableGrid"/>
        <w:tblW w:w="8995" w:type="dxa"/>
        <w:tblInd w:w="-5" w:type="dxa"/>
        <w:tblLook w:val="04A0" w:firstRow="1" w:lastRow="0" w:firstColumn="1" w:lastColumn="0" w:noHBand="0" w:noVBand="1"/>
      </w:tblPr>
      <w:tblGrid>
        <w:gridCol w:w="1525"/>
        <w:gridCol w:w="4410"/>
        <w:gridCol w:w="1890"/>
        <w:gridCol w:w="1170"/>
      </w:tblGrid>
      <w:tr w:rsidR="00985CAF" w:rsidRPr="008C56C8" w14:paraId="30138E5A" w14:textId="77777777" w:rsidTr="00985CAF">
        <w:trPr>
          <w:trHeight w:val="300"/>
        </w:trPr>
        <w:tc>
          <w:tcPr>
            <w:tcW w:w="1525" w:type="dxa"/>
            <w:noWrap/>
            <w:hideMark/>
          </w:tcPr>
          <w:p w14:paraId="5B629097" w14:textId="77777777" w:rsidR="00614F90" w:rsidRPr="008C56C8" w:rsidRDefault="00614F90" w:rsidP="00EF2507">
            <w:pPr>
              <w:autoSpaceDE w:val="0"/>
              <w:autoSpaceDN w:val="0"/>
              <w:adjustRightInd w:val="0"/>
              <w:rPr>
                <w:rFonts w:cstheme="minorHAnsi"/>
                <w:b/>
                <w:bCs/>
                <w:color w:val="0000E1"/>
              </w:rPr>
            </w:pPr>
            <w:r w:rsidRPr="008C56C8">
              <w:rPr>
                <w:rFonts w:cstheme="minorHAnsi"/>
                <w:b/>
                <w:bCs/>
                <w:color w:val="0000E1"/>
              </w:rPr>
              <w:t>Therapeutic Category</w:t>
            </w:r>
          </w:p>
        </w:tc>
        <w:tc>
          <w:tcPr>
            <w:tcW w:w="4410" w:type="dxa"/>
            <w:noWrap/>
            <w:hideMark/>
          </w:tcPr>
          <w:p w14:paraId="6F51D58E" w14:textId="77777777" w:rsidR="00614F90" w:rsidRPr="008C56C8" w:rsidRDefault="00614F90" w:rsidP="00EF2507">
            <w:pPr>
              <w:autoSpaceDE w:val="0"/>
              <w:autoSpaceDN w:val="0"/>
              <w:adjustRightInd w:val="0"/>
              <w:jc w:val="center"/>
              <w:rPr>
                <w:rFonts w:cstheme="minorHAnsi"/>
                <w:b/>
                <w:bCs/>
                <w:color w:val="0000E1"/>
              </w:rPr>
            </w:pPr>
            <w:r w:rsidRPr="008C56C8">
              <w:rPr>
                <w:rFonts w:cstheme="minorHAnsi"/>
                <w:b/>
                <w:bCs/>
                <w:color w:val="0000E1"/>
              </w:rPr>
              <w:t>Comparison</w:t>
            </w:r>
          </w:p>
        </w:tc>
        <w:tc>
          <w:tcPr>
            <w:tcW w:w="1890" w:type="dxa"/>
            <w:noWrap/>
            <w:hideMark/>
          </w:tcPr>
          <w:p w14:paraId="317AAD96" w14:textId="77777777" w:rsidR="00614F90" w:rsidRPr="008C56C8" w:rsidRDefault="00614F90" w:rsidP="00EF2507">
            <w:pPr>
              <w:autoSpaceDE w:val="0"/>
              <w:autoSpaceDN w:val="0"/>
              <w:adjustRightInd w:val="0"/>
              <w:jc w:val="center"/>
              <w:rPr>
                <w:rFonts w:cstheme="minorHAnsi"/>
                <w:b/>
                <w:bCs/>
                <w:color w:val="0000E1"/>
              </w:rPr>
            </w:pPr>
            <w:r w:rsidRPr="008C56C8">
              <w:rPr>
                <w:rFonts w:cstheme="minorHAnsi"/>
                <w:b/>
                <w:bCs/>
                <w:color w:val="0000E1"/>
              </w:rPr>
              <w:t>Correlation Coefficient</w:t>
            </w:r>
          </w:p>
        </w:tc>
        <w:tc>
          <w:tcPr>
            <w:tcW w:w="1170" w:type="dxa"/>
            <w:noWrap/>
            <w:hideMark/>
          </w:tcPr>
          <w:p w14:paraId="4A6216DA" w14:textId="77777777" w:rsidR="00614F90" w:rsidRPr="008C56C8" w:rsidRDefault="00614F90" w:rsidP="00EF2507">
            <w:pPr>
              <w:autoSpaceDE w:val="0"/>
              <w:autoSpaceDN w:val="0"/>
              <w:adjustRightInd w:val="0"/>
              <w:jc w:val="center"/>
              <w:rPr>
                <w:rFonts w:cstheme="minorHAnsi"/>
                <w:b/>
                <w:bCs/>
                <w:color w:val="0000E1"/>
              </w:rPr>
            </w:pPr>
            <w:r w:rsidRPr="008C56C8">
              <w:rPr>
                <w:rFonts w:cstheme="minorHAnsi"/>
                <w:b/>
                <w:bCs/>
                <w:i/>
                <w:iCs/>
                <w:color w:val="0000E1"/>
              </w:rPr>
              <w:t>p</w:t>
            </w:r>
            <w:r w:rsidRPr="008C56C8">
              <w:rPr>
                <w:rFonts w:cstheme="minorHAnsi"/>
                <w:b/>
                <w:bCs/>
                <w:color w:val="0000E1"/>
              </w:rPr>
              <w:t>-Value</w:t>
            </w:r>
          </w:p>
        </w:tc>
      </w:tr>
      <w:tr w:rsidR="00985CAF" w:rsidRPr="008C56C8" w14:paraId="41193715" w14:textId="77777777" w:rsidTr="00AE2BC8">
        <w:trPr>
          <w:trHeight w:val="288"/>
        </w:trPr>
        <w:tc>
          <w:tcPr>
            <w:tcW w:w="1525" w:type="dxa"/>
            <w:noWrap/>
            <w:hideMark/>
          </w:tcPr>
          <w:p w14:paraId="7948CE69" w14:textId="77777777" w:rsidR="00614F90" w:rsidRPr="008C56C8" w:rsidRDefault="00614F90" w:rsidP="00EF2507">
            <w:pPr>
              <w:autoSpaceDE w:val="0"/>
              <w:autoSpaceDN w:val="0"/>
              <w:adjustRightInd w:val="0"/>
              <w:rPr>
                <w:rFonts w:cstheme="minorHAnsi"/>
                <w:bCs/>
                <w:color w:val="0000E1"/>
              </w:rPr>
            </w:pPr>
            <w:r w:rsidRPr="008C56C8">
              <w:rPr>
                <w:rFonts w:cstheme="minorHAnsi"/>
                <w:bCs/>
                <w:color w:val="0000E1"/>
              </w:rPr>
              <w:t>Diabetes</w:t>
            </w:r>
          </w:p>
        </w:tc>
        <w:tc>
          <w:tcPr>
            <w:tcW w:w="4410" w:type="dxa"/>
            <w:noWrap/>
            <w:hideMark/>
          </w:tcPr>
          <w:p w14:paraId="7923896D" w14:textId="77777777" w:rsidR="00614F90" w:rsidRPr="008C56C8" w:rsidRDefault="00614F90" w:rsidP="00EF2507">
            <w:pPr>
              <w:autoSpaceDE w:val="0"/>
              <w:autoSpaceDN w:val="0"/>
              <w:adjustRightInd w:val="0"/>
              <w:rPr>
                <w:rFonts w:cstheme="minorHAnsi"/>
                <w:bCs/>
                <w:color w:val="0000E1"/>
              </w:rPr>
            </w:pPr>
            <w:r w:rsidRPr="008C56C8">
              <w:rPr>
                <w:rFonts w:cstheme="minorHAnsi"/>
                <w:bCs/>
                <w:color w:val="0000E1"/>
              </w:rPr>
              <w:t xml:space="preserve">C15: Diabetes Care - Blood Sugar Controlled </w:t>
            </w:r>
          </w:p>
        </w:tc>
        <w:tc>
          <w:tcPr>
            <w:tcW w:w="1890" w:type="dxa"/>
            <w:noWrap/>
            <w:vAlign w:val="center"/>
            <w:hideMark/>
          </w:tcPr>
          <w:p w14:paraId="635C2164" w14:textId="77777777" w:rsidR="00614F90" w:rsidRPr="008C56C8" w:rsidRDefault="00614F90" w:rsidP="00EF2507">
            <w:pPr>
              <w:autoSpaceDE w:val="0"/>
              <w:autoSpaceDN w:val="0"/>
              <w:adjustRightInd w:val="0"/>
              <w:jc w:val="right"/>
              <w:rPr>
                <w:rFonts w:cstheme="minorHAnsi"/>
                <w:bCs/>
                <w:color w:val="0000E1"/>
              </w:rPr>
            </w:pPr>
            <w:r w:rsidRPr="008C56C8">
              <w:rPr>
                <w:rFonts w:cstheme="minorHAnsi"/>
                <w:bCs/>
                <w:color w:val="0000E1"/>
              </w:rPr>
              <w:t>0.465</w:t>
            </w:r>
          </w:p>
        </w:tc>
        <w:tc>
          <w:tcPr>
            <w:tcW w:w="1170" w:type="dxa"/>
            <w:noWrap/>
            <w:vAlign w:val="center"/>
            <w:hideMark/>
          </w:tcPr>
          <w:p w14:paraId="6079F0D6" w14:textId="77777777" w:rsidR="00614F90" w:rsidRPr="008C56C8" w:rsidRDefault="00614F90" w:rsidP="00EF2507">
            <w:pPr>
              <w:autoSpaceDE w:val="0"/>
              <w:autoSpaceDN w:val="0"/>
              <w:adjustRightInd w:val="0"/>
              <w:jc w:val="right"/>
              <w:rPr>
                <w:rFonts w:cstheme="minorHAnsi"/>
                <w:bCs/>
                <w:color w:val="0000E1"/>
              </w:rPr>
            </w:pPr>
            <w:r w:rsidRPr="008C56C8">
              <w:rPr>
                <w:rFonts w:cstheme="minorHAnsi"/>
                <w:bCs/>
                <w:color w:val="0000E1"/>
              </w:rPr>
              <w:t>&lt;</w:t>
            </w:r>
            <w:r w:rsidR="00F677F7">
              <w:rPr>
                <w:rFonts w:cstheme="minorHAnsi"/>
                <w:bCs/>
                <w:color w:val="0000E1"/>
              </w:rPr>
              <w:t>0</w:t>
            </w:r>
            <w:r w:rsidRPr="008C56C8">
              <w:rPr>
                <w:rFonts w:cstheme="minorHAnsi"/>
                <w:bCs/>
                <w:color w:val="0000E1"/>
              </w:rPr>
              <w:t>.0001</w:t>
            </w:r>
          </w:p>
        </w:tc>
      </w:tr>
      <w:tr w:rsidR="00985CAF" w:rsidRPr="008C56C8" w14:paraId="70BBD49B" w14:textId="77777777" w:rsidTr="00AE2BC8">
        <w:trPr>
          <w:trHeight w:val="288"/>
        </w:trPr>
        <w:tc>
          <w:tcPr>
            <w:tcW w:w="1525" w:type="dxa"/>
            <w:noWrap/>
            <w:hideMark/>
          </w:tcPr>
          <w:p w14:paraId="7F62E556" w14:textId="77777777" w:rsidR="00614F90" w:rsidRPr="008C56C8" w:rsidRDefault="00614F90" w:rsidP="00EF2507">
            <w:pPr>
              <w:autoSpaceDE w:val="0"/>
              <w:autoSpaceDN w:val="0"/>
              <w:adjustRightInd w:val="0"/>
              <w:rPr>
                <w:rFonts w:cstheme="minorHAnsi"/>
                <w:bCs/>
                <w:color w:val="0000E1"/>
              </w:rPr>
            </w:pPr>
            <w:r w:rsidRPr="008C56C8">
              <w:rPr>
                <w:rFonts w:cstheme="minorHAnsi"/>
                <w:bCs/>
                <w:color w:val="0000E1"/>
              </w:rPr>
              <w:t>RASA</w:t>
            </w:r>
          </w:p>
        </w:tc>
        <w:tc>
          <w:tcPr>
            <w:tcW w:w="4410" w:type="dxa"/>
            <w:noWrap/>
            <w:hideMark/>
          </w:tcPr>
          <w:p w14:paraId="100503BD" w14:textId="77777777" w:rsidR="00614F90" w:rsidRPr="008C56C8" w:rsidRDefault="00614F90" w:rsidP="00EF2507">
            <w:pPr>
              <w:autoSpaceDE w:val="0"/>
              <w:autoSpaceDN w:val="0"/>
              <w:adjustRightInd w:val="0"/>
              <w:rPr>
                <w:rFonts w:cstheme="minorHAnsi"/>
                <w:bCs/>
                <w:color w:val="0000E1"/>
              </w:rPr>
            </w:pPr>
            <w:r w:rsidRPr="008C56C8">
              <w:rPr>
                <w:rFonts w:cstheme="minorHAnsi"/>
                <w:bCs/>
                <w:color w:val="0000E1"/>
              </w:rPr>
              <w:t>C16: Controlling Blood Pressure</w:t>
            </w:r>
          </w:p>
        </w:tc>
        <w:tc>
          <w:tcPr>
            <w:tcW w:w="1890" w:type="dxa"/>
            <w:noWrap/>
            <w:vAlign w:val="center"/>
            <w:hideMark/>
          </w:tcPr>
          <w:p w14:paraId="2B6D27ED" w14:textId="77777777" w:rsidR="00614F90" w:rsidRPr="008C56C8" w:rsidRDefault="00614F90" w:rsidP="00EF2507">
            <w:pPr>
              <w:autoSpaceDE w:val="0"/>
              <w:autoSpaceDN w:val="0"/>
              <w:adjustRightInd w:val="0"/>
              <w:jc w:val="right"/>
              <w:rPr>
                <w:rFonts w:cstheme="minorHAnsi"/>
                <w:bCs/>
                <w:color w:val="0000E1"/>
              </w:rPr>
            </w:pPr>
            <w:r w:rsidRPr="008C56C8">
              <w:rPr>
                <w:rFonts w:cstheme="minorHAnsi"/>
                <w:bCs/>
                <w:color w:val="0000E1"/>
              </w:rPr>
              <w:t>0.517</w:t>
            </w:r>
          </w:p>
        </w:tc>
        <w:tc>
          <w:tcPr>
            <w:tcW w:w="1170" w:type="dxa"/>
            <w:noWrap/>
            <w:vAlign w:val="center"/>
            <w:hideMark/>
          </w:tcPr>
          <w:p w14:paraId="15A186C4" w14:textId="77777777" w:rsidR="00614F90" w:rsidRPr="008C56C8" w:rsidRDefault="00614F90" w:rsidP="00EF2507">
            <w:pPr>
              <w:autoSpaceDE w:val="0"/>
              <w:autoSpaceDN w:val="0"/>
              <w:adjustRightInd w:val="0"/>
              <w:jc w:val="right"/>
              <w:rPr>
                <w:rFonts w:cstheme="minorHAnsi"/>
                <w:bCs/>
                <w:color w:val="0000E1"/>
              </w:rPr>
            </w:pPr>
            <w:r w:rsidRPr="008C56C8">
              <w:rPr>
                <w:rFonts w:cstheme="minorHAnsi"/>
                <w:bCs/>
                <w:color w:val="0000E1"/>
              </w:rPr>
              <w:t>&lt;</w:t>
            </w:r>
            <w:r w:rsidR="00F677F7">
              <w:rPr>
                <w:rFonts w:cstheme="minorHAnsi"/>
                <w:bCs/>
                <w:color w:val="0000E1"/>
              </w:rPr>
              <w:t>0</w:t>
            </w:r>
            <w:r w:rsidRPr="008C56C8">
              <w:rPr>
                <w:rFonts w:cstheme="minorHAnsi"/>
                <w:bCs/>
                <w:color w:val="0000E1"/>
              </w:rPr>
              <w:t>.0001</w:t>
            </w:r>
          </w:p>
        </w:tc>
      </w:tr>
      <w:tr w:rsidR="00985CAF" w:rsidRPr="008C56C8" w14:paraId="69790D18" w14:textId="77777777" w:rsidTr="00EF2507">
        <w:trPr>
          <w:trHeight w:val="300"/>
        </w:trPr>
        <w:tc>
          <w:tcPr>
            <w:tcW w:w="1525" w:type="dxa"/>
            <w:tcBorders>
              <w:bottom w:val="single" w:sz="4" w:space="0" w:color="auto"/>
            </w:tcBorders>
            <w:noWrap/>
            <w:hideMark/>
          </w:tcPr>
          <w:p w14:paraId="70D8427B" w14:textId="77777777" w:rsidR="00614F90" w:rsidRPr="008C56C8" w:rsidRDefault="00614F90" w:rsidP="00EF2507">
            <w:pPr>
              <w:autoSpaceDE w:val="0"/>
              <w:autoSpaceDN w:val="0"/>
              <w:adjustRightInd w:val="0"/>
              <w:rPr>
                <w:rFonts w:cstheme="minorHAnsi"/>
                <w:bCs/>
                <w:color w:val="0000E1"/>
              </w:rPr>
            </w:pPr>
            <w:r w:rsidRPr="008C56C8">
              <w:rPr>
                <w:rFonts w:cstheme="minorHAnsi"/>
                <w:bCs/>
                <w:color w:val="0000E1"/>
              </w:rPr>
              <w:t>Statins</w:t>
            </w:r>
          </w:p>
        </w:tc>
        <w:tc>
          <w:tcPr>
            <w:tcW w:w="4410" w:type="dxa"/>
            <w:tcBorders>
              <w:bottom w:val="single" w:sz="4" w:space="0" w:color="auto"/>
            </w:tcBorders>
            <w:noWrap/>
            <w:hideMark/>
          </w:tcPr>
          <w:p w14:paraId="337B5269" w14:textId="77777777" w:rsidR="00614F90" w:rsidRPr="008C56C8" w:rsidRDefault="00614F90" w:rsidP="00EF2507">
            <w:pPr>
              <w:autoSpaceDE w:val="0"/>
              <w:autoSpaceDN w:val="0"/>
              <w:adjustRightInd w:val="0"/>
              <w:rPr>
                <w:rFonts w:cstheme="minorHAnsi"/>
                <w:bCs/>
                <w:color w:val="0000E1"/>
              </w:rPr>
            </w:pPr>
            <w:r w:rsidRPr="008C56C8">
              <w:rPr>
                <w:rFonts w:cstheme="minorHAnsi"/>
                <w:bCs/>
                <w:color w:val="0000E1"/>
              </w:rPr>
              <w:t>DMD15: Statin Use in Persons with Diabetes</w:t>
            </w:r>
          </w:p>
        </w:tc>
        <w:tc>
          <w:tcPr>
            <w:tcW w:w="1890" w:type="dxa"/>
            <w:tcBorders>
              <w:bottom w:val="single" w:sz="4" w:space="0" w:color="auto"/>
            </w:tcBorders>
            <w:noWrap/>
            <w:vAlign w:val="center"/>
            <w:hideMark/>
          </w:tcPr>
          <w:p w14:paraId="1D154503" w14:textId="77777777" w:rsidR="00614F90" w:rsidRPr="008C56C8" w:rsidRDefault="00614F90" w:rsidP="00EF2507">
            <w:pPr>
              <w:autoSpaceDE w:val="0"/>
              <w:autoSpaceDN w:val="0"/>
              <w:adjustRightInd w:val="0"/>
              <w:jc w:val="right"/>
              <w:rPr>
                <w:rFonts w:cstheme="minorHAnsi"/>
                <w:bCs/>
                <w:color w:val="0000E1"/>
              </w:rPr>
            </w:pPr>
            <w:r w:rsidRPr="008C56C8">
              <w:rPr>
                <w:rFonts w:cstheme="minorHAnsi"/>
                <w:bCs/>
                <w:color w:val="0000E1"/>
              </w:rPr>
              <w:t>0.346</w:t>
            </w:r>
          </w:p>
        </w:tc>
        <w:tc>
          <w:tcPr>
            <w:tcW w:w="1170" w:type="dxa"/>
            <w:tcBorders>
              <w:bottom w:val="single" w:sz="4" w:space="0" w:color="auto"/>
            </w:tcBorders>
            <w:noWrap/>
            <w:vAlign w:val="center"/>
            <w:hideMark/>
          </w:tcPr>
          <w:p w14:paraId="540546C6" w14:textId="77777777" w:rsidR="00614F90" w:rsidRPr="008C56C8" w:rsidRDefault="00614F90" w:rsidP="00EF2507">
            <w:pPr>
              <w:autoSpaceDE w:val="0"/>
              <w:autoSpaceDN w:val="0"/>
              <w:adjustRightInd w:val="0"/>
              <w:jc w:val="right"/>
              <w:rPr>
                <w:rFonts w:cstheme="minorHAnsi"/>
                <w:bCs/>
                <w:color w:val="0000E1"/>
              </w:rPr>
            </w:pPr>
            <w:r w:rsidRPr="008C56C8">
              <w:rPr>
                <w:rFonts w:cstheme="minorHAnsi"/>
                <w:bCs/>
                <w:color w:val="0000E1"/>
              </w:rPr>
              <w:t>&lt;</w:t>
            </w:r>
            <w:r w:rsidR="00F677F7">
              <w:rPr>
                <w:rFonts w:cstheme="minorHAnsi"/>
                <w:bCs/>
                <w:color w:val="0000E1"/>
              </w:rPr>
              <w:t>0</w:t>
            </w:r>
            <w:r w:rsidRPr="008C56C8">
              <w:rPr>
                <w:rFonts w:cstheme="minorHAnsi"/>
                <w:bCs/>
                <w:color w:val="0000E1"/>
              </w:rPr>
              <w:t>.0001</w:t>
            </w:r>
          </w:p>
        </w:tc>
      </w:tr>
      <w:tr w:rsidR="00510D33" w:rsidRPr="008C56C8" w14:paraId="661CCAFB" w14:textId="77777777" w:rsidTr="00EF2507">
        <w:trPr>
          <w:trHeight w:val="300"/>
        </w:trPr>
        <w:tc>
          <w:tcPr>
            <w:tcW w:w="8995" w:type="dxa"/>
            <w:gridSpan w:val="4"/>
            <w:tcBorders>
              <w:top w:val="single" w:sz="4" w:space="0" w:color="auto"/>
              <w:left w:val="nil"/>
              <w:bottom w:val="nil"/>
              <w:right w:val="nil"/>
            </w:tcBorders>
            <w:noWrap/>
          </w:tcPr>
          <w:p w14:paraId="63F83286" w14:textId="77777777" w:rsidR="00510D33" w:rsidRPr="00EF2507" w:rsidRDefault="00510D33" w:rsidP="00EF2507">
            <w:pPr>
              <w:autoSpaceDE w:val="0"/>
              <w:autoSpaceDN w:val="0"/>
              <w:adjustRightInd w:val="0"/>
              <w:rPr>
                <w:rFonts w:cstheme="minorHAnsi"/>
                <w:bCs/>
                <w:i/>
                <w:color w:val="0000E1"/>
              </w:rPr>
            </w:pPr>
            <w:r w:rsidRPr="00EF2507">
              <w:rPr>
                <w:rFonts w:cstheme="minorHAnsi"/>
                <w:bCs/>
                <w:i/>
                <w:color w:val="0000E1"/>
              </w:rPr>
              <w:t>RASA: renin-angiotensin system antagonists</w:t>
            </w:r>
          </w:p>
          <w:p w14:paraId="43B73298" w14:textId="77777777" w:rsidR="00510D33" w:rsidRPr="008C56C8" w:rsidRDefault="00510D33" w:rsidP="00EF2507">
            <w:pPr>
              <w:autoSpaceDE w:val="0"/>
              <w:autoSpaceDN w:val="0"/>
              <w:adjustRightInd w:val="0"/>
              <w:rPr>
                <w:rFonts w:cstheme="minorHAnsi"/>
                <w:bCs/>
                <w:color w:val="0000E1"/>
              </w:rPr>
            </w:pPr>
            <w:r w:rsidRPr="008C56C8">
              <w:rPr>
                <w:rFonts w:cstheme="minorHAnsi"/>
                <w:bCs/>
                <w:i/>
                <w:color w:val="0000E1"/>
              </w:rPr>
              <w:t>Note: Correlation analyses conducted using the CMS Medicare Part C &amp; D Star Ratings Data from January – December 2016.</w:t>
            </w:r>
          </w:p>
        </w:tc>
      </w:tr>
    </w:tbl>
    <w:p w14:paraId="79A3F03F" w14:textId="77777777" w:rsidR="00994A78" w:rsidRDefault="00994A78" w:rsidP="00EF2507">
      <w:pPr>
        <w:autoSpaceDE w:val="0"/>
        <w:autoSpaceDN w:val="0"/>
        <w:adjustRightInd w:val="0"/>
        <w:spacing w:after="0" w:line="240" w:lineRule="auto"/>
        <w:rPr>
          <w:rFonts w:cstheme="minorHAnsi"/>
          <w:bCs/>
        </w:rPr>
      </w:pPr>
    </w:p>
    <w:p w14:paraId="2144A4C3" w14:textId="77777777" w:rsidR="007422FD" w:rsidRDefault="009C7513" w:rsidP="00EF250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61719AB0" w14:textId="77777777" w:rsidR="003F51B7" w:rsidRDefault="003F51B7" w:rsidP="00EF2507">
      <w:pPr>
        <w:autoSpaceDE w:val="0"/>
        <w:autoSpaceDN w:val="0"/>
        <w:adjustRightInd w:val="0"/>
        <w:spacing w:after="0" w:line="240" w:lineRule="auto"/>
        <w:rPr>
          <w:rFonts w:cstheme="minorHAnsi"/>
          <w:bCs/>
          <w:color w:val="0000E1"/>
        </w:rPr>
      </w:pPr>
      <w:r w:rsidRPr="008D33E2">
        <w:rPr>
          <w:rFonts w:cstheme="minorHAnsi"/>
          <w:bCs/>
          <w:color w:val="0000E1"/>
        </w:rPr>
        <w:t xml:space="preserve">All three </w:t>
      </w:r>
      <w:r w:rsidR="00172234" w:rsidRPr="008D33E2">
        <w:rPr>
          <w:rFonts w:cstheme="minorHAnsi"/>
          <w:bCs/>
          <w:color w:val="0000E1"/>
        </w:rPr>
        <w:t xml:space="preserve">therapeutic </w:t>
      </w:r>
      <w:r w:rsidR="00444025" w:rsidRPr="008D33E2">
        <w:rPr>
          <w:rFonts w:cstheme="minorHAnsi"/>
          <w:bCs/>
          <w:color w:val="0000E1"/>
        </w:rPr>
        <w:t>categories</w:t>
      </w:r>
      <w:r w:rsidRPr="008D33E2">
        <w:rPr>
          <w:rFonts w:cstheme="minorHAnsi"/>
          <w:bCs/>
          <w:color w:val="0000E1"/>
        </w:rPr>
        <w:t xml:space="preserve"> </w:t>
      </w:r>
      <w:r w:rsidR="003B4DF1">
        <w:rPr>
          <w:rFonts w:cstheme="minorHAnsi"/>
          <w:bCs/>
          <w:color w:val="0000E1"/>
        </w:rPr>
        <w:t>showed</w:t>
      </w:r>
      <w:r w:rsidRPr="008D33E2">
        <w:rPr>
          <w:rFonts w:cstheme="minorHAnsi"/>
          <w:bCs/>
          <w:color w:val="0000E1"/>
        </w:rPr>
        <w:t xml:space="preserve"> statistically significant positive correlation, which indicates that the measure </w:t>
      </w:r>
      <w:r w:rsidR="00AD3877">
        <w:rPr>
          <w:rFonts w:cstheme="minorHAnsi"/>
          <w:bCs/>
          <w:color w:val="0000E1"/>
        </w:rPr>
        <w:t>demonstrate</w:t>
      </w:r>
      <w:r w:rsidR="003B4DF1">
        <w:rPr>
          <w:rFonts w:cstheme="minorHAnsi"/>
          <w:bCs/>
          <w:color w:val="0000E1"/>
        </w:rPr>
        <w:t>s</w:t>
      </w:r>
      <w:r w:rsidR="00AD3877" w:rsidRPr="008D33E2">
        <w:rPr>
          <w:rFonts w:cstheme="minorHAnsi"/>
          <w:bCs/>
          <w:color w:val="0000E1"/>
        </w:rPr>
        <w:t xml:space="preserve"> </w:t>
      </w:r>
      <w:r w:rsidRPr="008D33E2">
        <w:rPr>
          <w:rFonts w:cstheme="minorHAnsi"/>
          <w:bCs/>
          <w:color w:val="0000E1"/>
        </w:rPr>
        <w:t xml:space="preserve">convergent </w:t>
      </w:r>
      <w:r w:rsidRPr="00930280">
        <w:rPr>
          <w:rFonts w:cstheme="minorHAnsi"/>
          <w:bCs/>
          <w:color w:val="0000E1"/>
        </w:rPr>
        <w:t xml:space="preserve">validity. </w:t>
      </w:r>
    </w:p>
    <w:p w14:paraId="5E484793" w14:textId="77777777" w:rsidR="003B4DF1" w:rsidRPr="008D33E2" w:rsidRDefault="003B4DF1" w:rsidP="00EF2507">
      <w:pPr>
        <w:autoSpaceDE w:val="0"/>
        <w:autoSpaceDN w:val="0"/>
        <w:adjustRightInd w:val="0"/>
        <w:spacing w:after="0" w:line="240" w:lineRule="auto"/>
        <w:rPr>
          <w:rFonts w:cstheme="minorHAnsi"/>
          <w:bCs/>
          <w:color w:val="0000E1"/>
        </w:rPr>
      </w:pPr>
    </w:p>
    <w:p w14:paraId="537A6513" w14:textId="77777777" w:rsidR="004F1AD0" w:rsidRDefault="00BC3C99" w:rsidP="00EF2507">
      <w:pPr>
        <w:autoSpaceDE w:val="0"/>
        <w:autoSpaceDN w:val="0"/>
        <w:adjustRightInd w:val="0"/>
        <w:spacing w:after="0" w:line="240" w:lineRule="auto"/>
        <w:rPr>
          <w:rFonts w:cstheme="minorHAnsi"/>
          <w:bCs/>
          <w:color w:val="0000E1"/>
        </w:rPr>
      </w:pPr>
      <w:r w:rsidRPr="008D33E2">
        <w:rPr>
          <w:rFonts w:cstheme="minorHAnsi"/>
          <w:bCs/>
          <w:color w:val="0000E1"/>
        </w:rPr>
        <w:t xml:space="preserve">Based upon the systematic, consensus-based PQA measure development process designed to assure face validity, the measure has been determined to have face validity. </w:t>
      </w:r>
    </w:p>
    <w:p w14:paraId="01554C8F" w14:textId="12B20BC6" w:rsidR="008A403A" w:rsidRPr="004F1AD0" w:rsidRDefault="00483E94" w:rsidP="00EF2507">
      <w:pPr>
        <w:autoSpaceDE w:val="0"/>
        <w:autoSpaceDN w:val="0"/>
        <w:adjustRightInd w:val="0"/>
        <w:spacing w:after="0" w:line="240" w:lineRule="auto"/>
        <w:rPr>
          <w:rFonts w:cstheme="minorHAnsi"/>
          <w:bCs/>
          <w:color w:val="0000E1"/>
        </w:rPr>
      </w:pPr>
      <w:r>
        <w:rPr>
          <w:rFonts w:cstheme="minorHAnsi"/>
          <w:bCs/>
        </w:rPr>
        <w:t>_________________________</w:t>
      </w:r>
    </w:p>
    <w:p w14:paraId="4066C9B7" w14:textId="77777777" w:rsidR="00097012" w:rsidRPr="00A25024" w:rsidRDefault="00021170" w:rsidP="00EF250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42553B10" w14:textId="77777777" w:rsidR="00B037BA" w:rsidRPr="00A25024" w:rsidRDefault="001E4DD4" w:rsidP="00EF250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5AC7A1FD" w14:textId="77777777" w:rsidR="00001D73" w:rsidRDefault="00001D73" w:rsidP="00EF2507">
      <w:pPr>
        <w:autoSpaceDE w:val="0"/>
        <w:autoSpaceDN w:val="0"/>
        <w:adjustRightInd w:val="0"/>
        <w:spacing w:after="0" w:line="240" w:lineRule="auto"/>
        <w:rPr>
          <w:rFonts w:cstheme="minorHAnsi"/>
          <w:b/>
          <w:bCs/>
        </w:rPr>
      </w:pPr>
    </w:p>
    <w:p w14:paraId="379E4432" w14:textId="77777777" w:rsidR="0096725C" w:rsidRDefault="00092566" w:rsidP="00EF250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4DAB1179" w14:textId="77777777" w:rsidR="00893A6D" w:rsidRDefault="00893A6D" w:rsidP="00EF2507">
      <w:pPr>
        <w:autoSpaceDE w:val="0"/>
        <w:autoSpaceDN w:val="0"/>
        <w:adjustRightInd w:val="0"/>
        <w:spacing w:after="0" w:line="240" w:lineRule="auto"/>
        <w:rPr>
          <w:rFonts w:cstheme="minorHAnsi"/>
          <w:bCs/>
        </w:rPr>
      </w:pPr>
    </w:p>
    <w:p w14:paraId="36CA2A98" w14:textId="77777777" w:rsidR="009736B1" w:rsidRPr="009736B1" w:rsidRDefault="009736B1" w:rsidP="00EF2507">
      <w:pPr>
        <w:autoSpaceDE w:val="0"/>
        <w:autoSpaceDN w:val="0"/>
        <w:adjustRightInd w:val="0"/>
        <w:spacing w:after="0" w:line="240" w:lineRule="auto"/>
        <w:rPr>
          <w:rFonts w:cstheme="minorHAnsi"/>
          <w:bCs/>
          <w:color w:val="0000E1"/>
        </w:rPr>
      </w:pPr>
      <w:r w:rsidRPr="009736B1">
        <w:rPr>
          <w:rFonts w:cstheme="minorHAnsi"/>
          <w:bCs/>
          <w:color w:val="0000E1"/>
        </w:rPr>
        <w:t xml:space="preserve">We examined the overall proportion of </w:t>
      </w:r>
      <w:r w:rsidR="003F61D9">
        <w:rPr>
          <w:rFonts w:cstheme="minorHAnsi"/>
          <w:bCs/>
          <w:color w:val="0000E1"/>
        </w:rPr>
        <w:t>Medicare and Medicaid beneficiaries</w:t>
      </w:r>
      <w:r w:rsidRPr="009736B1">
        <w:rPr>
          <w:rFonts w:cstheme="minorHAnsi"/>
          <w:bCs/>
          <w:color w:val="0000E1"/>
        </w:rPr>
        <w:t xml:space="preserve"> impacted as well as the proportion of individuals who would be impacted by the exclusions </w:t>
      </w:r>
      <w:r w:rsidR="003F61D9">
        <w:rPr>
          <w:rFonts w:cstheme="minorHAnsi"/>
          <w:bCs/>
          <w:color w:val="0000E1"/>
        </w:rPr>
        <w:t>at the plan/contract-level</w:t>
      </w:r>
      <w:r w:rsidRPr="009736B1">
        <w:rPr>
          <w:rFonts w:cstheme="minorHAnsi"/>
          <w:bCs/>
          <w:color w:val="0000E1"/>
        </w:rPr>
        <w:t xml:space="preserve">. </w:t>
      </w:r>
    </w:p>
    <w:p w14:paraId="04D0E8AE" w14:textId="77777777" w:rsidR="009736B1" w:rsidRPr="009736B1" w:rsidRDefault="009736B1" w:rsidP="00EF2507">
      <w:pPr>
        <w:autoSpaceDE w:val="0"/>
        <w:autoSpaceDN w:val="0"/>
        <w:adjustRightInd w:val="0"/>
        <w:spacing w:after="0" w:line="240" w:lineRule="auto"/>
        <w:rPr>
          <w:rFonts w:cstheme="minorHAnsi"/>
          <w:bCs/>
          <w:color w:val="0000E1"/>
        </w:rPr>
      </w:pPr>
    </w:p>
    <w:p w14:paraId="5D7B1E6C" w14:textId="77777777" w:rsidR="00EA2D66" w:rsidRPr="00EF2507" w:rsidRDefault="00EA2D66" w:rsidP="00EF2507">
      <w:pPr>
        <w:autoSpaceDE w:val="0"/>
        <w:autoSpaceDN w:val="0"/>
        <w:adjustRightInd w:val="0"/>
        <w:spacing w:after="0" w:line="240" w:lineRule="auto"/>
        <w:rPr>
          <w:rFonts w:cstheme="minorHAnsi"/>
          <w:bCs/>
          <w:color w:val="0000E1"/>
          <w:u w:val="single"/>
        </w:rPr>
      </w:pPr>
      <w:r w:rsidRPr="00EF2507">
        <w:rPr>
          <w:rFonts w:cstheme="minorHAnsi"/>
          <w:bCs/>
          <w:color w:val="0000E1"/>
          <w:u w:val="single"/>
        </w:rPr>
        <w:t>Hospice</w:t>
      </w:r>
    </w:p>
    <w:p w14:paraId="574AEC73" w14:textId="6D8C5983" w:rsidR="00BC3C99" w:rsidRPr="009736B1" w:rsidRDefault="00C37014" w:rsidP="00EF2507">
      <w:pPr>
        <w:autoSpaceDE w:val="0"/>
        <w:autoSpaceDN w:val="0"/>
        <w:adjustRightInd w:val="0"/>
        <w:spacing w:after="0" w:line="240" w:lineRule="auto"/>
        <w:rPr>
          <w:rFonts w:cstheme="minorHAnsi"/>
          <w:bCs/>
          <w:color w:val="0000E1"/>
        </w:rPr>
      </w:pPr>
      <w:r>
        <w:rPr>
          <w:rFonts w:cstheme="minorHAnsi"/>
          <w:bCs/>
          <w:color w:val="0000E1"/>
        </w:rPr>
        <w:t>Individuals</w:t>
      </w:r>
      <w:r w:rsidR="00BC3C99" w:rsidRPr="009736B1">
        <w:rPr>
          <w:rFonts w:cstheme="minorHAnsi"/>
          <w:bCs/>
          <w:color w:val="0000E1"/>
        </w:rPr>
        <w:t xml:space="preserve"> in hospice care are excluded from the measure because adherence to </w:t>
      </w:r>
      <w:r w:rsidR="00510D33">
        <w:rPr>
          <w:rFonts w:cstheme="minorHAnsi"/>
          <w:bCs/>
          <w:color w:val="0000E1"/>
        </w:rPr>
        <w:t xml:space="preserve">most </w:t>
      </w:r>
      <w:r w:rsidR="00BC3C99" w:rsidRPr="009736B1">
        <w:rPr>
          <w:rFonts w:cstheme="minorHAnsi"/>
          <w:bCs/>
          <w:color w:val="0000E1"/>
        </w:rPr>
        <w:t xml:space="preserve">chronic therapies does not necessarily align with the </w:t>
      </w:r>
      <w:r w:rsidR="00EA2D66">
        <w:rPr>
          <w:rFonts w:cstheme="minorHAnsi"/>
          <w:bCs/>
          <w:color w:val="0000E1"/>
        </w:rPr>
        <w:t xml:space="preserve">therapeutic </w:t>
      </w:r>
      <w:r w:rsidR="00BC3C99" w:rsidRPr="009736B1">
        <w:rPr>
          <w:rFonts w:cstheme="minorHAnsi"/>
          <w:bCs/>
          <w:color w:val="0000E1"/>
        </w:rPr>
        <w:t>goals</w:t>
      </w:r>
      <w:r w:rsidR="00EA2D66">
        <w:rPr>
          <w:rFonts w:cstheme="minorHAnsi"/>
          <w:bCs/>
          <w:color w:val="0000E1"/>
        </w:rPr>
        <w:t xml:space="preserve"> and balance of risk and benefits for</w:t>
      </w:r>
      <w:r w:rsidR="00BC3C99" w:rsidRPr="009736B1">
        <w:rPr>
          <w:rFonts w:cstheme="minorHAnsi"/>
          <w:bCs/>
          <w:color w:val="0000E1"/>
        </w:rPr>
        <w:t xml:space="preserve"> </w:t>
      </w:r>
      <w:r>
        <w:rPr>
          <w:rFonts w:cstheme="minorHAnsi"/>
          <w:bCs/>
          <w:color w:val="0000E1"/>
        </w:rPr>
        <w:t>individuals</w:t>
      </w:r>
      <w:r w:rsidR="00BC3C99" w:rsidRPr="009736B1">
        <w:rPr>
          <w:rFonts w:cstheme="minorHAnsi"/>
          <w:bCs/>
          <w:color w:val="0000E1"/>
        </w:rPr>
        <w:t xml:space="preserve"> in hospice care. In </w:t>
      </w:r>
      <w:bookmarkStart w:id="12" w:name="_GoBack"/>
      <w:r w:rsidR="00BC3C99" w:rsidRPr="009736B1">
        <w:rPr>
          <w:rFonts w:cstheme="minorHAnsi"/>
          <w:bCs/>
          <w:color w:val="0000E1"/>
        </w:rPr>
        <w:t>2015</w:t>
      </w:r>
      <w:bookmarkEnd w:id="12"/>
      <w:r w:rsidR="00BC3C99" w:rsidRPr="009736B1">
        <w:rPr>
          <w:rFonts w:cstheme="minorHAnsi"/>
          <w:bCs/>
          <w:color w:val="0000E1"/>
        </w:rPr>
        <w:t>, the PQA Patient &amp; Caregiver Advisory Panel recommended that hospice should generally be an exclusion for PQA measures unless the measures are directly relevant to</w:t>
      </w:r>
      <w:r w:rsidR="003F61D9">
        <w:rPr>
          <w:rFonts w:cstheme="minorHAnsi"/>
          <w:bCs/>
          <w:color w:val="0000E1"/>
        </w:rPr>
        <w:t>,</w:t>
      </w:r>
      <w:r w:rsidR="00BC3C99" w:rsidRPr="009736B1">
        <w:rPr>
          <w:rFonts w:cstheme="minorHAnsi"/>
          <w:bCs/>
          <w:color w:val="0000E1"/>
        </w:rPr>
        <w:t xml:space="preserve"> and align with</w:t>
      </w:r>
      <w:r w:rsidR="00510D33">
        <w:rPr>
          <w:rFonts w:cstheme="minorHAnsi"/>
          <w:bCs/>
          <w:color w:val="0000E1"/>
        </w:rPr>
        <w:t>,</w:t>
      </w:r>
      <w:r w:rsidR="00BC3C99" w:rsidRPr="009736B1">
        <w:rPr>
          <w:rFonts w:cstheme="minorHAnsi"/>
          <w:bCs/>
          <w:color w:val="0000E1"/>
        </w:rPr>
        <w:t xml:space="preserve"> the </w:t>
      </w:r>
      <w:r w:rsidR="00EA2D66">
        <w:rPr>
          <w:rFonts w:cstheme="minorHAnsi"/>
          <w:bCs/>
          <w:color w:val="0000E1"/>
        </w:rPr>
        <w:t xml:space="preserve">therapeutic </w:t>
      </w:r>
      <w:r w:rsidR="00BC3C99" w:rsidRPr="009736B1">
        <w:rPr>
          <w:rFonts w:cstheme="minorHAnsi"/>
          <w:bCs/>
          <w:color w:val="0000E1"/>
        </w:rPr>
        <w:t xml:space="preserve">goals for </w:t>
      </w:r>
      <w:r>
        <w:rPr>
          <w:rFonts w:cstheme="minorHAnsi"/>
          <w:bCs/>
          <w:color w:val="0000E1"/>
        </w:rPr>
        <w:t>individuals</w:t>
      </w:r>
      <w:r w:rsidR="00BC3C99" w:rsidRPr="009736B1">
        <w:rPr>
          <w:rFonts w:cstheme="minorHAnsi"/>
          <w:bCs/>
          <w:color w:val="0000E1"/>
        </w:rPr>
        <w:t xml:space="preserve"> in hospice care.</w:t>
      </w:r>
    </w:p>
    <w:p w14:paraId="705DE219" w14:textId="77777777" w:rsidR="00893A6D" w:rsidRPr="009736B1" w:rsidRDefault="00893A6D" w:rsidP="00EF2507">
      <w:pPr>
        <w:autoSpaceDE w:val="0"/>
        <w:autoSpaceDN w:val="0"/>
        <w:adjustRightInd w:val="0"/>
        <w:spacing w:after="0" w:line="240" w:lineRule="auto"/>
        <w:rPr>
          <w:rFonts w:cstheme="minorHAnsi"/>
          <w:bCs/>
          <w:color w:val="0000E1"/>
        </w:rPr>
      </w:pPr>
    </w:p>
    <w:p w14:paraId="5CB7CF9E" w14:textId="77777777" w:rsidR="00EA2D66" w:rsidRPr="00EF2507" w:rsidRDefault="00EA2D66" w:rsidP="00EF2507">
      <w:pPr>
        <w:autoSpaceDE w:val="0"/>
        <w:autoSpaceDN w:val="0"/>
        <w:adjustRightInd w:val="0"/>
        <w:spacing w:after="0" w:line="240" w:lineRule="auto"/>
        <w:rPr>
          <w:rFonts w:eastAsia="Times New Roman" w:cstheme="minorHAnsi"/>
          <w:color w:val="0000E1"/>
          <w:u w:val="single"/>
        </w:rPr>
      </w:pPr>
      <w:r w:rsidRPr="00EF2507">
        <w:rPr>
          <w:rFonts w:eastAsia="Times New Roman" w:cstheme="minorHAnsi"/>
          <w:color w:val="0000E1"/>
          <w:u w:val="single"/>
        </w:rPr>
        <w:t>End-Stage Renal Disease</w:t>
      </w:r>
    </w:p>
    <w:p w14:paraId="12A4C807" w14:textId="125C603A" w:rsidR="00EA2D66" w:rsidRDefault="00C37014" w:rsidP="00EF2507">
      <w:pPr>
        <w:autoSpaceDE w:val="0"/>
        <w:autoSpaceDN w:val="0"/>
        <w:adjustRightInd w:val="0"/>
        <w:spacing w:after="0" w:line="240" w:lineRule="auto"/>
        <w:rPr>
          <w:rFonts w:eastAsia="Times New Roman" w:cstheme="minorHAnsi"/>
          <w:color w:val="0000E1"/>
        </w:rPr>
      </w:pPr>
      <w:r>
        <w:rPr>
          <w:rFonts w:eastAsia="Times New Roman" w:cstheme="minorHAnsi"/>
          <w:color w:val="0000E1"/>
        </w:rPr>
        <w:t>Individuals</w:t>
      </w:r>
      <w:r w:rsidR="00BC3C99" w:rsidRPr="009736B1">
        <w:rPr>
          <w:rFonts w:eastAsia="Times New Roman" w:cstheme="minorHAnsi"/>
          <w:color w:val="0000E1"/>
        </w:rPr>
        <w:t xml:space="preserve"> with </w:t>
      </w:r>
      <w:r w:rsidR="00EA2D66">
        <w:rPr>
          <w:rFonts w:eastAsia="Times New Roman" w:cstheme="minorHAnsi"/>
          <w:color w:val="0000E1"/>
        </w:rPr>
        <w:t>end-stage renal disease (</w:t>
      </w:r>
      <w:r w:rsidR="00BC3C99" w:rsidRPr="009736B1">
        <w:rPr>
          <w:rFonts w:eastAsia="Times New Roman" w:cstheme="minorHAnsi"/>
          <w:color w:val="0000E1"/>
        </w:rPr>
        <w:t>ESRD</w:t>
      </w:r>
      <w:r w:rsidR="00EA2D66">
        <w:rPr>
          <w:rFonts w:eastAsia="Times New Roman" w:cstheme="minorHAnsi"/>
          <w:color w:val="0000E1"/>
        </w:rPr>
        <w:t>)</w:t>
      </w:r>
      <w:r w:rsidR="00BC3C99" w:rsidRPr="009736B1">
        <w:rPr>
          <w:rFonts w:eastAsia="Times New Roman" w:cstheme="minorHAnsi"/>
          <w:color w:val="0000E1"/>
        </w:rPr>
        <w:t xml:space="preserve"> are excluded from the measure because adherence to diabetes, hypertension, and statin medications may not be accurately reflected in pharmacy claims data due to frequent dosage and medication adjustments. </w:t>
      </w:r>
    </w:p>
    <w:p w14:paraId="569A7009" w14:textId="77777777" w:rsidR="00EA2D66" w:rsidRDefault="00EA2D66" w:rsidP="00EF2507">
      <w:pPr>
        <w:autoSpaceDE w:val="0"/>
        <w:autoSpaceDN w:val="0"/>
        <w:adjustRightInd w:val="0"/>
        <w:spacing w:after="0" w:line="240" w:lineRule="auto"/>
        <w:rPr>
          <w:rFonts w:eastAsia="Times New Roman" w:cstheme="minorHAnsi"/>
          <w:color w:val="0000E1"/>
        </w:rPr>
      </w:pPr>
    </w:p>
    <w:p w14:paraId="7DC8EBA6" w14:textId="2A7CAFB9" w:rsidR="00EA2D66" w:rsidRDefault="00C37014" w:rsidP="00EF2507">
      <w:pPr>
        <w:autoSpaceDE w:val="0"/>
        <w:autoSpaceDN w:val="0"/>
        <w:adjustRightInd w:val="0"/>
        <w:spacing w:after="0" w:line="240" w:lineRule="auto"/>
        <w:rPr>
          <w:rFonts w:eastAsia="Times New Roman" w:cstheme="minorHAnsi"/>
          <w:color w:val="0000E1"/>
        </w:rPr>
      </w:pPr>
      <w:r>
        <w:rPr>
          <w:rFonts w:cstheme="minorHAnsi"/>
          <w:bCs/>
          <w:color w:val="0000E1"/>
        </w:rPr>
        <w:t>Individuals</w:t>
      </w:r>
      <w:r w:rsidR="00BC3C99" w:rsidRPr="009736B1">
        <w:rPr>
          <w:rFonts w:cstheme="minorHAnsi"/>
          <w:bCs/>
          <w:color w:val="0000E1"/>
        </w:rPr>
        <w:t xml:space="preserve"> with diabetes and ESRD are</w:t>
      </w:r>
      <w:r w:rsidR="00BC3C99" w:rsidRPr="009736B1">
        <w:rPr>
          <w:rFonts w:eastAsia="Times New Roman" w:cstheme="minorHAnsi"/>
          <w:color w:val="0000E1"/>
        </w:rPr>
        <w:t xml:space="preserve"> at higher risk for hypoglycemia than the general population. Reasons for fluctuation in blood glucose can range from drug accumulation to more complex reasons like increased glucose utilization following the correction of anemia by erythropoietin.</w:t>
      </w:r>
      <w:r w:rsidR="00BC3C99" w:rsidRPr="009736B1">
        <w:rPr>
          <w:rFonts w:eastAsia="Times New Roman" w:cstheme="minorHAnsi"/>
          <w:color w:val="0000E1"/>
          <w:vertAlign w:val="superscript"/>
        </w:rPr>
        <w:t>1</w:t>
      </w:r>
      <w:r w:rsidR="00BC3C99" w:rsidRPr="009736B1">
        <w:rPr>
          <w:rFonts w:eastAsia="Times New Roman" w:cstheme="minorHAnsi"/>
          <w:color w:val="0000E1"/>
        </w:rPr>
        <w:t xml:space="preserve"> Peritoneal dialysis patients may also have glucose-containing dialysate that influences glycemic control, with alternating hyperglycemia and hypoglycemia and resultant adjustments to diabetes medications.</w:t>
      </w:r>
      <w:r w:rsidR="00BC3C99" w:rsidRPr="009736B1">
        <w:rPr>
          <w:rFonts w:eastAsia="Times New Roman" w:cstheme="minorHAnsi"/>
          <w:color w:val="0000E1"/>
          <w:vertAlign w:val="superscript"/>
        </w:rPr>
        <w:t>2</w:t>
      </w:r>
      <w:r w:rsidR="00BC3C99" w:rsidRPr="009736B1">
        <w:rPr>
          <w:rFonts w:eastAsia="Times New Roman" w:cstheme="minorHAnsi"/>
          <w:color w:val="0000E1"/>
        </w:rPr>
        <w:t xml:space="preserve"> Additionally, </w:t>
      </w:r>
      <w:r>
        <w:rPr>
          <w:rFonts w:eastAsia="Times New Roman" w:cstheme="minorHAnsi"/>
          <w:color w:val="0000E1"/>
        </w:rPr>
        <w:t>individuals</w:t>
      </w:r>
      <w:r w:rsidR="00BC3C99" w:rsidRPr="009736B1">
        <w:rPr>
          <w:rFonts w:eastAsia="Times New Roman" w:cstheme="minorHAnsi"/>
          <w:color w:val="0000E1"/>
        </w:rPr>
        <w:t xml:space="preserve"> with ESRD often have spontaneous hypoglycemia due to reduced renal gluconeogenesis or concurrent hepatic disease, but also experience fluctuations in insulin resistance due to the process of dialysis.</w:t>
      </w:r>
      <w:r w:rsidR="00BC3C99" w:rsidRPr="009736B1">
        <w:rPr>
          <w:rFonts w:eastAsia="Times New Roman" w:cstheme="minorHAnsi"/>
          <w:color w:val="0000E1"/>
          <w:vertAlign w:val="superscript"/>
        </w:rPr>
        <w:t>1</w:t>
      </w:r>
      <w:r w:rsidR="00BC3C99" w:rsidRPr="009736B1">
        <w:rPr>
          <w:rFonts w:eastAsia="Times New Roman" w:cstheme="minorHAnsi"/>
          <w:color w:val="0000E1"/>
        </w:rPr>
        <w:t xml:space="preserve"> </w:t>
      </w:r>
    </w:p>
    <w:p w14:paraId="20052C1A" w14:textId="77777777" w:rsidR="00EA2D66" w:rsidRDefault="00EA2D66" w:rsidP="00EF2507">
      <w:pPr>
        <w:autoSpaceDE w:val="0"/>
        <w:autoSpaceDN w:val="0"/>
        <w:adjustRightInd w:val="0"/>
        <w:spacing w:after="0" w:line="240" w:lineRule="auto"/>
        <w:rPr>
          <w:rFonts w:eastAsia="Times New Roman" w:cstheme="minorHAnsi"/>
          <w:color w:val="0000E1"/>
        </w:rPr>
      </w:pPr>
    </w:p>
    <w:p w14:paraId="0179B166" w14:textId="16A75D58" w:rsidR="00EA2D66" w:rsidRDefault="00C37014" w:rsidP="00EF2507">
      <w:pPr>
        <w:autoSpaceDE w:val="0"/>
        <w:autoSpaceDN w:val="0"/>
        <w:adjustRightInd w:val="0"/>
        <w:spacing w:after="0" w:line="240" w:lineRule="auto"/>
        <w:rPr>
          <w:rFonts w:eastAsia="Times New Roman" w:cstheme="minorHAnsi"/>
          <w:color w:val="0000E1"/>
        </w:rPr>
      </w:pPr>
      <w:r>
        <w:rPr>
          <w:rFonts w:eastAsia="Times New Roman" w:cstheme="minorHAnsi"/>
          <w:color w:val="0000E1"/>
        </w:rPr>
        <w:t>Individuals</w:t>
      </w:r>
      <w:r w:rsidR="00BC3C99" w:rsidRPr="009736B1">
        <w:rPr>
          <w:rFonts w:eastAsia="Times New Roman" w:cstheme="minorHAnsi"/>
          <w:color w:val="0000E1"/>
        </w:rPr>
        <w:t xml:space="preserve"> with ESRD may require RAS</w:t>
      </w:r>
      <w:r w:rsidR="008E1F57">
        <w:rPr>
          <w:rFonts w:eastAsia="Times New Roman" w:cstheme="minorHAnsi"/>
          <w:color w:val="0000E1"/>
        </w:rPr>
        <w:t>A</w:t>
      </w:r>
      <w:r w:rsidR="00930280">
        <w:rPr>
          <w:rFonts w:eastAsia="Times New Roman" w:cstheme="minorHAnsi"/>
          <w:color w:val="0000E1"/>
        </w:rPr>
        <w:t xml:space="preserve"> </w:t>
      </w:r>
      <w:r w:rsidR="00BC3C99" w:rsidRPr="009736B1">
        <w:rPr>
          <w:rFonts w:eastAsia="Times New Roman" w:cstheme="minorHAnsi"/>
          <w:color w:val="0000E1"/>
        </w:rPr>
        <w:t xml:space="preserve">medication </w:t>
      </w:r>
      <w:r w:rsidR="00EA2D66" w:rsidRPr="009736B1">
        <w:rPr>
          <w:rFonts w:eastAsia="Times New Roman" w:cstheme="minorHAnsi"/>
          <w:color w:val="0000E1"/>
        </w:rPr>
        <w:t>dos</w:t>
      </w:r>
      <w:r w:rsidR="00EA2D66">
        <w:rPr>
          <w:rFonts w:eastAsia="Times New Roman" w:cstheme="minorHAnsi"/>
          <w:color w:val="0000E1"/>
        </w:rPr>
        <w:t>age</w:t>
      </w:r>
      <w:r w:rsidR="00BC3C99" w:rsidRPr="009736B1">
        <w:rPr>
          <w:rFonts w:eastAsia="Times New Roman" w:cstheme="minorHAnsi"/>
          <w:color w:val="0000E1"/>
        </w:rPr>
        <w:t xml:space="preserve"> adjustments due to severe fluid imbalances resulting in high blood pressure, followed by sudden hypotension when fluids are removed with dialysis.</w:t>
      </w:r>
      <w:r w:rsidR="00BC3C99" w:rsidRPr="009736B1">
        <w:rPr>
          <w:rFonts w:eastAsia="Times New Roman" w:cstheme="minorHAnsi"/>
          <w:color w:val="0000E1"/>
          <w:vertAlign w:val="superscript"/>
        </w:rPr>
        <w:t>3</w:t>
      </w:r>
      <w:r w:rsidR="00115587">
        <w:rPr>
          <w:rFonts w:eastAsia="Times New Roman" w:cstheme="minorHAnsi"/>
          <w:color w:val="0000E1"/>
          <w:vertAlign w:val="superscript"/>
        </w:rPr>
        <w:t xml:space="preserve"> </w:t>
      </w:r>
      <w:r w:rsidR="00BC3C99" w:rsidRPr="009736B1">
        <w:rPr>
          <w:rFonts w:eastAsia="Times New Roman" w:cstheme="minorHAnsi"/>
          <w:color w:val="0000E1"/>
        </w:rPr>
        <w:t xml:space="preserve">A confounding factor is variable adherence to dietary regimens (e.g., fluid restrictions). </w:t>
      </w:r>
      <w:r w:rsidR="00776D51" w:rsidRPr="009736B1">
        <w:rPr>
          <w:rFonts w:eastAsia="Times New Roman" w:cstheme="minorHAnsi"/>
          <w:color w:val="0000E1"/>
        </w:rPr>
        <w:t xml:space="preserve">Therefore, </w:t>
      </w:r>
      <w:r w:rsidR="00776D51">
        <w:rPr>
          <w:rFonts w:eastAsia="Times New Roman" w:cstheme="minorHAnsi"/>
          <w:color w:val="0000E1"/>
        </w:rPr>
        <w:t>assessing</w:t>
      </w:r>
      <w:r w:rsidR="00776D51" w:rsidRPr="009736B1">
        <w:rPr>
          <w:rFonts w:eastAsia="Times New Roman" w:cstheme="minorHAnsi"/>
          <w:color w:val="0000E1"/>
        </w:rPr>
        <w:t xml:space="preserve"> adherence to oral antihypertensive medications using pharmacy claims data in </w:t>
      </w:r>
      <w:r w:rsidR="00B10ACD">
        <w:rPr>
          <w:rFonts w:eastAsia="Times New Roman" w:cstheme="minorHAnsi"/>
          <w:color w:val="0000E1"/>
        </w:rPr>
        <w:t>individuals</w:t>
      </w:r>
      <w:r w:rsidR="00776D51" w:rsidRPr="009736B1">
        <w:rPr>
          <w:rFonts w:eastAsia="Times New Roman" w:cstheme="minorHAnsi"/>
          <w:color w:val="0000E1"/>
        </w:rPr>
        <w:t xml:space="preserve"> with ESRD is imprecise due to frequent fluctuations in blood pressure and resulting medication adjustments (e.g., they are often held, changed, discontinued, or restarted). </w:t>
      </w:r>
    </w:p>
    <w:p w14:paraId="34974243" w14:textId="77777777" w:rsidR="00EA2D66" w:rsidRDefault="00EA2D66" w:rsidP="00EF2507">
      <w:pPr>
        <w:autoSpaceDE w:val="0"/>
        <w:autoSpaceDN w:val="0"/>
        <w:adjustRightInd w:val="0"/>
        <w:spacing w:after="0" w:line="240" w:lineRule="auto"/>
        <w:rPr>
          <w:rFonts w:eastAsia="Times New Roman" w:cstheme="minorHAnsi"/>
          <w:color w:val="0000E1"/>
        </w:rPr>
      </w:pPr>
    </w:p>
    <w:p w14:paraId="29D5E4A0" w14:textId="40068213" w:rsidR="00776D51" w:rsidRPr="009736B1" w:rsidRDefault="00B10ACD" w:rsidP="00EF2507">
      <w:pPr>
        <w:autoSpaceDE w:val="0"/>
        <w:autoSpaceDN w:val="0"/>
        <w:adjustRightInd w:val="0"/>
        <w:spacing w:after="0" w:line="240" w:lineRule="auto"/>
        <w:rPr>
          <w:rFonts w:eastAsia="Times New Roman" w:cstheme="minorHAnsi"/>
          <w:color w:val="0000E1"/>
          <w:vertAlign w:val="superscript"/>
        </w:rPr>
      </w:pPr>
      <w:r>
        <w:rPr>
          <w:rFonts w:eastAsia="Times New Roman" w:cstheme="minorHAnsi"/>
          <w:color w:val="0000E1"/>
        </w:rPr>
        <w:t>Individuals</w:t>
      </w:r>
      <w:r w:rsidR="00776D51" w:rsidRPr="009736B1">
        <w:rPr>
          <w:rFonts w:eastAsia="Times New Roman" w:cstheme="minorHAnsi"/>
          <w:color w:val="0000E1"/>
        </w:rPr>
        <w:t xml:space="preserve"> with ESRD may also feel generalized weakness and adherence to statins may be a lower clinical priority than interventions to manage mineral bone disease and fluid management (e.g., medication and dietary modifications).</w:t>
      </w:r>
      <w:r w:rsidR="00776D51" w:rsidRPr="009736B1">
        <w:rPr>
          <w:rFonts w:eastAsia="Times New Roman" w:cstheme="minorHAnsi"/>
          <w:color w:val="0000E1"/>
          <w:vertAlign w:val="superscript"/>
        </w:rPr>
        <w:t>4</w:t>
      </w:r>
      <w:r w:rsidR="00776D51" w:rsidRPr="009736B1">
        <w:rPr>
          <w:rFonts w:eastAsia="Times New Roman" w:cstheme="minorHAnsi"/>
          <w:color w:val="0000E1"/>
        </w:rPr>
        <w:t xml:space="preserve"> Although </w:t>
      </w:r>
      <w:r>
        <w:rPr>
          <w:rFonts w:eastAsia="Times New Roman" w:cstheme="minorHAnsi"/>
          <w:color w:val="0000E1"/>
        </w:rPr>
        <w:t>individuals</w:t>
      </w:r>
      <w:r w:rsidR="00776D51" w:rsidRPr="009736B1">
        <w:rPr>
          <w:rFonts w:eastAsia="Times New Roman" w:cstheme="minorHAnsi"/>
          <w:color w:val="0000E1"/>
        </w:rPr>
        <w:t xml:space="preserve"> with ESRD are at increased risk for cardiovascular events related to sudden cardiac arrest, left ventricular hypertrophy, vascular calcifications from hyperphosphatemia and hyperparathyroidism, and large fluid shifts</w:t>
      </w:r>
      <w:r w:rsidR="00776D51" w:rsidRPr="009736B1">
        <w:rPr>
          <w:rFonts w:eastAsia="Times New Roman" w:cstheme="minorHAnsi"/>
          <w:color w:val="0000E1"/>
          <w:vertAlign w:val="superscript"/>
        </w:rPr>
        <w:t>5-7</w:t>
      </w:r>
      <w:r w:rsidR="00776D51" w:rsidRPr="009736B1">
        <w:rPr>
          <w:rFonts w:eastAsia="Times New Roman" w:cstheme="minorHAnsi"/>
          <w:color w:val="0000E1"/>
        </w:rPr>
        <w:t xml:space="preserve"> there is a lack </w:t>
      </w:r>
      <w:r w:rsidR="00776D51" w:rsidRPr="009736B1">
        <w:rPr>
          <w:rFonts w:eastAsia="Times New Roman" w:cstheme="minorHAnsi"/>
          <w:color w:val="0000E1"/>
        </w:rPr>
        <w:lastRenderedPageBreak/>
        <w:t xml:space="preserve">of direct evidence that statin treatment is beneficial in dialysis patients </w:t>
      </w:r>
      <w:r w:rsidR="00776D51">
        <w:rPr>
          <w:rFonts w:eastAsia="Times New Roman" w:cstheme="minorHAnsi"/>
          <w:color w:val="0000E1"/>
        </w:rPr>
        <w:t>i</w:t>
      </w:r>
      <w:r w:rsidR="00776D51" w:rsidRPr="009736B1">
        <w:rPr>
          <w:rFonts w:eastAsia="Times New Roman" w:cstheme="minorHAnsi"/>
          <w:color w:val="0000E1"/>
        </w:rPr>
        <w:t>n the Kidney Disease: Improving Global Outcomes (KDIGO) guidelines.</w:t>
      </w:r>
      <w:r w:rsidR="00776D51" w:rsidRPr="009736B1">
        <w:rPr>
          <w:rFonts w:eastAsia="Times New Roman" w:cstheme="minorHAnsi"/>
          <w:color w:val="0000E1"/>
          <w:vertAlign w:val="superscript"/>
        </w:rPr>
        <w:t>8</w:t>
      </w:r>
    </w:p>
    <w:p w14:paraId="0DB09CC4" w14:textId="77777777" w:rsidR="00893A6D" w:rsidRPr="009736B1" w:rsidRDefault="00893A6D" w:rsidP="00EF2507">
      <w:pPr>
        <w:autoSpaceDE w:val="0"/>
        <w:autoSpaceDN w:val="0"/>
        <w:adjustRightInd w:val="0"/>
        <w:spacing w:after="0" w:line="240" w:lineRule="auto"/>
        <w:rPr>
          <w:rFonts w:eastAsia="Times New Roman" w:cstheme="minorHAnsi"/>
          <w:color w:val="0000E1"/>
          <w:vertAlign w:val="superscript"/>
        </w:rPr>
      </w:pPr>
    </w:p>
    <w:p w14:paraId="4B7AC3BC" w14:textId="77777777" w:rsidR="00EA2D66" w:rsidRPr="00EF2507" w:rsidRDefault="00EA2D66" w:rsidP="00EF2507">
      <w:pPr>
        <w:autoSpaceDE w:val="0"/>
        <w:autoSpaceDN w:val="0"/>
        <w:adjustRightInd w:val="0"/>
        <w:spacing w:after="0" w:line="240" w:lineRule="auto"/>
        <w:rPr>
          <w:rFonts w:cstheme="minorHAnsi"/>
          <w:bCs/>
          <w:color w:val="0000E1"/>
          <w:u w:val="single"/>
        </w:rPr>
      </w:pPr>
      <w:r w:rsidRPr="00EF2507">
        <w:rPr>
          <w:rFonts w:cstheme="minorHAnsi"/>
          <w:bCs/>
          <w:color w:val="0000E1"/>
          <w:u w:val="single"/>
        </w:rPr>
        <w:t>Insulin</w:t>
      </w:r>
      <w:r w:rsidR="008E14E3">
        <w:rPr>
          <w:rFonts w:cstheme="minorHAnsi"/>
          <w:bCs/>
          <w:color w:val="0000E1"/>
          <w:u w:val="single"/>
        </w:rPr>
        <w:t xml:space="preserve"> for Diabetes</w:t>
      </w:r>
    </w:p>
    <w:p w14:paraId="3FB3F227" w14:textId="1C6DC590" w:rsidR="009736B1" w:rsidRPr="009736B1" w:rsidRDefault="00BC3C99" w:rsidP="00EF2507">
      <w:pPr>
        <w:autoSpaceDE w:val="0"/>
        <w:autoSpaceDN w:val="0"/>
        <w:adjustRightInd w:val="0"/>
        <w:spacing w:line="240" w:lineRule="auto"/>
        <w:rPr>
          <w:rFonts w:cstheme="minorHAnsi"/>
          <w:bCs/>
          <w:color w:val="0000E1"/>
        </w:rPr>
      </w:pPr>
      <w:r w:rsidRPr="009736B1">
        <w:rPr>
          <w:rFonts w:cstheme="minorHAnsi"/>
          <w:bCs/>
          <w:color w:val="0000E1"/>
        </w:rPr>
        <w:t>Currently, there is not a standardized method to assess adherence to insulin using prescription claims data.</w:t>
      </w:r>
      <w:r w:rsidR="00B10ACD">
        <w:rPr>
          <w:rFonts w:cstheme="minorHAnsi"/>
          <w:bCs/>
          <w:color w:val="0000E1"/>
          <w:vertAlign w:val="superscript"/>
        </w:rPr>
        <w:t xml:space="preserve">9 </w:t>
      </w:r>
      <w:r w:rsidRPr="009736B1">
        <w:rPr>
          <w:rFonts w:cstheme="minorHAnsi"/>
          <w:bCs/>
          <w:color w:val="0000E1"/>
        </w:rPr>
        <w:t>I</w:t>
      </w:r>
      <w:r w:rsidR="008D03BA">
        <w:rPr>
          <w:rFonts w:cstheme="minorHAnsi"/>
          <w:bCs/>
          <w:color w:val="0000E1"/>
        </w:rPr>
        <w:t xml:space="preserve">ndividuals on insulin are excluded from the </w:t>
      </w:r>
      <w:r w:rsidRPr="009736B1">
        <w:rPr>
          <w:rFonts w:cstheme="minorHAnsi"/>
          <w:bCs/>
          <w:color w:val="0000E1"/>
        </w:rPr>
        <w:t>Diabetes rate because insulin requires titration and frequent dosage adjustments</w:t>
      </w:r>
      <w:r w:rsidR="00776D51">
        <w:rPr>
          <w:rFonts w:cstheme="minorHAnsi"/>
          <w:bCs/>
          <w:color w:val="0000E1"/>
        </w:rPr>
        <w:t>,</w:t>
      </w:r>
      <w:r w:rsidRPr="009736B1">
        <w:rPr>
          <w:rFonts w:cstheme="minorHAnsi"/>
          <w:bCs/>
          <w:color w:val="0000E1"/>
        </w:rPr>
        <w:t xml:space="preserve"> which in turn can result in frequent dosage adjustments of other diabetes medications.</w:t>
      </w:r>
    </w:p>
    <w:p w14:paraId="755DA512" w14:textId="77777777" w:rsidR="00EA2D66" w:rsidRPr="00EF2507" w:rsidRDefault="00EA2D66" w:rsidP="00EF2507">
      <w:pPr>
        <w:autoSpaceDE w:val="0"/>
        <w:autoSpaceDN w:val="0"/>
        <w:adjustRightInd w:val="0"/>
        <w:spacing w:after="0" w:line="240" w:lineRule="auto"/>
        <w:rPr>
          <w:rFonts w:cstheme="minorHAnsi"/>
          <w:bCs/>
          <w:color w:val="0000E1"/>
          <w:u w:val="single"/>
        </w:rPr>
      </w:pPr>
      <w:r w:rsidRPr="00EF2507">
        <w:rPr>
          <w:rFonts w:cstheme="minorHAnsi"/>
          <w:bCs/>
          <w:color w:val="0000E1"/>
          <w:u w:val="single"/>
        </w:rPr>
        <w:t>Sacubitril/Valsartan</w:t>
      </w:r>
      <w:r w:rsidR="008E14E3">
        <w:rPr>
          <w:rFonts w:cstheme="minorHAnsi"/>
          <w:bCs/>
          <w:color w:val="0000E1"/>
          <w:u w:val="single"/>
        </w:rPr>
        <w:t xml:space="preserve"> for RASA</w:t>
      </w:r>
    </w:p>
    <w:p w14:paraId="24929AC1" w14:textId="77777777" w:rsidR="00E40B89" w:rsidRPr="009736B1" w:rsidRDefault="00E40B89" w:rsidP="00EF2507">
      <w:pPr>
        <w:autoSpaceDE w:val="0"/>
        <w:autoSpaceDN w:val="0"/>
        <w:adjustRightInd w:val="0"/>
        <w:spacing w:line="240" w:lineRule="auto"/>
        <w:rPr>
          <w:rFonts w:eastAsia="Times New Roman" w:cstheme="minorHAnsi"/>
          <w:color w:val="0000E1"/>
          <w:shd w:val="clear" w:color="auto" w:fill="FFFFFF"/>
        </w:rPr>
      </w:pPr>
      <w:r>
        <w:rPr>
          <w:rFonts w:cstheme="minorHAnsi"/>
          <w:bCs/>
          <w:color w:val="0000E1"/>
        </w:rPr>
        <w:t xml:space="preserve">The RASA </w:t>
      </w:r>
      <w:r w:rsidRPr="009736B1">
        <w:rPr>
          <w:rFonts w:cstheme="minorHAnsi"/>
          <w:bCs/>
          <w:color w:val="0000E1"/>
        </w:rPr>
        <w:t>rate is intended to evaluate adherence to medications used for treating hypertension. Individuals receiving sacubitril/valsartan are excluded from the measure because this product</w:t>
      </w:r>
      <w:r>
        <w:rPr>
          <w:rFonts w:cstheme="minorHAnsi"/>
          <w:bCs/>
          <w:color w:val="0000E1"/>
        </w:rPr>
        <w:t>, although it includes a RASA (i.e., valsartan),</w:t>
      </w:r>
      <w:r w:rsidRPr="009736B1">
        <w:rPr>
          <w:rFonts w:cstheme="minorHAnsi"/>
          <w:bCs/>
          <w:color w:val="0000E1"/>
        </w:rPr>
        <w:t xml:space="preserve"> is only indicated for treating heart failure. </w:t>
      </w:r>
    </w:p>
    <w:p w14:paraId="2747914B" w14:textId="77777777" w:rsidR="008D03BA" w:rsidRPr="009736B1" w:rsidRDefault="008D03BA" w:rsidP="00EF2507">
      <w:pPr>
        <w:autoSpaceDE w:val="0"/>
        <w:autoSpaceDN w:val="0"/>
        <w:adjustRightInd w:val="0"/>
        <w:spacing w:before="120" w:after="0" w:line="240" w:lineRule="auto"/>
        <w:rPr>
          <w:rFonts w:cstheme="minorHAnsi"/>
          <w:bCs/>
          <w:color w:val="0000E1"/>
        </w:rPr>
      </w:pPr>
      <w:r w:rsidRPr="009736B1">
        <w:rPr>
          <w:rFonts w:eastAsiaTheme="minorHAnsi" w:cstheme="minorHAnsi"/>
          <w:b/>
          <w:color w:val="0000E1"/>
        </w:rPr>
        <w:t>References:</w:t>
      </w:r>
    </w:p>
    <w:p w14:paraId="7F9DA00B" w14:textId="77777777" w:rsidR="008D03BA" w:rsidRPr="009736B1" w:rsidRDefault="008D03BA" w:rsidP="00EF2507">
      <w:pPr>
        <w:pStyle w:val="HTMLPreformatted"/>
        <w:numPr>
          <w:ilvl w:val="0"/>
          <w:numId w:val="11"/>
        </w:numPr>
        <w:ind w:left="360"/>
        <w:rPr>
          <w:rFonts w:asciiTheme="minorHAnsi" w:hAnsiTheme="minorHAnsi" w:cstheme="minorHAnsi"/>
          <w:color w:val="0000E1"/>
          <w:sz w:val="22"/>
          <w:szCs w:val="22"/>
        </w:rPr>
      </w:pPr>
      <w:proofErr w:type="spellStart"/>
      <w:r w:rsidRPr="009736B1">
        <w:rPr>
          <w:rFonts w:asciiTheme="minorHAnsi" w:hAnsiTheme="minorHAnsi" w:cstheme="minorHAnsi"/>
          <w:color w:val="0000E1"/>
          <w:sz w:val="22"/>
          <w:szCs w:val="22"/>
        </w:rPr>
        <w:t>Sampanis</w:t>
      </w:r>
      <w:proofErr w:type="spellEnd"/>
      <w:r w:rsidRPr="009736B1">
        <w:rPr>
          <w:rFonts w:asciiTheme="minorHAnsi" w:hAnsiTheme="minorHAnsi" w:cstheme="minorHAnsi"/>
          <w:color w:val="0000E1"/>
          <w:sz w:val="22"/>
          <w:szCs w:val="22"/>
        </w:rPr>
        <w:t xml:space="preserve"> Ch. Management of hyperglycemia in patients with diabetes mellitus and chronic renal failure. </w:t>
      </w:r>
      <w:proofErr w:type="spellStart"/>
      <w:r w:rsidRPr="009736B1">
        <w:rPr>
          <w:rFonts w:asciiTheme="minorHAnsi" w:hAnsiTheme="minorHAnsi" w:cstheme="minorHAnsi"/>
          <w:color w:val="0000E1"/>
          <w:sz w:val="22"/>
          <w:szCs w:val="22"/>
        </w:rPr>
        <w:t>Hippokratia</w:t>
      </w:r>
      <w:proofErr w:type="spellEnd"/>
      <w:r w:rsidRPr="009736B1">
        <w:rPr>
          <w:rFonts w:asciiTheme="minorHAnsi" w:hAnsiTheme="minorHAnsi" w:cstheme="minorHAnsi"/>
          <w:color w:val="0000E1"/>
          <w:sz w:val="22"/>
          <w:szCs w:val="22"/>
        </w:rPr>
        <w:t>. 2008;</w:t>
      </w:r>
      <w:r w:rsidR="00EA2D66">
        <w:rPr>
          <w:rFonts w:asciiTheme="minorHAnsi" w:hAnsiTheme="minorHAnsi" w:cstheme="minorHAnsi"/>
          <w:color w:val="0000E1"/>
          <w:sz w:val="22"/>
          <w:szCs w:val="22"/>
        </w:rPr>
        <w:t xml:space="preserve"> </w:t>
      </w:r>
      <w:r w:rsidRPr="009736B1">
        <w:rPr>
          <w:rFonts w:asciiTheme="minorHAnsi" w:hAnsiTheme="minorHAnsi" w:cstheme="minorHAnsi"/>
          <w:color w:val="0000E1"/>
          <w:sz w:val="22"/>
          <w:szCs w:val="22"/>
        </w:rPr>
        <w:t xml:space="preserve">12(1):22-7. PMID: </w:t>
      </w:r>
      <w:hyperlink r:id="rId28" w:history="1">
        <w:r w:rsidRPr="009736B1">
          <w:rPr>
            <w:rStyle w:val="Hyperlink"/>
            <w:rFonts w:asciiTheme="minorHAnsi" w:hAnsiTheme="minorHAnsi" w:cstheme="minorHAnsi"/>
            <w:color w:val="0000E1"/>
            <w:sz w:val="22"/>
            <w:szCs w:val="22"/>
          </w:rPr>
          <w:t>18923754</w:t>
        </w:r>
      </w:hyperlink>
      <w:r w:rsidRPr="009736B1">
        <w:rPr>
          <w:rFonts w:asciiTheme="minorHAnsi" w:hAnsiTheme="minorHAnsi" w:cstheme="minorHAnsi"/>
          <w:color w:val="0000E1"/>
          <w:sz w:val="22"/>
          <w:szCs w:val="22"/>
        </w:rPr>
        <w:t xml:space="preserve">. </w:t>
      </w:r>
    </w:p>
    <w:p w14:paraId="5D11AFDE" w14:textId="77777777" w:rsidR="008D03BA" w:rsidRPr="009736B1" w:rsidRDefault="008D03BA" w:rsidP="00EF2507">
      <w:pPr>
        <w:pStyle w:val="HTMLPreformatted"/>
        <w:numPr>
          <w:ilvl w:val="0"/>
          <w:numId w:val="11"/>
        </w:numPr>
        <w:ind w:left="360"/>
        <w:rPr>
          <w:rFonts w:asciiTheme="minorHAnsi" w:hAnsiTheme="minorHAnsi" w:cstheme="minorHAnsi"/>
          <w:color w:val="0000E1"/>
          <w:sz w:val="22"/>
          <w:szCs w:val="22"/>
        </w:rPr>
      </w:pPr>
      <w:proofErr w:type="spellStart"/>
      <w:r w:rsidRPr="009736B1">
        <w:rPr>
          <w:rFonts w:asciiTheme="minorHAnsi" w:hAnsiTheme="minorHAnsi" w:cstheme="minorHAnsi"/>
          <w:color w:val="0000E1"/>
          <w:sz w:val="22"/>
          <w:szCs w:val="22"/>
        </w:rPr>
        <w:t>Alsahli</w:t>
      </w:r>
      <w:proofErr w:type="spellEnd"/>
      <w:r w:rsidRPr="009736B1">
        <w:rPr>
          <w:rFonts w:asciiTheme="minorHAnsi" w:hAnsiTheme="minorHAnsi" w:cstheme="minorHAnsi"/>
          <w:color w:val="0000E1"/>
          <w:sz w:val="22"/>
          <w:szCs w:val="22"/>
        </w:rPr>
        <w:t xml:space="preserve"> M, </w:t>
      </w:r>
      <w:proofErr w:type="spellStart"/>
      <w:r w:rsidRPr="009736B1">
        <w:rPr>
          <w:rFonts w:asciiTheme="minorHAnsi" w:hAnsiTheme="minorHAnsi" w:cstheme="minorHAnsi"/>
          <w:color w:val="0000E1"/>
          <w:sz w:val="22"/>
          <w:szCs w:val="22"/>
        </w:rPr>
        <w:t>Gerich</w:t>
      </w:r>
      <w:proofErr w:type="spellEnd"/>
      <w:r w:rsidRPr="009736B1">
        <w:rPr>
          <w:rFonts w:asciiTheme="minorHAnsi" w:hAnsiTheme="minorHAnsi" w:cstheme="minorHAnsi"/>
          <w:color w:val="0000E1"/>
          <w:sz w:val="22"/>
          <w:szCs w:val="22"/>
        </w:rPr>
        <w:t xml:space="preserve"> JE. Hypoglycemia in Patients with Diabetes and Renal Disease. J Clin Med;2015;</w:t>
      </w:r>
      <w:r w:rsidR="00EA2D66">
        <w:rPr>
          <w:rFonts w:asciiTheme="minorHAnsi" w:hAnsiTheme="minorHAnsi" w:cstheme="minorHAnsi"/>
          <w:color w:val="0000E1"/>
          <w:sz w:val="22"/>
          <w:szCs w:val="22"/>
        </w:rPr>
        <w:t xml:space="preserve"> </w:t>
      </w:r>
      <w:r w:rsidRPr="009736B1">
        <w:rPr>
          <w:rFonts w:asciiTheme="minorHAnsi" w:hAnsiTheme="minorHAnsi" w:cstheme="minorHAnsi"/>
          <w:color w:val="0000E1"/>
          <w:sz w:val="22"/>
          <w:szCs w:val="22"/>
        </w:rPr>
        <w:t xml:space="preserve">13;4(5):948-64. PMID: </w:t>
      </w:r>
      <w:hyperlink r:id="rId29" w:history="1">
        <w:r w:rsidRPr="009736B1">
          <w:rPr>
            <w:rStyle w:val="Hyperlink"/>
            <w:rFonts w:asciiTheme="minorHAnsi" w:hAnsiTheme="minorHAnsi" w:cstheme="minorHAnsi"/>
            <w:color w:val="0000E1"/>
            <w:sz w:val="22"/>
            <w:szCs w:val="22"/>
          </w:rPr>
          <w:t>26239457</w:t>
        </w:r>
      </w:hyperlink>
      <w:r w:rsidRPr="009736B1">
        <w:rPr>
          <w:rFonts w:asciiTheme="minorHAnsi" w:hAnsiTheme="minorHAnsi" w:cstheme="minorHAnsi"/>
          <w:color w:val="0000E1"/>
          <w:sz w:val="22"/>
          <w:szCs w:val="22"/>
        </w:rPr>
        <w:t>.</w:t>
      </w:r>
    </w:p>
    <w:p w14:paraId="0A94CAD1" w14:textId="77777777" w:rsidR="008D03BA" w:rsidRPr="009736B1" w:rsidRDefault="008D03BA" w:rsidP="00EF2507">
      <w:pPr>
        <w:pStyle w:val="HTMLPreformatted"/>
        <w:numPr>
          <w:ilvl w:val="0"/>
          <w:numId w:val="11"/>
        </w:numPr>
        <w:ind w:left="360"/>
        <w:rPr>
          <w:rFonts w:asciiTheme="minorHAnsi" w:hAnsiTheme="minorHAnsi" w:cstheme="minorHAnsi"/>
          <w:color w:val="0000E1"/>
          <w:sz w:val="22"/>
          <w:szCs w:val="22"/>
        </w:rPr>
      </w:pPr>
      <w:r w:rsidRPr="009736B1">
        <w:rPr>
          <w:rFonts w:asciiTheme="minorHAnsi" w:hAnsiTheme="minorHAnsi" w:cstheme="minorHAnsi"/>
          <w:color w:val="0000E1"/>
          <w:sz w:val="22"/>
          <w:szCs w:val="22"/>
        </w:rPr>
        <w:t>K/DOQI Workgroup. K/DOQI clinical practice guidelines for cardiovascular disease in dialysis patients. Am J Kidney Dis. 2005;</w:t>
      </w:r>
      <w:r w:rsidR="00EA2D66">
        <w:rPr>
          <w:rFonts w:asciiTheme="minorHAnsi" w:hAnsiTheme="minorHAnsi" w:cstheme="minorHAnsi"/>
          <w:color w:val="0000E1"/>
          <w:sz w:val="22"/>
          <w:szCs w:val="22"/>
        </w:rPr>
        <w:t xml:space="preserve"> </w:t>
      </w:r>
      <w:r w:rsidRPr="009736B1">
        <w:rPr>
          <w:rFonts w:asciiTheme="minorHAnsi" w:hAnsiTheme="minorHAnsi" w:cstheme="minorHAnsi"/>
          <w:color w:val="0000E1"/>
          <w:sz w:val="22"/>
          <w:szCs w:val="22"/>
        </w:rPr>
        <w:t>45(4 Suppl 3</w:t>
      </w:r>
      <w:proofErr w:type="gramStart"/>
      <w:r w:rsidRPr="009736B1">
        <w:rPr>
          <w:rFonts w:asciiTheme="minorHAnsi" w:hAnsiTheme="minorHAnsi" w:cstheme="minorHAnsi"/>
          <w:color w:val="0000E1"/>
          <w:sz w:val="22"/>
          <w:szCs w:val="22"/>
        </w:rPr>
        <w:t>):S</w:t>
      </w:r>
      <w:proofErr w:type="gramEnd"/>
      <w:r w:rsidRPr="009736B1">
        <w:rPr>
          <w:rFonts w:asciiTheme="minorHAnsi" w:hAnsiTheme="minorHAnsi" w:cstheme="minorHAnsi"/>
          <w:color w:val="0000E1"/>
          <w:sz w:val="22"/>
          <w:szCs w:val="22"/>
        </w:rPr>
        <w:t xml:space="preserve">1-153. PMID: </w:t>
      </w:r>
      <w:hyperlink r:id="rId30" w:history="1">
        <w:r w:rsidRPr="009736B1">
          <w:rPr>
            <w:rStyle w:val="Hyperlink"/>
            <w:rFonts w:asciiTheme="minorHAnsi" w:hAnsiTheme="minorHAnsi" w:cstheme="minorHAnsi"/>
            <w:color w:val="0000E1"/>
            <w:sz w:val="22"/>
            <w:szCs w:val="22"/>
          </w:rPr>
          <w:t>15806502</w:t>
        </w:r>
      </w:hyperlink>
      <w:r w:rsidRPr="009736B1">
        <w:rPr>
          <w:rFonts w:asciiTheme="minorHAnsi" w:hAnsiTheme="minorHAnsi" w:cstheme="minorHAnsi"/>
          <w:color w:val="0000E1"/>
          <w:sz w:val="22"/>
          <w:szCs w:val="22"/>
        </w:rPr>
        <w:t>.</w:t>
      </w:r>
    </w:p>
    <w:p w14:paraId="09356E60" w14:textId="77777777" w:rsidR="008D03BA" w:rsidRPr="009736B1" w:rsidRDefault="008D03BA" w:rsidP="00EF2507">
      <w:pPr>
        <w:pStyle w:val="HTMLPreformatted"/>
        <w:numPr>
          <w:ilvl w:val="0"/>
          <w:numId w:val="11"/>
        </w:numPr>
        <w:ind w:left="360"/>
        <w:rPr>
          <w:rFonts w:asciiTheme="minorHAnsi" w:hAnsiTheme="minorHAnsi" w:cstheme="minorHAnsi"/>
          <w:color w:val="0000E1"/>
          <w:sz w:val="22"/>
          <w:szCs w:val="22"/>
        </w:rPr>
      </w:pPr>
      <w:proofErr w:type="spellStart"/>
      <w:r w:rsidRPr="009736B1">
        <w:rPr>
          <w:rFonts w:asciiTheme="minorHAnsi" w:hAnsiTheme="minorHAnsi" w:cstheme="minorHAnsi"/>
          <w:color w:val="0000E1"/>
          <w:sz w:val="22"/>
          <w:szCs w:val="22"/>
        </w:rPr>
        <w:t>Burnier</w:t>
      </w:r>
      <w:proofErr w:type="spellEnd"/>
      <w:r w:rsidRPr="009736B1">
        <w:rPr>
          <w:rFonts w:asciiTheme="minorHAnsi" w:hAnsiTheme="minorHAnsi" w:cstheme="minorHAnsi"/>
          <w:color w:val="0000E1"/>
          <w:sz w:val="22"/>
          <w:szCs w:val="22"/>
        </w:rPr>
        <w:t xml:space="preserve"> M, </w:t>
      </w:r>
      <w:proofErr w:type="spellStart"/>
      <w:r w:rsidRPr="009736B1">
        <w:rPr>
          <w:rFonts w:asciiTheme="minorHAnsi" w:hAnsiTheme="minorHAnsi" w:cstheme="minorHAnsi"/>
          <w:color w:val="0000E1"/>
          <w:sz w:val="22"/>
          <w:szCs w:val="22"/>
        </w:rPr>
        <w:t>Pruijm</w:t>
      </w:r>
      <w:proofErr w:type="spellEnd"/>
      <w:r w:rsidRPr="009736B1">
        <w:rPr>
          <w:rFonts w:asciiTheme="minorHAnsi" w:hAnsiTheme="minorHAnsi" w:cstheme="minorHAnsi"/>
          <w:color w:val="0000E1"/>
          <w:sz w:val="22"/>
          <w:szCs w:val="22"/>
        </w:rPr>
        <w:t xml:space="preserve"> M, </w:t>
      </w:r>
      <w:proofErr w:type="spellStart"/>
      <w:r w:rsidRPr="009736B1">
        <w:rPr>
          <w:rFonts w:asciiTheme="minorHAnsi" w:hAnsiTheme="minorHAnsi" w:cstheme="minorHAnsi"/>
          <w:color w:val="0000E1"/>
          <w:sz w:val="22"/>
          <w:szCs w:val="22"/>
        </w:rPr>
        <w:t>Wuerzner</w:t>
      </w:r>
      <w:proofErr w:type="spellEnd"/>
      <w:r w:rsidRPr="009736B1">
        <w:rPr>
          <w:rFonts w:asciiTheme="minorHAnsi" w:hAnsiTheme="minorHAnsi" w:cstheme="minorHAnsi"/>
          <w:color w:val="0000E1"/>
          <w:sz w:val="22"/>
          <w:szCs w:val="22"/>
        </w:rPr>
        <w:t xml:space="preserve"> G, </w:t>
      </w:r>
      <w:proofErr w:type="spellStart"/>
      <w:r w:rsidRPr="009736B1">
        <w:rPr>
          <w:rFonts w:asciiTheme="minorHAnsi" w:hAnsiTheme="minorHAnsi" w:cstheme="minorHAnsi"/>
          <w:color w:val="0000E1"/>
          <w:sz w:val="22"/>
          <w:szCs w:val="22"/>
        </w:rPr>
        <w:t>Santschi</w:t>
      </w:r>
      <w:proofErr w:type="spellEnd"/>
      <w:r w:rsidRPr="009736B1">
        <w:rPr>
          <w:rFonts w:asciiTheme="minorHAnsi" w:hAnsiTheme="minorHAnsi" w:cstheme="minorHAnsi"/>
          <w:color w:val="0000E1"/>
          <w:sz w:val="22"/>
          <w:szCs w:val="22"/>
        </w:rPr>
        <w:t xml:space="preserve"> V. Drug adherence in chronic kidney diseases and dialysis. </w:t>
      </w:r>
      <w:proofErr w:type="spellStart"/>
      <w:r w:rsidRPr="009736B1">
        <w:rPr>
          <w:rFonts w:asciiTheme="minorHAnsi" w:hAnsiTheme="minorHAnsi" w:cstheme="minorHAnsi"/>
          <w:color w:val="0000E1"/>
          <w:sz w:val="22"/>
          <w:szCs w:val="22"/>
        </w:rPr>
        <w:t>Nephrol</w:t>
      </w:r>
      <w:proofErr w:type="spellEnd"/>
      <w:r w:rsidRPr="009736B1">
        <w:rPr>
          <w:rFonts w:asciiTheme="minorHAnsi" w:hAnsiTheme="minorHAnsi" w:cstheme="minorHAnsi"/>
          <w:color w:val="0000E1"/>
          <w:sz w:val="22"/>
          <w:szCs w:val="22"/>
        </w:rPr>
        <w:t xml:space="preserve"> Dial Transplant. 2015 ;30(1):39-44. PMID: </w:t>
      </w:r>
      <w:hyperlink r:id="rId31" w:history="1">
        <w:r w:rsidRPr="009736B1">
          <w:rPr>
            <w:rStyle w:val="Hyperlink"/>
            <w:rFonts w:asciiTheme="minorHAnsi" w:hAnsiTheme="minorHAnsi" w:cstheme="minorHAnsi"/>
            <w:color w:val="0000E1"/>
            <w:sz w:val="22"/>
            <w:szCs w:val="22"/>
          </w:rPr>
          <w:t>24516224</w:t>
        </w:r>
      </w:hyperlink>
      <w:r w:rsidRPr="009736B1">
        <w:rPr>
          <w:rFonts w:asciiTheme="minorHAnsi" w:hAnsiTheme="minorHAnsi" w:cstheme="minorHAnsi"/>
          <w:color w:val="0000E1"/>
          <w:sz w:val="22"/>
          <w:szCs w:val="22"/>
        </w:rPr>
        <w:t>.</w:t>
      </w:r>
    </w:p>
    <w:p w14:paraId="61D80010" w14:textId="77777777" w:rsidR="008D03BA" w:rsidRPr="009736B1" w:rsidRDefault="008D03BA" w:rsidP="00EF2507">
      <w:pPr>
        <w:pStyle w:val="HTMLPreformatted"/>
        <w:numPr>
          <w:ilvl w:val="0"/>
          <w:numId w:val="11"/>
        </w:numPr>
        <w:ind w:left="360"/>
        <w:rPr>
          <w:rFonts w:asciiTheme="minorHAnsi" w:hAnsiTheme="minorHAnsi" w:cstheme="minorHAnsi"/>
          <w:color w:val="0000E1"/>
          <w:sz w:val="22"/>
          <w:szCs w:val="22"/>
        </w:rPr>
      </w:pPr>
      <w:r w:rsidRPr="009736B1">
        <w:rPr>
          <w:rFonts w:asciiTheme="minorHAnsi" w:hAnsiTheme="minorHAnsi" w:cstheme="minorHAnsi"/>
          <w:color w:val="0000E1"/>
          <w:sz w:val="22"/>
          <w:szCs w:val="22"/>
        </w:rPr>
        <w:t xml:space="preserve">Foley RN, </w:t>
      </w:r>
      <w:proofErr w:type="spellStart"/>
      <w:r w:rsidRPr="009736B1">
        <w:rPr>
          <w:rFonts w:asciiTheme="minorHAnsi" w:hAnsiTheme="minorHAnsi" w:cstheme="minorHAnsi"/>
          <w:color w:val="0000E1"/>
          <w:sz w:val="22"/>
          <w:szCs w:val="22"/>
        </w:rPr>
        <w:t>Parfrey</w:t>
      </w:r>
      <w:proofErr w:type="spellEnd"/>
      <w:r w:rsidRPr="009736B1">
        <w:rPr>
          <w:rFonts w:asciiTheme="minorHAnsi" w:hAnsiTheme="minorHAnsi" w:cstheme="minorHAnsi"/>
          <w:color w:val="0000E1"/>
          <w:sz w:val="22"/>
          <w:szCs w:val="22"/>
        </w:rPr>
        <w:t xml:space="preserve"> PS. Cardiovascular disease and mortality in ESRD. J Nephrol.1998</w:t>
      </w:r>
      <w:r w:rsidR="00EA2D66">
        <w:rPr>
          <w:rFonts w:asciiTheme="minorHAnsi" w:hAnsiTheme="minorHAnsi" w:cstheme="minorHAnsi"/>
          <w:color w:val="0000E1"/>
          <w:sz w:val="22"/>
          <w:szCs w:val="22"/>
        </w:rPr>
        <w:t xml:space="preserve"> </w:t>
      </w:r>
      <w:r w:rsidRPr="009736B1">
        <w:rPr>
          <w:rFonts w:asciiTheme="minorHAnsi" w:hAnsiTheme="minorHAnsi" w:cstheme="minorHAnsi"/>
          <w:color w:val="0000E1"/>
          <w:sz w:val="22"/>
          <w:szCs w:val="22"/>
        </w:rPr>
        <w:t xml:space="preserve">;11(5):239-45. Review. PubMed PMID: </w:t>
      </w:r>
      <w:hyperlink r:id="rId32" w:history="1">
        <w:r w:rsidRPr="009736B1">
          <w:rPr>
            <w:rStyle w:val="Hyperlink"/>
            <w:rFonts w:asciiTheme="minorHAnsi" w:hAnsiTheme="minorHAnsi" w:cstheme="minorHAnsi"/>
            <w:color w:val="0000E1"/>
            <w:sz w:val="22"/>
            <w:szCs w:val="22"/>
          </w:rPr>
          <w:t>9831236</w:t>
        </w:r>
      </w:hyperlink>
      <w:r w:rsidRPr="009736B1">
        <w:rPr>
          <w:rFonts w:asciiTheme="minorHAnsi" w:hAnsiTheme="minorHAnsi" w:cstheme="minorHAnsi"/>
          <w:color w:val="0000E1"/>
          <w:sz w:val="22"/>
          <w:szCs w:val="22"/>
        </w:rPr>
        <w:t>.</w:t>
      </w:r>
    </w:p>
    <w:p w14:paraId="36873F94" w14:textId="77777777" w:rsidR="008D03BA" w:rsidRPr="009736B1" w:rsidRDefault="008D03BA" w:rsidP="00EF2507">
      <w:pPr>
        <w:pStyle w:val="HTMLPreformatted"/>
        <w:numPr>
          <w:ilvl w:val="0"/>
          <w:numId w:val="11"/>
        </w:numPr>
        <w:ind w:left="360"/>
        <w:rPr>
          <w:rFonts w:asciiTheme="minorHAnsi" w:hAnsiTheme="minorHAnsi" w:cstheme="minorHAnsi"/>
          <w:color w:val="0000E1"/>
          <w:sz w:val="22"/>
          <w:szCs w:val="22"/>
        </w:rPr>
      </w:pPr>
      <w:r w:rsidRPr="009736B1">
        <w:rPr>
          <w:rFonts w:asciiTheme="minorHAnsi" w:hAnsiTheme="minorHAnsi" w:cstheme="minorHAnsi"/>
          <w:color w:val="0000E1"/>
          <w:sz w:val="22"/>
          <w:szCs w:val="22"/>
        </w:rPr>
        <w:t xml:space="preserve">Zoccali C, Benedetto FA, </w:t>
      </w:r>
      <w:proofErr w:type="spellStart"/>
      <w:r w:rsidRPr="009736B1">
        <w:rPr>
          <w:rFonts w:asciiTheme="minorHAnsi" w:hAnsiTheme="minorHAnsi" w:cstheme="minorHAnsi"/>
          <w:color w:val="0000E1"/>
          <w:sz w:val="22"/>
          <w:szCs w:val="22"/>
        </w:rPr>
        <w:t>Tripepi</w:t>
      </w:r>
      <w:proofErr w:type="spellEnd"/>
      <w:r w:rsidRPr="009736B1">
        <w:rPr>
          <w:rFonts w:asciiTheme="minorHAnsi" w:hAnsiTheme="minorHAnsi" w:cstheme="minorHAnsi"/>
          <w:color w:val="0000E1"/>
          <w:sz w:val="22"/>
          <w:szCs w:val="22"/>
        </w:rPr>
        <w:t xml:space="preserve"> G, </w:t>
      </w:r>
      <w:proofErr w:type="spellStart"/>
      <w:r w:rsidRPr="009736B1">
        <w:rPr>
          <w:rFonts w:asciiTheme="minorHAnsi" w:hAnsiTheme="minorHAnsi" w:cstheme="minorHAnsi"/>
          <w:color w:val="0000E1"/>
          <w:sz w:val="22"/>
          <w:szCs w:val="22"/>
        </w:rPr>
        <w:t>Mallamaci</w:t>
      </w:r>
      <w:proofErr w:type="spellEnd"/>
      <w:r w:rsidRPr="009736B1">
        <w:rPr>
          <w:rFonts w:asciiTheme="minorHAnsi" w:hAnsiTheme="minorHAnsi" w:cstheme="minorHAnsi"/>
          <w:color w:val="0000E1"/>
          <w:sz w:val="22"/>
          <w:szCs w:val="22"/>
        </w:rPr>
        <w:t xml:space="preserve"> F. Cardiac consequences of hypertension in hemodialysis patients. </w:t>
      </w:r>
      <w:proofErr w:type="spellStart"/>
      <w:r w:rsidRPr="009736B1">
        <w:rPr>
          <w:rFonts w:asciiTheme="minorHAnsi" w:hAnsiTheme="minorHAnsi" w:cstheme="minorHAnsi"/>
          <w:color w:val="0000E1"/>
          <w:sz w:val="22"/>
          <w:szCs w:val="22"/>
        </w:rPr>
        <w:t>Semin</w:t>
      </w:r>
      <w:proofErr w:type="spellEnd"/>
      <w:r w:rsidRPr="009736B1">
        <w:rPr>
          <w:rFonts w:asciiTheme="minorHAnsi" w:hAnsiTheme="minorHAnsi" w:cstheme="minorHAnsi"/>
          <w:color w:val="0000E1"/>
          <w:sz w:val="22"/>
          <w:szCs w:val="22"/>
        </w:rPr>
        <w:t xml:space="preserve"> Dial. 2004</w:t>
      </w:r>
      <w:r w:rsidR="00EA2D66">
        <w:rPr>
          <w:rFonts w:asciiTheme="minorHAnsi" w:hAnsiTheme="minorHAnsi" w:cstheme="minorHAnsi"/>
          <w:color w:val="0000E1"/>
          <w:sz w:val="22"/>
          <w:szCs w:val="22"/>
        </w:rPr>
        <w:t xml:space="preserve"> </w:t>
      </w:r>
      <w:r w:rsidRPr="009736B1">
        <w:rPr>
          <w:rFonts w:asciiTheme="minorHAnsi" w:hAnsiTheme="minorHAnsi" w:cstheme="minorHAnsi"/>
          <w:color w:val="0000E1"/>
          <w:sz w:val="22"/>
          <w:szCs w:val="22"/>
        </w:rPr>
        <w:t xml:space="preserve">;17(4):299-303. PMID: </w:t>
      </w:r>
      <w:hyperlink r:id="rId33" w:history="1">
        <w:r w:rsidRPr="009736B1">
          <w:rPr>
            <w:rStyle w:val="Hyperlink"/>
            <w:rFonts w:asciiTheme="minorHAnsi" w:hAnsiTheme="minorHAnsi" w:cstheme="minorHAnsi"/>
            <w:color w:val="0000E1"/>
            <w:sz w:val="22"/>
            <w:szCs w:val="22"/>
          </w:rPr>
          <w:t>15250922</w:t>
        </w:r>
      </w:hyperlink>
      <w:r w:rsidRPr="009736B1">
        <w:rPr>
          <w:rFonts w:asciiTheme="minorHAnsi" w:hAnsiTheme="minorHAnsi" w:cstheme="minorHAnsi"/>
          <w:color w:val="0000E1"/>
          <w:sz w:val="22"/>
          <w:szCs w:val="22"/>
        </w:rPr>
        <w:t>.</w:t>
      </w:r>
    </w:p>
    <w:p w14:paraId="7D9EDB77" w14:textId="77777777" w:rsidR="008D03BA" w:rsidRPr="009736B1" w:rsidRDefault="008D03BA" w:rsidP="00EF2507">
      <w:pPr>
        <w:pStyle w:val="HTMLPreformatted"/>
        <w:numPr>
          <w:ilvl w:val="0"/>
          <w:numId w:val="11"/>
        </w:numPr>
        <w:ind w:left="360"/>
        <w:rPr>
          <w:rFonts w:asciiTheme="minorHAnsi" w:hAnsiTheme="minorHAnsi" w:cstheme="minorHAnsi"/>
          <w:color w:val="0000E1"/>
          <w:sz w:val="22"/>
          <w:szCs w:val="22"/>
        </w:rPr>
      </w:pPr>
      <w:r w:rsidRPr="009736B1">
        <w:rPr>
          <w:rFonts w:asciiTheme="minorHAnsi" w:hAnsiTheme="minorHAnsi" w:cstheme="minorHAnsi"/>
          <w:color w:val="0000E1"/>
          <w:sz w:val="22"/>
          <w:szCs w:val="22"/>
          <w:shd w:val="clear" w:color="auto" w:fill="FFFFFF"/>
        </w:rPr>
        <w:t>United States Renal Data System. 2016 USRDS annual data report: Epidemiology of kidney disease in the United States. National Institutes of Health, National Institute of Diabetes and Digestive and Kidney Diseases, Bethesda, MD, 2016. Available at: https://www.usrds.org/2016/view/default.aspx</w:t>
      </w:r>
    </w:p>
    <w:p w14:paraId="5256681A" w14:textId="77777777" w:rsidR="008D03BA" w:rsidRPr="009736B1" w:rsidRDefault="008D03BA" w:rsidP="00EF2507">
      <w:pPr>
        <w:pStyle w:val="HTMLPreformatted"/>
        <w:numPr>
          <w:ilvl w:val="0"/>
          <w:numId w:val="11"/>
        </w:numPr>
        <w:ind w:left="360"/>
        <w:rPr>
          <w:rFonts w:asciiTheme="minorHAnsi" w:hAnsiTheme="minorHAnsi" w:cstheme="minorHAnsi"/>
          <w:color w:val="0000E1"/>
          <w:sz w:val="22"/>
          <w:szCs w:val="22"/>
        </w:rPr>
      </w:pPr>
      <w:proofErr w:type="spellStart"/>
      <w:r w:rsidRPr="009736B1">
        <w:rPr>
          <w:rFonts w:asciiTheme="minorHAnsi" w:hAnsiTheme="minorHAnsi" w:cstheme="minorHAnsi"/>
          <w:color w:val="0000E1"/>
          <w:sz w:val="22"/>
          <w:szCs w:val="22"/>
        </w:rPr>
        <w:t>Wanner</w:t>
      </w:r>
      <w:proofErr w:type="spellEnd"/>
      <w:r w:rsidRPr="009736B1">
        <w:rPr>
          <w:rFonts w:asciiTheme="minorHAnsi" w:hAnsiTheme="minorHAnsi" w:cstheme="minorHAnsi"/>
          <w:color w:val="0000E1"/>
          <w:sz w:val="22"/>
          <w:szCs w:val="22"/>
        </w:rPr>
        <w:t xml:space="preserve"> C, Tonelli M. KDIGO Clinical Practice Guideline for Lipid Management in CKD: summary of recommendation statements and clinical approach to the patient. Kidney Int. 2014;</w:t>
      </w:r>
      <w:r w:rsidR="00EA2D66">
        <w:rPr>
          <w:rFonts w:asciiTheme="minorHAnsi" w:hAnsiTheme="minorHAnsi" w:cstheme="minorHAnsi"/>
          <w:color w:val="0000E1"/>
          <w:sz w:val="22"/>
          <w:szCs w:val="22"/>
        </w:rPr>
        <w:t xml:space="preserve"> </w:t>
      </w:r>
      <w:r w:rsidRPr="009736B1">
        <w:rPr>
          <w:rFonts w:asciiTheme="minorHAnsi" w:hAnsiTheme="minorHAnsi" w:cstheme="minorHAnsi"/>
          <w:color w:val="0000E1"/>
          <w:sz w:val="22"/>
          <w:szCs w:val="22"/>
        </w:rPr>
        <w:t xml:space="preserve">85(6):1303-9. PMID: </w:t>
      </w:r>
      <w:hyperlink r:id="rId34" w:history="1">
        <w:r w:rsidRPr="009736B1">
          <w:rPr>
            <w:rStyle w:val="Hyperlink"/>
            <w:rFonts w:asciiTheme="minorHAnsi" w:hAnsiTheme="minorHAnsi" w:cstheme="minorHAnsi"/>
            <w:color w:val="0000E1"/>
            <w:sz w:val="22"/>
            <w:szCs w:val="22"/>
          </w:rPr>
          <w:t>24552851</w:t>
        </w:r>
      </w:hyperlink>
      <w:r w:rsidRPr="009736B1">
        <w:rPr>
          <w:rFonts w:asciiTheme="minorHAnsi" w:hAnsiTheme="minorHAnsi" w:cstheme="minorHAnsi"/>
          <w:color w:val="0000E1"/>
          <w:sz w:val="22"/>
          <w:szCs w:val="22"/>
        </w:rPr>
        <w:t>.</w:t>
      </w:r>
    </w:p>
    <w:p w14:paraId="57E4A1A8" w14:textId="77777777" w:rsidR="00D22628" w:rsidRPr="007D0DFD" w:rsidRDefault="008D03BA" w:rsidP="00EF2507">
      <w:pPr>
        <w:pStyle w:val="ListParagraph"/>
        <w:numPr>
          <w:ilvl w:val="0"/>
          <w:numId w:val="11"/>
        </w:numPr>
        <w:autoSpaceDE w:val="0"/>
        <w:autoSpaceDN w:val="0"/>
        <w:adjustRightInd w:val="0"/>
        <w:spacing w:after="0" w:line="240" w:lineRule="auto"/>
        <w:ind w:left="360"/>
        <w:rPr>
          <w:rFonts w:cstheme="minorHAnsi"/>
          <w:color w:val="000000"/>
        </w:rPr>
      </w:pPr>
      <w:r w:rsidRPr="007D0DFD">
        <w:rPr>
          <w:rFonts w:cstheme="minorHAnsi"/>
          <w:color w:val="0000E1"/>
        </w:rPr>
        <w:t xml:space="preserve">Stolpe S, </w:t>
      </w:r>
      <w:proofErr w:type="spellStart"/>
      <w:r w:rsidRPr="007D0DFD">
        <w:rPr>
          <w:rFonts w:cstheme="minorHAnsi"/>
          <w:color w:val="0000E1"/>
        </w:rPr>
        <w:t>Kroes</w:t>
      </w:r>
      <w:proofErr w:type="spellEnd"/>
      <w:r w:rsidRPr="007D0DFD">
        <w:rPr>
          <w:rFonts w:cstheme="minorHAnsi"/>
          <w:color w:val="0000E1"/>
        </w:rPr>
        <w:t xml:space="preserve"> MA, Webb N, Wisniewski T. A Systematic Review of Insulin Adherence Measures in Patients with Diabetes. J </w:t>
      </w:r>
      <w:proofErr w:type="spellStart"/>
      <w:r w:rsidRPr="007D0DFD">
        <w:rPr>
          <w:rFonts w:cstheme="minorHAnsi"/>
          <w:color w:val="0000E1"/>
        </w:rPr>
        <w:t>Manag</w:t>
      </w:r>
      <w:proofErr w:type="spellEnd"/>
      <w:r w:rsidRPr="007D0DFD">
        <w:rPr>
          <w:rFonts w:cstheme="minorHAnsi"/>
          <w:color w:val="0000E1"/>
        </w:rPr>
        <w:t xml:space="preserve"> Care Spec Pharm. 2016;</w:t>
      </w:r>
      <w:r w:rsidR="00EA2D66">
        <w:rPr>
          <w:rFonts w:cstheme="minorHAnsi"/>
          <w:color w:val="0000E1"/>
        </w:rPr>
        <w:t xml:space="preserve"> </w:t>
      </w:r>
      <w:r w:rsidRPr="007D0DFD">
        <w:rPr>
          <w:rFonts w:cstheme="minorHAnsi"/>
          <w:color w:val="0000E1"/>
        </w:rPr>
        <w:t xml:space="preserve">22(11):1224-1246. PMID: </w:t>
      </w:r>
      <w:hyperlink r:id="rId35" w:history="1">
        <w:r w:rsidRPr="007D0DFD">
          <w:rPr>
            <w:rStyle w:val="Hyperlink"/>
            <w:rFonts w:cstheme="minorHAnsi"/>
            <w:color w:val="0000E1"/>
          </w:rPr>
          <w:t>27783551</w:t>
        </w:r>
      </w:hyperlink>
      <w:r w:rsidRPr="007D0DFD">
        <w:rPr>
          <w:rFonts w:cstheme="minorHAnsi"/>
          <w:color w:val="000000"/>
        </w:rPr>
        <w:t>.</w:t>
      </w:r>
    </w:p>
    <w:p w14:paraId="791A9FAA" w14:textId="77777777" w:rsidR="008D03BA" w:rsidRPr="00A25024" w:rsidRDefault="008D03BA" w:rsidP="00EF2507">
      <w:pPr>
        <w:autoSpaceDE w:val="0"/>
        <w:autoSpaceDN w:val="0"/>
        <w:adjustRightInd w:val="0"/>
        <w:spacing w:after="0" w:line="240" w:lineRule="auto"/>
        <w:rPr>
          <w:rFonts w:cstheme="minorHAnsi"/>
          <w:bCs/>
        </w:rPr>
      </w:pPr>
    </w:p>
    <w:p w14:paraId="0D6C43B5" w14:textId="77777777" w:rsidR="0096725C" w:rsidRDefault="00092566" w:rsidP="00EF250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0D6E2F7A" w14:textId="77777777" w:rsidR="0082295E" w:rsidRPr="00115587" w:rsidRDefault="00E46A3F" w:rsidP="00EF2507">
      <w:pPr>
        <w:autoSpaceDE w:val="0"/>
        <w:autoSpaceDN w:val="0"/>
        <w:adjustRightInd w:val="0"/>
        <w:spacing w:after="0" w:line="240" w:lineRule="auto"/>
        <w:rPr>
          <w:rFonts w:cstheme="minorHAnsi"/>
          <w:bCs/>
          <w:color w:val="0000E1"/>
        </w:rPr>
      </w:pPr>
      <w:r w:rsidRPr="00115587">
        <w:rPr>
          <w:rFonts w:cstheme="minorHAnsi"/>
          <w:bCs/>
          <w:color w:val="0000E1"/>
        </w:rPr>
        <w:t xml:space="preserve">For the Medicare population, </w:t>
      </w:r>
      <w:r w:rsidR="00D251DB" w:rsidRPr="00115587">
        <w:rPr>
          <w:rFonts w:cstheme="minorHAnsi"/>
          <w:bCs/>
          <w:color w:val="0000E1"/>
        </w:rPr>
        <w:t xml:space="preserve">overall, the percentage of individuals excluded were </w:t>
      </w:r>
      <w:r w:rsidR="00EF2507">
        <w:rPr>
          <w:rFonts w:cstheme="minorHAnsi"/>
          <w:bCs/>
          <w:color w:val="0000E1"/>
        </w:rPr>
        <w:t>&lt;1%</w:t>
      </w:r>
      <w:r w:rsidR="00503F52" w:rsidRPr="00115587">
        <w:rPr>
          <w:rFonts w:cstheme="minorHAnsi"/>
          <w:bCs/>
          <w:color w:val="0000E1"/>
        </w:rPr>
        <w:t xml:space="preserve"> </w:t>
      </w:r>
      <w:r w:rsidR="00D251DB" w:rsidRPr="00115587">
        <w:rPr>
          <w:rFonts w:cstheme="minorHAnsi"/>
          <w:bCs/>
          <w:color w:val="0000E1"/>
        </w:rPr>
        <w:t xml:space="preserve">(except for insulin for Diabetes). However, at the plan-contract level, </w:t>
      </w:r>
      <w:r w:rsidR="00503F52" w:rsidRPr="00115587">
        <w:rPr>
          <w:rFonts w:cstheme="minorHAnsi"/>
          <w:bCs/>
          <w:color w:val="0000E1"/>
        </w:rPr>
        <w:t xml:space="preserve">some plan-contracts were disproportionately impacted, with </w:t>
      </w:r>
      <w:r w:rsidRPr="00115587">
        <w:rPr>
          <w:rFonts w:cstheme="minorHAnsi"/>
          <w:bCs/>
          <w:color w:val="0000E1"/>
        </w:rPr>
        <w:t>the</w:t>
      </w:r>
      <w:r w:rsidR="00982B75" w:rsidRPr="00115587">
        <w:rPr>
          <w:rFonts w:cstheme="minorHAnsi"/>
          <w:bCs/>
          <w:color w:val="0000E1"/>
        </w:rPr>
        <w:t xml:space="preserve"> percentage of individuals in hospice who were excluded from the measure </w:t>
      </w:r>
      <w:r w:rsidR="00503F52" w:rsidRPr="00115587">
        <w:rPr>
          <w:rFonts w:cstheme="minorHAnsi"/>
          <w:bCs/>
          <w:color w:val="0000E1"/>
        </w:rPr>
        <w:t>ranging</w:t>
      </w:r>
      <w:r w:rsidRPr="00115587">
        <w:rPr>
          <w:rFonts w:cstheme="minorHAnsi"/>
          <w:bCs/>
          <w:color w:val="0000E1"/>
        </w:rPr>
        <w:t xml:space="preserve"> from 0.0% to </w:t>
      </w:r>
      <w:r w:rsidR="005F7563" w:rsidRPr="00115587">
        <w:rPr>
          <w:rFonts w:cstheme="minorHAnsi"/>
          <w:bCs/>
          <w:color w:val="0000E1"/>
        </w:rPr>
        <w:t>3.8</w:t>
      </w:r>
      <w:r w:rsidRPr="00115587">
        <w:rPr>
          <w:rFonts w:cstheme="minorHAnsi"/>
          <w:bCs/>
          <w:color w:val="0000E1"/>
        </w:rPr>
        <w:t xml:space="preserve">% for Diabetes, </w:t>
      </w:r>
      <w:r w:rsidR="00BD06E6" w:rsidRPr="00115587">
        <w:rPr>
          <w:rFonts w:cstheme="minorHAnsi"/>
          <w:bCs/>
          <w:color w:val="0000E1"/>
        </w:rPr>
        <w:t xml:space="preserve">0.0% - </w:t>
      </w:r>
      <w:r w:rsidR="00B069FF" w:rsidRPr="00115587">
        <w:rPr>
          <w:rFonts w:cstheme="minorHAnsi"/>
          <w:bCs/>
          <w:color w:val="0000E1"/>
        </w:rPr>
        <w:t>4.8</w:t>
      </w:r>
      <w:r w:rsidR="00982B75" w:rsidRPr="00115587">
        <w:rPr>
          <w:rFonts w:cstheme="minorHAnsi"/>
          <w:bCs/>
          <w:color w:val="0000E1"/>
        </w:rPr>
        <w:t xml:space="preserve">% for RASA and </w:t>
      </w:r>
      <w:r w:rsidR="00BD06E6" w:rsidRPr="00115587">
        <w:rPr>
          <w:rFonts w:cstheme="minorHAnsi"/>
          <w:bCs/>
          <w:color w:val="0000E1"/>
        </w:rPr>
        <w:t>0.0</w:t>
      </w:r>
      <w:r w:rsidR="00982B75" w:rsidRPr="00115587">
        <w:rPr>
          <w:rFonts w:cstheme="minorHAnsi"/>
          <w:bCs/>
          <w:color w:val="0000E1"/>
        </w:rPr>
        <w:t xml:space="preserve">% - </w:t>
      </w:r>
      <w:r w:rsidR="00B069FF" w:rsidRPr="00115587">
        <w:rPr>
          <w:rFonts w:cstheme="minorHAnsi"/>
          <w:bCs/>
          <w:color w:val="0000E1"/>
        </w:rPr>
        <w:t>5.6</w:t>
      </w:r>
      <w:r w:rsidR="00982B75" w:rsidRPr="00115587">
        <w:rPr>
          <w:rFonts w:cstheme="minorHAnsi"/>
          <w:bCs/>
          <w:color w:val="0000E1"/>
        </w:rPr>
        <w:t>% for Statins.</w:t>
      </w:r>
      <w:r w:rsidR="005270F4" w:rsidRPr="00115587">
        <w:rPr>
          <w:rFonts w:cstheme="minorHAnsi"/>
          <w:bCs/>
          <w:color w:val="0000E1"/>
        </w:rPr>
        <w:t xml:space="preserve"> </w:t>
      </w:r>
      <w:r w:rsidRPr="00115587">
        <w:rPr>
          <w:rFonts w:cstheme="minorHAnsi"/>
          <w:bCs/>
          <w:color w:val="0000E1"/>
        </w:rPr>
        <w:t>The</w:t>
      </w:r>
      <w:r w:rsidR="00982B75" w:rsidRPr="00115587">
        <w:rPr>
          <w:rFonts w:cstheme="minorHAnsi"/>
          <w:bCs/>
          <w:color w:val="0000E1"/>
        </w:rPr>
        <w:t xml:space="preserve"> ESRD exclusions among plan-</w:t>
      </w:r>
      <w:r w:rsidRPr="00115587">
        <w:rPr>
          <w:rFonts w:cstheme="minorHAnsi"/>
          <w:bCs/>
          <w:color w:val="0000E1"/>
        </w:rPr>
        <w:t xml:space="preserve">contracts ranged from 0.0% to </w:t>
      </w:r>
      <w:r w:rsidR="005F7563" w:rsidRPr="00115587">
        <w:rPr>
          <w:rFonts w:cstheme="minorHAnsi"/>
          <w:bCs/>
          <w:color w:val="0000E1"/>
        </w:rPr>
        <w:t>9.6</w:t>
      </w:r>
      <w:r w:rsidR="00982B75" w:rsidRPr="00115587">
        <w:rPr>
          <w:rFonts w:cstheme="minorHAnsi"/>
          <w:bCs/>
          <w:color w:val="0000E1"/>
        </w:rPr>
        <w:t xml:space="preserve">% for Diabetes, 0.0% to </w:t>
      </w:r>
      <w:r w:rsidR="00B069FF" w:rsidRPr="00115587">
        <w:rPr>
          <w:rFonts w:cstheme="minorHAnsi"/>
          <w:bCs/>
          <w:color w:val="0000E1"/>
        </w:rPr>
        <w:t>16.4</w:t>
      </w:r>
      <w:r w:rsidR="00982B75" w:rsidRPr="00115587">
        <w:rPr>
          <w:rFonts w:cstheme="minorHAnsi"/>
          <w:bCs/>
          <w:color w:val="0000E1"/>
        </w:rPr>
        <w:t xml:space="preserve">% for RASA and </w:t>
      </w:r>
      <w:r w:rsidR="00BD06E6" w:rsidRPr="00115587">
        <w:rPr>
          <w:rFonts w:cstheme="minorHAnsi"/>
          <w:bCs/>
          <w:color w:val="0000E1"/>
        </w:rPr>
        <w:t>0.0</w:t>
      </w:r>
      <w:r w:rsidR="00982B75" w:rsidRPr="00115587">
        <w:rPr>
          <w:rFonts w:cstheme="minorHAnsi"/>
          <w:bCs/>
          <w:color w:val="0000E1"/>
        </w:rPr>
        <w:t xml:space="preserve">% - </w:t>
      </w:r>
      <w:r w:rsidR="00B069FF" w:rsidRPr="00115587">
        <w:rPr>
          <w:rFonts w:cstheme="minorHAnsi"/>
          <w:bCs/>
          <w:color w:val="0000E1"/>
        </w:rPr>
        <w:t>21.9</w:t>
      </w:r>
      <w:r w:rsidR="00982B75" w:rsidRPr="00115587">
        <w:rPr>
          <w:rFonts w:cstheme="minorHAnsi"/>
          <w:bCs/>
          <w:color w:val="0000E1"/>
        </w:rPr>
        <w:t>% for Statins</w:t>
      </w:r>
      <w:r w:rsidR="005270F4" w:rsidRPr="00115587">
        <w:rPr>
          <w:rFonts w:cstheme="minorHAnsi"/>
          <w:bCs/>
          <w:color w:val="0000E1"/>
        </w:rPr>
        <w:t xml:space="preserve">. </w:t>
      </w:r>
    </w:p>
    <w:p w14:paraId="06C7388C" w14:textId="463A5053" w:rsidR="008902BF" w:rsidRPr="00115587" w:rsidRDefault="00982B75" w:rsidP="00EF2507">
      <w:pPr>
        <w:autoSpaceDE w:val="0"/>
        <w:autoSpaceDN w:val="0"/>
        <w:adjustRightInd w:val="0"/>
        <w:spacing w:after="0" w:line="240" w:lineRule="auto"/>
        <w:rPr>
          <w:rFonts w:cstheme="minorHAnsi"/>
          <w:bCs/>
          <w:color w:val="0000E1"/>
        </w:rPr>
      </w:pPr>
      <w:r w:rsidRPr="00115587">
        <w:rPr>
          <w:rFonts w:cstheme="minorHAnsi"/>
          <w:bCs/>
          <w:color w:val="0000E1"/>
        </w:rPr>
        <w:t xml:space="preserve">In addition, for Diabetes, individuals on insulin are excluded </w:t>
      </w:r>
      <w:r w:rsidR="009C2192">
        <w:rPr>
          <w:rFonts w:cstheme="minorHAnsi"/>
          <w:bCs/>
          <w:color w:val="0000E1"/>
        </w:rPr>
        <w:t>from the measure</w:t>
      </w:r>
      <w:r w:rsidRPr="00115587">
        <w:rPr>
          <w:rFonts w:cstheme="minorHAnsi"/>
          <w:bCs/>
          <w:color w:val="0000E1"/>
        </w:rPr>
        <w:t xml:space="preserve">. This exclusion ranged from 0.0% - </w:t>
      </w:r>
      <w:r w:rsidR="005F7563" w:rsidRPr="00115587">
        <w:rPr>
          <w:rFonts w:cstheme="minorHAnsi"/>
          <w:bCs/>
          <w:color w:val="0000E1"/>
        </w:rPr>
        <w:t>26.2</w:t>
      </w:r>
      <w:r w:rsidRPr="00115587">
        <w:rPr>
          <w:rFonts w:cstheme="minorHAnsi"/>
          <w:bCs/>
          <w:color w:val="0000E1"/>
        </w:rPr>
        <w:t xml:space="preserve">% </w:t>
      </w:r>
      <w:r w:rsidR="000623D2" w:rsidRPr="00115587">
        <w:rPr>
          <w:rFonts w:cstheme="minorHAnsi"/>
          <w:bCs/>
          <w:color w:val="0000E1"/>
        </w:rPr>
        <w:t xml:space="preserve">of individuals </w:t>
      </w:r>
      <w:r w:rsidR="005270F4" w:rsidRPr="00115587">
        <w:rPr>
          <w:rFonts w:cstheme="minorHAnsi"/>
          <w:bCs/>
          <w:color w:val="0000E1"/>
        </w:rPr>
        <w:t>i</w:t>
      </w:r>
      <w:r w:rsidR="0061194B">
        <w:rPr>
          <w:rFonts w:cstheme="minorHAnsi"/>
          <w:bCs/>
          <w:color w:val="0000E1"/>
        </w:rPr>
        <w:t xml:space="preserve">mpacted within plan-contracts. </w:t>
      </w:r>
      <w:r w:rsidR="005270F4" w:rsidRPr="00115587">
        <w:rPr>
          <w:rFonts w:cstheme="minorHAnsi"/>
          <w:bCs/>
          <w:color w:val="0000E1"/>
        </w:rPr>
        <w:t xml:space="preserve">For RASA, individuals are excluded if </w:t>
      </w:r>
      <w:r w:rsidR="005270F4" w:rsidRPr="00115587">
        <w:rPr>
          <w:rFonts w:cstheme="minorHAnsi"/>
          <w:bCs/>
          <w:color w:val="0000E1"/>
        </w:rPr>
        <w:lastRenderedPageBreak/>
        <w:t xml:space="preserve">they were on </w:t>
      </w:r>
      <w:r w:rsidR="000623D2" w:rsidRPr="00115587">
        <w:rPr>
          <w:rFonts w:cstheme="minorHAnsi"/>
          <w:bCs/>
          <w:color w:val="0000E1"/>
        </w:rPr>
        <w:t>sacubitril/valsartan</w:t>
      </w:r>
      <w:r w:rsidR="005270F4" w:rsidRPr="00115587">
        <w:rPr>
          <w:rFonts w:cstheme="minorHAnsi"/>
          <w:bCs/>
          <w:color w:val="0000E1"/>
        </w:rPr>
        <w:t xml:space="preserve"> </w:t>
      </w:r>
      <w:r w:rsidR="000623D2" w:rsidRPr="00115587">
        <w:rPr>
          <w:rFonts w:cstheme="minorHAnsi"/>
          <w:bCs/>
          <w:color w:val="0000E1"/>
        </w:rPr>
        <w:t xml:space="preserve">at any time </w:t>
      </w:r>
      <w:r w:rsidR="00E40B89">
        <w:rPr>
          <w:rFonts w:cstheme="minorHAnsi"/>
          <w:bCs/>
          <w:color w:val="0000E1"/>
        </w:rPr>
        <w:t xml:space="preserve">during the measurement year. </w:t>
      </w:r>
      <w:r w:rsidR="005270F4" w:rsidRPr="00115587">
        <w:rPr>
          <w:rFonts w:cstheme="minorHAnsi"/>
          <w:bCs/>
          <w:color w:val="0000E1"/>
        </w:rPr>
        <w:t xml:space="preserve">This exclusion ranged from 0.0% - </w:t>
      </w:r>
      <w:r w:rsidR="00B069FF" w:rsidRPr="00115587">
        <w:rPr>
          <w:rFonts w:cstheme="minorHAnsi"/>
          <w:bCs/>
          <w:color w:val="0000E1"/>
        </w:rPr>
        <w:t>3</w:t>
      </w:r>
      <w:r w:rsidR="00BD06E6" w:rsidRPr="00115587">
        <w:rPr>
          <w:rFonts w:cstheme="minorHAnsi"/>
          <w:bCs/>
          <w:color w:val="0000E1"/>
        </w:rPr>
        <w:t>.3</w:t>
      </w:r>
      <w:r w:rsidR="005270F4" w:rsidRPr="00115587">
        <w:rPr>
          <w:rFonts w:cstheme="minorHAnsi"/>
          <w:bCs/>
          <w:color w:val="0000E1"/>
        </w:rPr>
        <w:t xml:space="preserve">% </w:t>
      </w:r>
      <w:r w:rsidR="000623D2" w:rsidRPr="00115587">
        <w:rPr>
          <w:rFonts w:cstheme="minorHAnsi"/>
          <w:bCs/>
          <w:color w:val="0000E1"/>
        </w:rPr>
        <w:t xml:space="preserve">of individuals </w:t>
      </w:r>
      <w:r w:rsidR="005270F4" w:rsidRPr="00115587">
        <w:rPr>
          <w:rFonts w:cstheme="minorHAnsi"/>
          <w:bCs/>
          <w:color w:val="0000E1"/>
        </w:rPr>
        <w:t xml:space="preserve">impacted within plan-contracts. </w:t>
      </w:r>
      <w:r w:rsidR="008A70AC" w:rsidRPr="00115587">
        <w:rPr>
          <w:rFonts w:cstheme="minorHAnsi"/>
          <w:bCs/>
          <w:color w:val="0000E1"/>
        </w:rPr>
        <w:t>(see Table 7</w:t>
      </w:r>
      <w:r w:rsidR="001500A7" w:rsidRPr="00115587">
        <w:rPr>
          <w:rFonts w:cstheme="minorHAnsi"/>
          <w:bCs/>
          <w:color w:val="0000E1"/>
        </w:rPr>
        <w:t>).</w:t>
      </w:r>
    </w:p>
    <w:p w14:paraId="23D114F3" w14:textId="77777777" w:rsidR="001500A7" w:rsidRPr="00115587" w:rsidRDefault="001500A7" w:rsidP="00EF2507">
      <w:pPr>
        <w:autoSpaceDE w:val="0"/>
        <w:autoSpaceDN w:val="0"/>
        <w:adjustRightInd w:val="0"/>
        <w:spacing w:after="0" w:line="240" w:lineRule="auto"/>
        <w:rPr>
          <w:rFonts w:cstheme="minorHAnsi"/>
          <w:bCs/>
          <w:color w:val="0000E1"/>
        </w:rPr>
      </w:pPr>
    </w:p>
    <w:p w14:paraId="271D69B3" w14:textId="77777777" w:rsidR="00CC25A6" w:rsidRPr="00115587" w:rsidRDefault="008A70AC" w:rsidP="00E46A3F">
      <w:pPr>
        <w:autoSpaceDE w:val="0"/>
        <w:autoSpaceDN w:val="0"/>
        <w:adjustRightInd w:val="0"/>
        <w:spacing w:after="0" w:line="240" w:lineRule="auto"/>
        <w:rPr>
          <w:rFonts w:cstheme="minorHAnsi"/>
          <w:b/>
          <w:bCs/>
          <w:color w:val="0000E1"/>
        </w:rPr>
      </w:pPr>
      <w:r w:rsidRPr="00115587">
        <w:rPr>
          <w:rFonts w:cstheme="minorHAnsi"/>
          <w:b/>
          <w:bCs/>
          <w:color w:val="0000E1"/>
        </w:rPr>
        <w:t>Table 7</w:t>
      </w:r>
      <w:r w:rsidR="00CC25A6" w:rsidRPr="00115587">
        <w:rPr>
          <w:rFonts w:cstheme="minorHAnsi"/>
          <w:b/>
          <w:bCs/>
          <w:color w:val="0000E1"/>
        </w:rPr>
        <w:t>. Means Distribution of Proportion of Individuals Impacted Across Plan-Contracts for Medicare</w:t>
      </w:r>
    </w:p>
    <w:tbl>
      <w:tblPr>
        <w:tblStyle w:val="TableGrid"/>
        <w:tblW w:w="9425" w:type="dxa"/>
        <w:tblInd w:w="-5" w:type="dxa"/>
        <w:tblLook w:val="04A0" w:firstRow="1" w:lastRow="0" w:firstColumn="1" w:lastColumn="0" w:noHBand="0" w:noVBand="1"/>
      </w:tblPr>
      <w:tblGrid>
        <w:gridCol w:w="2986"/>
        <w:gridCol w:w="997"/>
        <w:gridCol w:w="997"/>
        <w:gridCol w:w="4445"/>
      </w:tblGrid>
      <w:tr w:rsidR="00A408D6" w:rsidRPr="00115587" w14:paraId="68FAF477" w14:textId="77777777" w:rsidTr="00C061E6">
        <w:trPr>
          <w:trHeight w:val="372"/>
        </w:trPr>
        <w:tc>
          <w:tcPr>
            <w:tcW w:w="2986" w:type="dxa"/>
          </w:tcPr>
          <w:p w14:paraId="2E6CAD14" w14:textId="77777777" w:rsidR="00A408D6" w:rsidRPr="00115587" w:rsidRDefault="00A408D6" w:rsidP="00AD082E">
            <w:pPr>
              <w:autoSpaceDE w:val="0"/>
              <w:autoSpaceDN w:val="0"/>
              <w:adjustRightInd w:val="0"/>
              <w:jc w:val="center"/>
              <w:rPr>
                <w:rFonts w:cstheme="minorHAnsi"/>
                <w:b/>
                <w:bCs/>
                <w:color w:val="0000E1"/>
              </w:rPr>
            </w:pPr>
            <w:r w:rsidRPr="00115587">
              <w:rPr>
                <w:rFonts w:cstheme="minorHAnsi"/>
                <w:b/>
                <w:bCs/>
                <w:color w:val="0000E1"/>
              </w:rPr>
              <w:t>Exclusion by therapeutic class</w:t>
            </w:r>
          </w:p>
          <w:p w14:paraId="1A38A2D2" w14:textId="77777777" w:rsidR="005F7563" w:rsidRPr="00115587" w:rsidRDefault="005F7563" w:rsidP="00AD082E">
            <w:pPr>
              <w:autoSpaceDE w:val="0"/>
              <w:autoSpaceDN w:val="0"/>
              <w:adjustRightInd w:val="0"/>
              <w:jc w:val="center"/>
              <w:rPr>
                <w:rFonts w:cstheme="minorHAnsi"/>
                <w:b/>
                <w:bCs/>
                <w:color w:val="0000E1"/>
              </w:rPr>
            </w:pPr>
            <w:r w:rsidRPr="00115587">
              <w:rPr>
                <w:rFonts w:cstheme="minorHAnsi"/>
                <w:b/>
                <w:bCs/>
                <w:color w:val="0000E1"/>
              </w:rPr>
              <w:t>(n = 2,203,754)</w:t>
            </w:r>
          </w:p>
        </w:tc>
        <w:tc>
          <w:tcPr>
            <w:tcW w:w="997" w:type="dxa"/>
          </w:tcPr>
          <w:p w14:paraId="09CB21DE" w14:textId="77777777" w:rsidR="00A408D6" w:rsidRPr="00115587" w:rsidRDefault="00A408D6" w:rsidP="00A408D6">
            <w:pPr>
              <w:autoSpaceDE w:val="0"/>
              <w:autoSpaceDN w:val="0"/>
              <w:adjustRightInd w:val="0"/>
              <w:jc w:val="center"/>
              <w:rPr>
                <w:rFonts w:cstheme="minorHAnsi"/>
                <w:b/>
                <w:bCs/>
                <w:color w:val="0000E1"/>
              </w:rPr>
            </w:pPr>
            <w:r w:rsidRPr="00115587">
              <w:rPr>
                <w:rFonts w:cstheme="minorHAnsi"/>
                <w:b/>
                <w:bCs/>
                <w:color w:val="0000E1"/>
              </w:rPr>
              <w:t>N</w:t>
            </w:r>
          </w:p>
        </w:tc>
        <w:tc>
          <w:tcPr>
            <w:tcW w:w="997" w:type="dxa"/>
          </w:tcPr>
          <w:p w14:paraId="50DEF161" w14:textId="77777777" w:rsidR="00A408D6" w:rsidRPr="00115587" w:rsidRDefault="00A408D6" w:rsidP="00A408D6">
            <w:pPr>
              <w:autoSpaceDE w:val="0"/>
              <w:autoSpaceDN w:val="0"/>
              <w:adjustRightInd w:val="0"/>
              <w:jc w:val="center"/>
              <w:rPr>
                <w:rFonts w:cstheme="minorHAnsi"/>
                <w:b/>
                <w:bCs/>
                <w:color w:val="0000E1"/>
              </w:rPr>
            </w:pPr>
            <w:r w:rsidRPr="00115587">
              <w:rPr>
                <w:rFonts w:cstheme="minorHAnsi"/>
                <w:b/>
                <w:bCs/>
                <w:color w:val="0000E1"/>
              </w:rPr>
              <w:t>%</w:t>
            </w:r>
          </w:p>
        </w:tc>
        <w:tc>
          <w:tcPr>
            <w:tcW w:w="4443" w:type="dxa"/>
          </w:tcPr>
          <w:p w14:paraId="13DEE4C4" w14:textId="77777777" w:rsidR="00A408D6" w:rsidRPr="00115587" w:rsidRDefault="00A408D6" w:rsidP="00A408D6">
            <w:pPr>
              <w:autoSpaceDE w:val="0"/>
              <w:autoSpaceDN w:val="0"/>
              <w:adjustRightInd w:val="0"/>
              <w:jc w:val="center"/>
              <w:rPr>
                <w:rFonts w:cstheme="minorHAnsi"/>
                <w:b/>
                <w:bCs/>
                <w:color w:val="0000E1"/>
              </w:rPr>
            </w:pPr>
            <w:r w:rsidRPr="00115587">
              <w:rPr>
                <w:rFonts w:cstheme="minorHAnsi"/>
                <w:b/>
                <w:bCs/>
                <w:color w:val="0000E1"/>
              </w:rPr>
              <w:t>Distribution across plan-contracts; min, 25</w:t>
            </w:r>
            <w:r w:rsidRPr="00115587">
              <w:rPr>
                <w:rFonts w:cstheme="minorHAnsi"/>
                <w:b/>
                <w:bCs/>
                <w:color w:val="0000E1"/>
                <w:vertAlign w:val="superscript"/>
              </w:rPr>
              <w:t>th</w:t>
            </w:r>
            <w:r w:rsidRPr="00115587">
              <w:rPr>
                <w:rFonts w:cstheme="minorHAnsi"/>
                <w:b/>
                <w:bCs/>
                <w:color w:val="0000E1"/>
              </w:rPr>
              <w:t>, 50</w:t>
            </w:r>
            <w:r w:rsidRPr="00115587">
              <w:rPr>
                <w:rFonts w:cstheme="minorHAnsi"/>
                <w:b/>
                <w:bCs/>
                <w:color w:val="0000E1"/>
                <w:vertAlign w:val="superscript"/>
              </w:rPr>
              <w:t>th</w:t>
            </w:r>
            <w:r w:rsidRPr="00115587">
              <w:rPr>
                <w:rFonts w:cstheme="minorHAnsi"/>
                <w:b/>
                <w:bCs/>
                <w:color w:val="0000E1"/>
              </w:rPr>
              <w:t>, 75</w:t>
            </w:r>
            <w:r w:rsidRPr="00115587">
              <w:rPr>
                <w:rFonts w:cstheme="minorHAnsi"/>
                <w:b/>
                <w:bCs/>
                <w:color w:val="0000E1"/>
                <w:vertAlign w:val="superscript"/>
              </w:rPr>
              <w:t>th</w:t>
            </w:r>
            <w:r w:rsidRPr="00115587">
              <w:rPr>
                <w:rFonts w:cstheme="minorHAnsi"/>
                <w:b/>
                <w:bCs/>
                <w:color w:val="0000E1"/>
              </w:rPr>
              <w:t>, max</w:t>
            </w:r>
          </w:p>
        </w:tc>
      </w:tr>
      <w:tr w:rsidR="00A408D6" w:rsidRPr="00115587" w14:paraId="3F15CCC4" w14:textId="77777777" w:rsidTr="00C061E6">
        <w:trPr>
          <w:trHeight w:val="181"/>
        </w:trPr>
        <w:tc>
          <w:tcPr>
            <w:tcW w:w="2986" w:type="dxa"/>
            <w:shd w:val="clear" w:color="auto" w:fill="D9D9D9" w:themeFill="background1" w:themeFillShade="D9"/>
          </w:tcPr>
          <w:p w14:paraId="7E815B15" w14:textId="77777777" w:rsidR="00A408D6" w:rsidRPr="00E40B89" w:rsidRDefault="00A408D6" w:rsidP="00E46A3F">
            <w:pPr>
              <w:autoSpaceDE w:val="0"/>
              <w:autoSpaceDN w:val="0"/>
              <w:adjustRightInd w:val="0"/>
              <w:rPr>
                <w:rFonts w:cstheme="minorHAnsi"/>
                <w:b/>
                <w:bCs/>
                <w:color w:val="0000E1"/>
              </w:rPr>
            </w:pPr>
            <w:r w:rsidRPr="00E40B89">
              <w:rPr>
                <w:rFonts w:cstheme="minorHAnsi"/>
                <w:b/>
                <w:bCs/>
                <w:color w:val="0000E1"/>
              </w:rPr>
              <w:t>Diabetes</w:t>
            </w:r>
            <w:r w:rsidR="005F7563" w:rsidRPr="00E40B89">
              <w:rPr>
                <w:rFonts w:cstheme="minorHAnsi"/>
                <w:b/>
                <w:bCs/>
                <w:color w:val="0000E1"/>
              </w:rPr>
              <w:t xml:space="preserve"> </w:t>
            </w:r>
          </w:p>
        </w:tc>
        <w:tc>
          <w:tcPr>
            <w:tcW w:w="997" w:type="dxa"/>
            <w:shd w:val="clear" w:color="auto" w:fill="D9D9D9" w:themeFill="background1" w:themeFillShade="D9"/>
          </w:tcPr>
          <w:p w14:paraId="43903D60" w14:textId="77777777" w:rsidR="00A408D6" w:rsidRPr="00115587" w:rsidRDefault="00A408D6" w:rsidP="00E46A3F">
            <w:pPr>
              <w:autoSpaceDE w:val="0"/>
              <w:autoSpaceDN w:val="0"/>
              <w:adjustRightInd w:val="0"/>
              <w:rPr>
                <w:rFonts w:cstheme="minorHAnsi"/>
                <w:bCs/>
                <w:color w:val="0000E1"/>
              </w:rPr>
            </w:pPr>
          </w:p>
        </w:tc>
        <w:tc>
          <w:tcPr>
            <w:tcW w:w="997" w:type="dxa"/>
            <w:shd w:val="clear" w:color="auto" w:fill="D9D9D9" w:themeFill="background1" w:themeFillShade="D9"/>
          </w:tcPr>
          <w:p w14:paraId="0F8F5263" w14:textId="77777777" w:rsidR="00A408D6" w:rsidRPr="00115587" w:rsidRDefault="00A408D6" w:rsidP="00E46A3F">
            <w:pPr>
              <w:autoSpaceDE w:val="0"/>
              <w:autoSpaceDN w:val="0"/>
              <w:adjustRightInd w:val="0"/>
              <w:rPr>
                <w:rFonts w:cstheme="minorHAnsi"/>
                <w:bCs/>
                <w:color w:val="0000E1"/>
              </w:rPr>
            </w:pPr>
          </w:p>
        </w:tc>
        <w:tc>
          <w:tcPr>
            <w:tcW w:w="4443" w:type="dxa"/>
            <w:shd w:val="clear" w:color="auto" w:fill="D9D9D9" w:themeFill="background1" w:themeFillShade="D9"/>
          </w:tcPr>
          <w:p w14:paraId="08585086" w14:textId="77777777" w:rsidR="00A408D6" w:rsidRPr="00115587" w:rsidRDefault="00A408D6" w:rsidP="00E46A3F">
            <w:pPr>
              <w:autoSpaceDE w:val="0"/>
              <w:autoSpaceDN w:val="0"/>
              <w:adjustRightInd w:val="0"/>
              <w:rPr>
                <w:rFonts w:cstheme="minorHAnsi"/>
                <w:bCs/>
                <w:color w:val="0000E1"/>
              </w:rPr>
            </w:pPr>
          </w:p>
        </w:tc>
      </w:tr>
      <w:tr w:rsidR="00A408D6" w:rsidRPr="00115587" w14:paraId="65CAB841" w14:textId="77777777" w:rsidTr="00C061E6">
        <w:trPr>
          <w:trHeight w:val="181"/>
        </w:trPr>
        <w:tc>
          <w:tcPr>
            <w:tcW w:w="2986" w:type="dxa"/>
          </w:tcPr>
          <w:p w14:paraId="425D5BDC" w14:textId="77777777" w:rsidR="00A408D6" w:rsidRPr="00115587" w:rsidRDefault="00CC25A6" w:rsidP="00E46A3F">
            <w:pPr>
              <w:autoSpaceDE w:val="0"/>
              <w:autoSpaceDN w:val="0"/>
              <w:adjustRightInd w:val="0"/>
              <w:rPr>
                <w:rFonts w:cstheme="minorHAnsi"/>
                <w:bCs/>
                <w:color w:val="0000E1"/>
              </w:rPr>
            </w:pPr>
            <w:r w:rsidRPr="00115587">
              <w:rPr>
                <w:rFonts w:cstheme="minorHAnsi"/>
                <w:bCs/>
                <w:color w:val="0000E1"/>
              </w:rPr>
              <w:t xml:space="preserve">     </w:t>
            </w:r>
            <w:r w:rsidR="00A408D6" w:rsidRPr="00115587">
              <w:rPr>
                <w:rFonts w:cstheme="minorHAnsi"/>
                <w:bCs/>
                <w:color w:val="0000E1"/>
              </w:rPr>
              <w:t>ESRD</w:t>
            </w:r>
          </w:p>
        </w:tc>
        <w:tc>
          <w:tcPr>
            <w:tcW w:w="997" w:type="dxa"/>
          </w:tcPr>
          <w:p w14:paraId="1299ECE7" w14:textId="77777777" w:rsidR="00A408D6" w:rsidRPr="00115587" w:rsidRDefault="00CC25A6" w:rsidP="00AB2C5A">
            <w:pPr>
              <w:autoSpaceDE w:val="0"/>
              <w:autoSpaceDN w:val="0"/>
              <w:adjustRightInd w:val="0"/>
              <w:jc w:val="center"/>
              <w:rPr>
                <w:rFonts w:cstheme="minorHAnsi"/>
                <w:bCs/>
                <w:color w:val="0000E1"/>
              </w:rPr>
            </w:pPr>
            <w:r w:rsidRPr="00115587">
              <w:rPr>
                <w:rFonts w:cstheme="minorHAnsi"/>
                <w:bCs/>
                <w:color w:val="0000E1"/>
              </w:rPr>
              <w:t>5,353</w:t>
            </w:r>
          </w:p>
        </w:tc>
        <w:tc>
          <w:tcPr>
            <w:tcW w:w="997" w:type="dxa"/>
          </w:tcPr>
          <w:p w14:paraId="36221590" w14:textId="77777777" w:rsidR="00A408D6" w:rsidRPr="00115587" w:rsidRDefault="005F7563" w:rsidP="00AB2C5A">
            <w:pPr>
              <w:autoSpaceDE w:val="0"/>
              <w:autoSpaceDN w:val="0"/>
              <w:adjustRightInd w:val="0"/>
              <w:jc w:val="center"/>
              <w:rPr>
                <w:rFonts w:cstheme="minorHAnsi"/>
                <w:bCs/>
                <w:color w:val="0000E1"/>
              </w:rPr>
            </w:pPr>
            <w:r w:rsidRPr="00115587">
              <w:rPr>
                <w:rFonts w:cstheme="minorHAnsi"/>
                <w:bCs/>
                <w:color w:val="0000E1"/>
              </w:rPr>
              <w:t>0.24</w:t>
            </w:r>
          </w:p>
        </w:tc>
        <w:tc>
          <w:tcPr>
            <w:tcW w:w="4443" w:type="dxa"/>
          </w:tcPr>
          <w:p w14:paraId="54A1FF44" w14:textId="77777777" w:rsidR="00A408D6" w:rsidRPr="00115587" w:rsidRDefault="005F7563" w:rsidP="003554D7">
            <w:pPr>
              <w:autoSpaceDE w:val="0"/>
              <w:autoSpaceDN w:val="0"/>
              <w:adjustRightInd w:val="0"/>
              <w:rPr>
                <w:rFonts w:cstheme="minorHAnsi"/>
                <w:bCs/>
                <w:color w:val="0000E1"/>
              </w:rPr>
            </w:pPr>
            <w:r w:rsidRPr="00115587">
              <w:rPr>
                <w:rFonts w:cstheme="minorHAnsi"/>
                <w:bCs/>
                <w:color w:val="0000E1"/>
              </w:rPr>
              <w:t>(0.00, 0.00, 0.00, 0.12</w:t>
            </w:r>
            <w:r w:rsidR="00CC25A6" w:rsidRPr="00115587">
              <w:rPr>
                <w:rFonts w:cstheme="minorHAnsi"/>
                <w:bCs/>
                <w:color w:val="0000E1"/>
              </w:rPr>
              <w:t xml:space="preserve">, </w:t>
            </w:r>
            <w:r w:rsidRPr="00115587">
              <w:rPr>
                <w:rFonts w:cstheme="minorHAnsi"/>
                <w:bCs/>
                <w:color w:val="0000E1"/>
              </w:rPr>
              <w:t>9.59</w:t>
            </w:r>
            <w:r w:rsidR="00CC25A6" w:rsidRPr="00115587">
              <w:rPr>
                <w:rFonts w:cstheme="minorHAnsi"/>
                <w:bCs/>
                <w:color w:val="0000E1"/>
              </w:rPr>
              <w:t>)</w:t>
            </w:r>
          </w:p>
        </w:tc>
      </w:tr>
      <w:tr w:rsidR="00CC25A6" w:rsidRPr="00115587" w14:paraId="220A1250" w14:textId="77777777" w:rsidTr="00C061E6">
        <w:trPr>
          <w:trHeight w:val="181"/>
        </w:trPr>
        <w:tc>
          <w:tcPr>
            <w:tcW w:w="2986" w:type="dxa"/>
          </w:tcPr>
          <w:p w14:paraId="2D0B8CAD" w14:textId="77777777" w:rsidR="00CC25A6" w:rsidRPr="00115587" w:rsidRDefault="00CC25A6" w:rsidP="00CC25A6">
            <w:pPr>
              <w:autoSpaceDE w:val="0"/>
              <w:autoSpaceDN w:val="0"/>
              <w:adjustRightInd w:val="0"/>
              <w:rPr>
                <w:rFonts w:cstheme="minorHAnsi"/>
                <w:bCs/>
                <w:color w:val="0000E1"/>
              </w:rPr>
            </w:pPr>
            <w:r w:rsidRPr="00115587">
              <w:rPr>
                <w:rFonts w:cstheme="minorHAnsi"/>
                <w:bCs/>
                <w:color w:val="0000E1"/>
              </w:rPr>
              <w:t xml:space="preserve">     Hospice</w:t>
            </w:r>
          </w:p>
        </w:tc>
        <w:tc>
          <w:tcPr>
            <w:tcW w:w="997" w:type="dxa"/>
          </w:tcPr>
          <w:p w14:paraId="2F209460" w14:textId="77777777" w:rsidR="00CC25A6" w:rsidRPr="00115587" w:rsidRDefault="00CC25A6" w:rsidP="00AB2C5A">
            <w:pPr>
              <w:autoSpaceDE w:val="0"/>
              <w:autoSpaceDN w:val="0"/>
              <w:adjustRightInd w:val="0"/>
              <w:jc w:val="center"/>
              <w:rPr>
                <w:rFonts w:cstheme="minorHAnsi"/>
                <w:bCs/>
                <w:color w:val="0000E1"/>
              </w:rPr>
            </w:pPr>
            <w:r w:rsidRPr="00115587">
              <w:rPr>
                <w:rFonts w:cstheme="minorHAnsi"/>
                <w:bCs/>
                <w:color w:val="0000E1"/>
              </w:rPr>
              <w:t>5,013</w:t>
            </w:r>
          </w:p>
        </w:tc>
        <w:tc>
          <w:tcPr>
            <w:tcW w:w="997" w:type="dxa"/>
          </w:tcPr>
          <w:p w14:paraId="0FE90450" w14:textId="77777777" w:rsidR="00CC25A6" w:rsidRPr="00115587" w:rsidRDefault="005F7563" w:rsidP="00AB2C5A">
            <w:pPr>
              <w:autoSpaceDE w:val="0"/>
              <w:autoSpaceDN w:val="0"/>
              <w:adjustRightInd w:val="0"/>
              <w:jc w:val="center"/>
              <w:rPr>
                <w:rFonts w:cstheme="minorHAnsi"/>
                <w:bCs/>
                <w:color w:val="0000E1"/>
              </w:rPr>
            </w:pPr>
            <w:r w:rsidRPr="00115587">
              <w:rPr>
                <w:rFonts w:cstheme="minorHAnsi"/>
                <w:bCs/>
                <w:color w:val="0000E1"/>
              </w:rPr>
              <w:t>0.23</w:t>
            </w:r>
          </w:p>
        </w:tc>
        <w:tc>
          <w:tcPr>
            <w:tcW w:w="4443" w:type="dxa"/>
          </w:tcPr>
          <w:p w14:paraId="795737F1" w14:textId="77777777" w:rsidR="00CC25A6" w:rsidRPr="00115587" w:rsidRDefault="00CC25A6" w:rsidP="003554D7">
            <w:pPr>
              <w:autoSpaceDE w:val="0"/>
              <w:autoSpaceDN w:val="0"/>
              <w:adjustRightInd w:val="0"/>
              <w:rPr>
                <w:rFonts w:cstheme="minorHAnsi"/>
                <w:bCs/>
                <w:color w:val="0000E1"/>
              </w:rPr>
            </w:pPr>
            <w:r w:rsidRPr="00115587">
              <w:rPr>
                <w:rFonts w:cstheme="minorHAnsi"/>
                <w:bCs/>
                <w:color w:val="0000E1"/>
              </w:rPr>
              <w:t>(0.00, 0.00, 0.</w:t>
            </w:r>
            <w:r w:rsidR="005F7563" w:rsidRPr="00115587">
              <w:rPr>
                <w:rFonts w:cstheme="minorHAnsi"/>
                <w:bCs/>
                <w:color w:val="0000E1"/>
              </w:rPr>
              <w:t>15</w:t>
            </w:r>
            <w:r w:rsidRPr="00115587">
              <w:rPr>
                <w:rFonts w:cstheme="minorHAnsi"/>
                <w:bCs/>
                <w:color w:val="0000E1"/>
              </w:rPr>
              <w:t xml:space="preserve">, </w:t>
            </w:r>
            <w:r w:rsidR="005F7563" w:rsidRPr="00115587">
              <w:rPr>
                <w:rFonts w:cstheme="minorHAnsi"/>
                <w:bCs/>
                <w:color w:val="0000E1"/>
              </w:rPr>
              <w:t>0.28</w:t>
            </w:r>
            <w:r w:rsidRPr="00115587">
              <w:rPr>
                <w:rFonts w:cstheme="minorHAnsi"/>
                <w:bCs/>
                <w:color w:val="0000E1"/>
              </w:rPr>
              <w:t xml:space="preserve">, </w:t>
            </w:r>
            <w:r w:rsidR="005F7563" w:rsidRPr="00115587">
              <w:rPr>
                <w:rFonts w:cstheme="minorHAnsi"/>
                <w:bCs/>
                <w:color w:val="0000E1"/>
              </w:rPr>
              <w:t>3.77</w:t>
            </w:r>
            <w:r w:rsidRPr="00115587">
              <w:rPr>
                <w:rFonts w:cstheme="minorHAnsi"/>
                <w:bCs/>
                <w:color w:val="0000E1"/>
              </w:rPr>
              <w:t>)</w:t>
            </w:r>
          </w:p>
        </w:tc>
      </w:tr>
      <w:tr w:rsidR="00CC25A6" w:rsidRPr="00115587" w14:paraId="5356F918" w14:textId="77777777" w:rsidTr="00C061E6">
        <w:trPr>
          <w:trHeight w:val="181"/>
        </w:trPr>
        <w:tc>
          <w:tcPr>
            <w:tcW w:w="2986" w:type="dxa"/>
          </w:tcPr>
          <w:p w14:paraId="776D40FB" w14:textId="77777777" w:rsidR="00CC25A6" w:rsidRPr="00115587" w:rsidRDefault="00CC25A6" w:rsidP="00CC25A6">
            <w:pPr>
              <w:autoSpaceDE w:val="0"/>
              <w:autoSpaceDN w:val="0"/>
              <w:adjustRightInd w:val="0"/>
              <w:rPr>
                <w:rFonts w:cstheme="minorHAnsi"/>
                <w:bCs/>
                <w:color w:val="0000E1"/>
              </w:rPr>
            </w:pPr>
            <w:r w:rsidRPr="00115587">
              <w:rPr>
                <w:rFonts w:cstheme="minorHAnsi"/>
                <w:bCs/>
                <w:color w:val="0000E1"/>
              </w:rPr>
              <w:t xml:space="preserve">     Insulin</w:t>
            </w:r>
          </w:p>
        </w:tc>
        <w:tc>
          <w:tcPr>
            <w:tcW w:w="997" w:type="dxa"/>
          </w:tcPr>
          <w:p w14:paraId="3562C6AF" w14:textId="77777777" w:rsidR="00CC25A6" w:rsidRPr="00115587" w:rsidRDefault="00CC25A6" w:rsidP="00AB2C5A">
            <w:pPr>
              <w:autoSpaceDE w:val="0"/>
              <w:autoSpaceDN w:val="0"/>
              <w:adjustRightInd w:val="0"/>
              <w:jc w:val="center"/>
              <w:rPr>
                <w:rFonts w:cstheme="minorHAnsi"/>
                <w:bCs/>
                <w:color w:val="0000E1"/>
              </w:rPr>
            </w:pPr>
            <w:r w:rsidRPr="00115587">
              <w:rPr>
                <w:rFonts w:cstheme="minorHAnsi"/>
                <w:bCs/>
                <w:color w:val="0000E1"/>
              </w:rPr>
              <w:t>80,274</w:t>
            </w:r>
          </w:p>
        </w:tc>
        <w:tc>
          <w:tcPr>
            <w:tcW w:w="997" w:type="dxa"/>
          </w:tcPr>
          <w:p w14:paraId="296CF7D3" w14:textId="77777777" w:rsidR="00CC25A6" w:rsidRPr="00115587" w:rsidRDefault="005F7563" w:rsidP="00AB2C5A">
            <w:pPr>
              <w:autoSpaceDE w:val="0"/>
              <w:autoSpaceDN w:val="0"/>
              <w:adjustRightInd w:val="0"/>
              <w:jc w:val="center"/>
              <w:rPr>
                <w:rFonts w:cstheme="minorHAnsi"/>
                <w:bCs/>
                <w:color w:val="0000E1"/>
              </w:rPr>
            </w:pPr>
            <w:r w:rsidRPr="00115587">
              <w:rPr>
                <w:rFonts w:cstheme="minorHAnsi"/>
                <w:bCs/>
                <w:color w:val="0000E1"/>
              </w:rPr>
              <w:t>3.64</w:t>
            </w:r>
          </w:p>
        </w:tc>
        <w:tc>
          <w:tcPr>
            <w:tcW w:w="4443" w:type="dxa"/>
          </w:tcPr>
          <w:p w14:paraId="546C21BC" w14:textId="77777777" w:rsidR="00CC25A6" w:rsidRPr="00115587" w:rsidRDefault="00CC25A6" w:rsidP="003554D7">
            <w:pPr>
              <w:autoSpaceDE w:val="0"/>
              <w:autoSpaceDN w:val="0"/>
              <w:adjustRightInd w:val="0"/>
              <w:rPr>
                <w:rFonts w:cstheme="minorHAnsi"/>
                <w:bCs/>
                <w:color w:val="0000E1"/>
              </w:rPr>
            </w:pPr>
            <w:r w:rsidRPr="00115587">
              <w:rPr>
                <w:rFonts w:cstheme="minorHAnsi"/>
                <w:bCs/>
                <w:color w:val="0000E1"/>
              </w:rPr>
              <w:t>(</w:t>
            </w:r>
            <w:r w:rsidR="00AB2C5A" w:rsidRPr="00115587">
              <w:rPr>
                <w:rFonts w:cstheme="minorHAnsi"/>
                <w:bCs/>
                <w:color w:val="0000E1"/>
              </w:rPr>
              <w:t xml:space="preserve">0.00, </w:t>
            </w:r>
            <w:r w:rsidR="005F7563" w:rsidRPr="00115587">
              <w:rPr>
                <w:rFonts w:cstheme="minorHAnsi"/>
                <w:bCs/>
                <w:color w:val="0000E1"/>
              </w:rPr>
              <w:t>2.71</w:t>
            </w:r>
            <w:r w:rsidR="00AB2C5A" w:rsidRPr="00115587">
              <w:rPr>
                <w:rFonts w:cstheme="minorHAnsi"/>
                <w:bCs/>
                <w:color w:val="0000E1"/>
              </w:rPr>
              <w:t xml:space="preserve">, </w:t>
            </w:r>
            <w:r w:rsidR="005F7563" w:rsidRPr="00115587">
              <w:rPr>
                <w:rFonts w:cstheme="minorHAnsi"/>
                <w:bCs/>
                <w:color w:val="0000E1"/>
              </w:rPr>
              <w:t>3.64</w:t>
            </w:r>
            <w:r w:rsidR="00AB2C5A" w:rsidRPr="00115587">
              <w:rPr>
                <w:rFonts w:cstheme="minorHAnsi"/>
                <w:bCs/>
                <w:color w:val="0000E1"/>
              </w:rPr>
              <w:t xml:space="preserve">, </w:t>
            </w:r>
            <w:r w:rsidR="005F7563" w:rsidRPr="00115587">
              <w:rPr>
                <w:rFonts w:cstheme="minorHAnsi"/>
                <w:bCs/>
                <w:color w:val="0000E1"/>
              </w:rPr>
              <w:t>4.74</w:t>
            </w:r>
            <w:r w:rsidR="00AB2C5A" w:rsidRPr="00115587">
              <w:rPr>
                <w:rFonts w:cstheme="minorHAnsi"/>
                <w:bCs/>
                <w:color w:val="0000E1"/>
              </w:rPr>
              <w:t xml:space="preserve">, </w:t>
            </w:r>
            <w:r w:rsidR="005F7563" w:rsidRPr="00115587">
              <w:rPr>
                <w:rFonts w:cstheme="minorHAnsi"/>
                <w:bCs/>
                <w:color w:val="0000E1"/>
              </w:rPr>
              <w:t>26.19</w:t>
            </w:r>
            <w:r w:rsidR="00AB2C5A" w:rsidRPr="00115587">
              <w:rPr>
                <w:rFonts w:cstheme="minorHAnsi"/>
                <w:bCs/>
                <w:color w:val="0000E1"/>
              </w:rPr>
              <w:t>)</w:t>
            </w:r>
          </w:p>
        </w:tc>
      </w:tr>
      <w:tr w:rsidR="00CC25A6" w:rsidRPr="00AD3877" w14:paraId="0A7A8B06" w14:textId="77777777" w:rsidTr="00C061E6">
        <w:trPr>
          <w:trHeight w:val="190"/>
        </w:trPr>
        <w:tc>
          <w:tcPr>
            <w:tcW w:w="2986" w:type="dxa"/>
            <w:shd w:val="clear" w:color="auto" w:fill="D9D9D9" w:themeFill="background1" w:themeFillShade="D9"/>
          </w:tcPr>
          <w:p w14:paraId="4A9EF8B7" w14:textId="77777777" w:rsidR="00CC25A6" w:rsidRPr="00930280" w:rsidRDefault="00CC25A6" w:rsidP="00CC25A6">
            <w:pPr>
              <w:autoSpaceDE w:val="0"/>
              <w:autoSpaceDN w:val="0"/>
              <w:adjustRightInd w:val="0"/>
              <w:rPr>
                <w:rFonts w:cstheme="minorHAnsi"/>
                <w:b/>
                <w:bCs/>
                <w:color w:val="0000E1"/>
              </w:rPr>
            </w:pPr>
            <w:r w:rsidRPr="00930280">
              <w:rPr>
                <w:rFonts w:cstheme="minorHAnsi"/>
                <w:b/>
                <w:bCs/>
                <w:color w:val="0000E1"/>
              </w:rPr>
              <w:t>RASA</w:t>
            </w:r>
          </w:p>
        </w:tc>
        <w:tc>
          <w:tcPr>
            <w:tcW w:w="997" w:type="dxa"/>
            <w:shd w:val="clear" w:color="auto" w:fill="D9D9D9" w:themeFill="background1" w:themeFillShade="D9"/>
          </w:tcPr>
          <w:p w14:paraId="4FB86D01" w14:textId="77777777" w:rsidR="00CC25A6" w:rsidRPr="00930280" w:rsidRDefault="00CC25A6" w:rsidP="00CC25A6">
            <w:pPr>
              <w:autoSpaceDE w:val="0"/>
              <w:autoSpaceDN w:val="0"/>
              <w:adjustRightInd w:val="0"/>
              <w:rPr>
                <w:rFonts w:cstheme="minorHAnsi"/>
                <w:b/>
                <w:bCs/>
                <w:color w:val="0000E1"/>
              </w:rPr>
            </w:pPr>
          </w:p>
        </w:tc>
        <w:tc>
          <w:tcPr>
            <w:tcW w:w="997" w:type="dxa"/>
            <w:shd w:val="clear" w:color="auto" w:fill="D9D9D9" w:themeFill="background1" w:themeFillShade="D9"/>
          </w:tcPr>
          <w:p w14:paraId="713AA81C" w14:textId="77777777" w:rsidR="00CC25A6" w:rsidRPr="00930280" w:rsidRDefault="00CC25A6" w:rsidP="00CC25A6">
            <w:pPr>
              <w:autoSpaceDE w:val="0"/>
              <w:autoSpaceDN w:val="0"/>
              <w:adjustRightInd w:val="0"/>
              <w:rPr>
                <w:rFonts w:cstheme="minorHAnsi"/>
                <w:b/>
                <w:bCs/>
                <w:color w:val="0000E1"/>
              </w:rPr>
            </w:pPr>
          </w:p>
        </w:tc>
        <w:tc>
          <w:tcPr>
            <w:tcW w:w="4443" w:type="dxa"/>
            <w:shd w:val="clear" w:color="auto" w:fill="D9D9D9" w:themeFill="background1" w:themeFillShade="D9"/>
          </w:tcPr>
          <w:p w14:paraId="725037D3" w14:textId="77777777" w:rsidR="00CC25A6" w:rsidRPr="00930280" w:rsidRDefault="00CC25A6" w:rsidP="00CC25A6">
            <w:pPr>
              <w:autoSpaceDE w:val="0"/>
              <w:autoSpaceDN w:val="0"/>
              <w:adjustRightInd w:val="0"/>
              <w:rPr>
                <w:rFonts w:cstheme="minorHAnsi"/>
                <w:b/>
                <w:bCs/>
                <w:color w:val="0000E1"/>
              </w:rPr>
            </w:pPr>
          </w:p>
        </w:tc>
      </w:tr>
      <w:tr w:rsidR="00CC25A6" w:rsidRPr="00115587" w14:paraId="4F3C50A5" w14:textId="77777777" w:rsidTr="00C061E6">
        <w:trPr>
          <w:trHeight w:val="181"/>
        </w:trPr>
        <w:tc>
          <w:tcPr>
            <w:tcW w:w="2986" w:type="dxa"/>
          </w:tcPr>
          <w:p w14:paraId="1A3411EA" w14:textId="77777777" w:rsidR="00CC25A6" w:rsidRPr="00115587" w:rsidRDefault="00CC25A6" w:rsidP="00CC25A6">
            <w:pPr>
              <w:autoSpaceDE w:val="0"/>
              <w:autoSpaceDN w:val="0"/>
              <w:adjustRightInd w:val="0"/>
              <w:rPr>
                <w:rFonts w:cstheme="minorHAnsi"/>
                <w:bCs/>
                <w:color w:val="0000E1"/>
              </w:rPr>
            </w:pPr>
            <w:r w:rsidRPr="00115587">
              <w:rPr>
                <w:rFonts w:cstheme="minorHAnsi"/>
                <w:bCs/>
                <w:color w:val="0000E1"/>
              </w:rPr>
              <w:t xml:space="preserve">     ESRD</w:t>
            </w:r>
          </w:p>
        </w:tc>
        <w:tc>
          <w:tcPr>
            <w:tcW w:w="997" w:type="dxa"/>
          </w:tcPr>
          <w:p w14:paraId="5AA00257" w14:textId="77777777" w:rsidR="00CC25A6" w:rsidRPr="00115587" w:rsidRDefault="003554D7" w:rsidP="003554D7">
            <w:pPr>
              <w:autoSpaceDE w:val="0"/>
              <w:autoSpaceDN w:val="0"/>
              <w:adjustRightInd w:val="0"/>
              <w:jc w:val="center"/>
              <w:rPr>
                <w:rFonts w:cstheme="minorHAnsi"/>
                <w:bCs/>
                <w:color w:val="0000E1"/>
              </w:rPr>
            </w:pPr>
            <w:r w:rsidRPr="00115587">
              <w:rPr>
                <w:rFonts w:cstheme="minorHAnsi"/>
                <w:bCs/>
                <w:color w:val="0000E1"/>
              </w:rPr>
              <w:t>11,787</w:t>
            </w:r>
          </w:p>
        </w:tc>
        <w:tc>
          <w:tcPr>
            <w:tcW w:w="997" w:type="dxa"/>
          </w:tcPr>
          <w:p w14:paraId="4786B69F" w14:textId="77777777" w:rsidR="00CC25A6" w:rsidRPr="00115587" w:rsidRDefault="005F7563" w:rsidP="003554D7">
            <w:pPr>
              <w:autoSpaceDE w:val="0"/>
              <w:autoSpaceDN w:val="0"/>
              <w:adjustRightInd w:val="0"/>
              <w:jc w:val="center"/>
              <w:rPr>
                <w:rFonts w:cstheme="minorHAnsi"/>
                <w:bCs/>
                <w:color w:val="0000E1"/>
              </w:rPr>
            </w:pPr>
            <w:r w:rsidRPr="00115587">
              <w:rPr>
                <w:rFonts w:cstheme="minorHAnsi"/>
                <w:bCs/>
                <w:color w:val="0000E1"/>
              </w:rPr>
              <w:t>0.53</w:t>
            </w:r>
          </w:p>
        </w:tc>
        <w:tc>
          <w:tcPr>
            <w:tcW w:w="4443" w:type="dxa"/>
          </w:tcPr>
          <w:p w14:paraId="1618C4A3" w14:textId="77777777" w:rsidR="00CC25A6" w:rsidRPr="00115587" w:rsidRDefault="003554D7" w:rsidP="00CC25A6">
            <w:pPr>
              <w:autoSpaceDE w:val="0"/>
              <w:autoSpaceDN w:val="0"/>
              <w:adjustRightInd w:val="0"/>
              <w:rPr>
                <w:rFonts w:cstheme="minorHAnsi"/>
                <w:bCs/>
                <w:color w:val="0000E1"/>
              </w:rPr>
            </w:pPr>
            <w:r w:rsidRPr="00115587">
              <w:rPr>
                <w:rFonts w:cstheme="minorHAnsi"/>
                <w:bCs/>
                <w:color w:val="0000E1"/>
              </w:rPr>
              <w:t>(0.00, 0.00, 0.</w:t>
            </w:r>
            <w:r w:rsidR="0061589C" w:rsidRPr="00115587">
              <w:rPr>
                <w:rFonts w:cstheme="minorHAnsi"/>
                <w:bCs/>
                <w:color w:val="0000E1"/>
              </w:rPr>
              <w:t>12</w:t>
            </w:r>
            <w:r w:rsidRPr="00115587">
              <w:rPr>
                <w:rFonts w:cstheme="minorHAnsi"/>
                <w:bCs/>
                <w:color w:val="0000E1"/>
              </w:rPr>
              <w:t>, 0.</w:t>
            </w:r>
            <w:r w:rsidR="0061589C" w:rsidRPr="00115587">
              <w:rPr>
                <w:rFonts w:cstheme="minorHAnsi"/>
                <w:bCs/>
                <w:color w:val="0000E1"/>
              </w:rPr>
              <w:t>33</w:t>
            </w:r>
            <w:r w:rsidRPr="00115587">
              <w:rPr>
                <w:rFonts w:cstheme="minorHAnsi"/>
                <w:bCs/>
                <w:color w:val="0000E1"/>
              </w:rPr>
              <w:t xml:space="preserve">, </w:t>
            </w:r>
            <w:r w:rsidR="0061589C" w:rsidRPr="00115587">
              <w:rPr>
                <w:rFonts w:cstheme="minorHAnsi"/>
                <w:bCs/>
                <w:color w:val="0000E1"/>
              </w:rPr>
              <w:t>16.44</w:t>
            </w:r>
            <w:r w:rsidRPr="00115587">
              <w:rPr>
                <w:rFonts w:cstheme="minorHAnsi"/>
                <w:bCs/>
                <w:color w:val="0000E1"/>
              </w:rPr>
              <w:t>)</w:t>
            </w:r>
          </w:p>
        </w:tc>
      </w:tr>
      <w:tr w:rsidR="00CC25A6" w:rsidRPr="00115587" w14:paraId="4229FBBD" w14:textId="77777777" w:rsidTr="00C061E6">
        <w:trPr>
          <w:trHeight w:val="181"/>
        </w:trPr>
        <w:tc>
          <w:tcPr>
            <w:tcW w:w="2986" w:type="dxa"/>
          </w:tcPr>
          <w:p w14:paraId="57EEA2F5" w14:textId="77777777" w:rsidR="00CC25A6" w:rsidRPr="00115587" w:rsidRDefault="00CC25A6" w:rsidP="00CC25A6">
            <w:pPr>
              <w:autoSpaceDE w:val="0"/>
              <w:autoSpaceDN w:val="0"/>
              <w:adjustRightInd w:val="0"/>
              <w:rPr>
                <w:rFonts w:cstheme="minorHAnsi"/>
                <w:bCs/>
                <w:color w:val="0000E1"/>
              </w:rPr>
            </w:pPr>
            <w:r w:rsidRPr="00115587">
              <w:rPr>
                <w:rFonts w:cstheme="minorHAnsi"/>
                <w:bCs/>
                <w:color w:val="0000E1"/>
              </w:rPr>
              <w:t xml:space="preserve">     Hospice</w:t>
            </w:r>
          </w:p>
        </w:tc>
        <w:tc>
          <w:tcPr>
            <w:tcW w:w="997" w:type="dxa"/>
          </w:tcPr>
          <w:p w14:paraId="78EE62BF" w14:textId="77777777" w:rsidR="00CC25A6" w:rsidRPr="00115587" w:rsidRDefault="003554D7" w:rsidP="003554D7">
            <w:pPr>
              <w:autoSpaceDE w:val="0"/>
              <w:autoSpaceDN w:val="0"/>
              <w:adjustRightInd w:val="0"/>
              <w:jc w:val="center"/>
              <w:rPr>
                <w:rFonts w:cstheme="minorHAnsi"/>
                <w:bCs/>
                <w:color w:val="0000E1"/>
              </w:rPr>
            </w:pPr>
            <w:r w:rsidRPr="00115587">
              <w:rPr>
                <w:rFonts w:cstheme="minorHAnsi"/>
                <w:bCs/>
                <w:color w:val="0000E1"/>
              </w:rPr>
              <w:t>11,253</w:t>
            </w:r>
          </w:p>
        </w:tc>
        <w:tc>
          <w:tcPr>
            <w:tcW w:w="997" w:type="dxa"/>
          </w:tcPr>
          <w:p w14:paraId="6C4F401B" w14:textId="77777777" w:rsidR="00CC25A6" w:rsidRPr="00115587" w:rsidRDefault="005F7563" w:rsidP="003554D7">
            <w:pPr>
              <w:autoSpaceDE w:val="0"/>
              <w:autoSpaceDN w:val="0"/>
              <w:adjustRightInd w:val="0"/>
              <w:jc w:val="center"/>
              <w:rPr>
                <w:rFonts w:cstheme="minorHAnsi"/>
                <w:bCs/>
                <w:color w:val="0000E1"/>
              </w:rPr>
            </w:pPr>
            <w:r w:rsidRPr="00115587">
              <w:rPr>
                <w:rFonts w:cstheme="minorHAnsi"/>
                <w:bCs/>
                <w:color w:val="0000E1"/>
              </w:rPr>
              <w:t>0.51</w:t>
            </w:r>
          </w:p>
        </w:tc>
        <w:tc>
          <w:tcPr>
            <w:tcW w:w="4443" w:type="dxa"/>
          </w:tcPr>
          <w:p w14:paraId="375B3C6D" w14:textId="77777777" w:rsidR="00CC25A6" w:rsidRPr="00115587" w:rsidRDefault="003554D7" w:rsidP="00CC25A6">
            <w:pPr>
              <w:autoSpaceDE w:val="0"/>
              <w:autoSpaceDN w:val="0"/>
              <w:adjustRightInd w:val="0"/>
              <w:rPr>
                <w:rFonts w:cstheme="minorHAnsi"/>
                <w:bCs/>
                <w:color w:val="0000E1"/>
              </w:rPr>
            </w:pPr>
            <w:r w:rsidRPr="00115587">
              <w:rPr>
                <w:rFonts w:cstheme="minorHAnsi"/>
                <w:bCs/>
                <w:color w:val="0000E1"/>
              </w:rPr>
              <w:t xml:space="preserve">(0.00, 0.00, </w:t>
            </w:r>
            <w:r w:rsidR="0061589C" w:rsidRPr="00115587">
              <w:rPr>
                <w:rFonts w:cstheme="minorHAnsi"/>
                <w:bCs/>
                <w:color w:val="0000E1"/>
              </w:rPr>
              <w:t>0.38</w:t>
            </w:r>
            <w:r w:rsidRPr="00115587">
              <w:rPr>
                <w:rFonts w:cstheme="minorHAnsi"/>
                <w:bCs/>
                <w:color w:val="0000E1"/>
              </w:rPr>
              <w:t xml:space="preserve">, </w:t>
            </w:r>
            <w:r w:rsidR="0061589C" w:rsidRPr="00115587">
              <w:rPr>
                <w:rFonts w:cstheme="minorHAnsi"/>
                <w:bCs/>
                <w:color w:val="0000E1"/>
              </w:rPr>
              <w:t>0.60</w:t>
            </w:r>
            <w:r w:rsidRPr="00115587">
              <w:rPr>
                <w:rFonts w:cstheme="minorHAnsi"/>
                <w:bCs/>
                <w:color w:val="0000E1"/>
              </w:rPr>
              <w:t xml:space="preserve">, </w:t>
            </w:r>
            <w:r w:rsidR="0061589C" w:rsidRPr="00115587">
              <w:rPr>
                <w:rFonts w:cstheme="minorHAnsi"/>
                <w:bCs/>
                <w:color w:val="0000E1"/>
              </w:rPr>
              <w:t>4.82</w:t>
            </w:r>
            <w:r w:rsidRPr="00115587">
              <w:rPr>
                <w:rFonts w:cstheme="minorHAnsi"/>
                <w:bCs/>
                <w:color w:val="0000E1"/>
              </w:rPr>
              <w:t>)</w:t>
            </w:r>
          </w:p>
        </w:tc>
      </w:tr>
      <w:tr w:rsidR="00CC25A6" w:rsidRPr="00115587" w14:paraId="6A990764" w14:textId="77777777" w:rsidTr="00C061E6">
        <w:trPr>
          <w:trHeight w:val="181"/>
        </w:trPr>
        <w:tc>
          <w:tcPr>
            <w:tcW w:w="2986" w:type="dxa"/>
          </w:tcPr>
          <w:p w14:paraId="5FAB48D7" w14:textId="77777777" w:rsidR="00CC25A6" w:rsidRPr="00115587" w:rsidRDefault="00CC25A6" w:rsidP="00CC25A6">
            <w:pPr>
              <w:autoSpaceDE w:val="0"/>
              <w:autoSpaceDN w:val="0"/>
              <w:adjustRightInd w:val="0"/>
              <w:rPr>
                <w:rFonts w:cstheme="minorHAnsi"/>
                <w:bCs/>
                <w:color w:val="0000E1"/>
              </w:rPr>
            </w:pPr>
            <w:r w:rsidRPr="00115587">
              <w:rPr>
                <w:rFonts w:cstheme="minorHAnsi"/>
                <w:bCs/>
                <w:color w:val="0000E1"/>
              </w:rPr>
              <w:t xml:space="preserve">     Sacubitril/Valsartan</w:t>
            </w:r>
          </w:p>
        </w:tc>
        <w:tc>
          <w:tcPr>
            <w:tcW w:w="997" w:type="dxa"/>
          </w:tcPr>
          <w:p w14:paraId="49164F60" w14:textId="77777777" w:rsidR="00CC25A6" w:rsidRPr="00115587" w:rsidRDefault="003554D7" w:rsidP="003554D7">
            <w:pPr>
              <w:autoSpaceDE w:val="0"/>
              <w:autoSpaceDN w:val="0"/>
              <w:adjustRightInd w:val="0"/>
              <w:jc w:val="center"/>
              <w:rPr>
                <w:rFonts w:cstheme="minorHAnsi"/>
                <w:bCs/>
                <w:color w:val="0000E1"/>
              </w:rPr>
            </w:pPr>
            <w:r w:rsidRPr="00115587">
              <w:rPr>
                <w:rFonts w:cstheme="minorHAnsi"/>
                <w:bCs/>
                <w:color w:val="0000E1"/>
              </w:rPr>
              <w:t>9,013</w:t>
            </w:r>
          </w:p>
        </w:tc>
        <w:tc>
          <w:tcPr>
            <w:tcW w:w="997" w:type="dxa"/>
          </w:tcPr>
          <w:p w14:paraId="77EFE598" w14:textId="77777777" w:rsidR="00CC25A6" w:rsidRPr="00115587" w:rsidRDefault="005F7563" w:rsidP="003554D7">
            <w:pPr>
              <w:autoSpaceDE w:val="0"/>
              <w:autoSpaceDN w:val="0"/>
              <w:adjustRightInd w:val="0"/>
              <w:jc w:val="center"/>
              <w:rPr>
                <w:rFonts w:cstheme="minorHAnsi"/>
                <w:bCs/>
                <w:color w:val="0000E1"/>
              </w:rPr>
            </w:pPr>
            <w:r w:rsidRPr="00115587">
              <w:rPr>
                <w:rFonts w:cstheme="minorHAnsi"/>
                <w:bCs/>
                <w:color w:val="0000E1"/>
              </w:rPr>
              <w:t>0.41</w:t>
            </w:r>
          </w:p>
        </w:tc>
        <w:tc>
          <w:tcPr>
            <w:tcW w:w="4443" w:type="dxa"/>
          </w:tcPr>
          <w:p w14:paraId="4948029C" w14:textId="77777777" w:rsidR="00CC25A6" w:rsidRPr="00115587" w:rsidRDefault="003554D7" w:rsidP="00CC25A6">
            <w:pPr>
              <w:autoSpaceDE w:val="0"/>
              <w:autoSpaceDN w:val="0"/>
              <w:adjustRightInd w:val="0"/>
              <w:rPr>
                <w:rFonts w:cstheme="minorHAnsi"/>
                <w:bCs/>
                <w:color w:val="0000E1"/>
              </w:rPr>
            </w:pPr>
            <w:r w:rsidRPr="00115587">
              <w:rPr>
                <w:rFonts w:cstheme="minorHAnsi"/>
                <w:bCs/>
                <w:color w:val="0000E1"/>
              </w:rPr>
              <w:t>(0.00, 0.00, 0.</w:t>
            </w:r>
            <w:r w:rsidR="0061589C" w:rsidRPr="00115587">
              <w:rPr>
                <w:rFonts w:cstheme="minorHAnsi"/>
                <w:bCs/>
                <w:color w:val="0000E1"/>
              </w:rPr>
              <w:t>30</w:t>
            </w:r>
            <w:r w:rsidRPr="00115587">
              <w:rPr>
                <w:rFonts w:cstheme="minorHAnsi"/>
                <w:bCs/>
                <w:color w:val="0000E1"/>
              </w:rPr>
              <w:t xml:space="preserve">, </w:t>
            </w:r>
            <w:r w:rsidR="0061589C" w:rsidRPr="00115587">
              <w:rPr>
                <w:rFonts w:cstheme="minorHAnsi"/>
                <w:bCs/>
                <w:color w:val="0000E1"/>
              </w:rPr>
              <w:t>0.52</w:t>
            </w:r>
            <w:r w:rsidRPr="00115587">
              <w:rPr>
                <w:rFonts w:cstheme="minorHAnsi"/>
                <w:bCs/>
                <w:color w:val="0000E1"/>
              </w:rPr>
              <w:t xml:space="preserve">, </w:t>
            </w:r>
            <w:r w:rsidR="0061589C" w:rsidRPr="00115587">
              <w:rPr>
                <w:rFonts w:cstheme="minorHAnsi"/>
                <w:bCs/>
                <w:color w:val="0000E1"/>
              </w:rPr>
              <w:t>3.33</w:t>
            </w:r>
            <w:r w:rsidRPr="00115587">
              <w:rPr>
                <w:rFonts w:cstheme="minorHAnsi"/>
                <w:bCs/>
                <w:color w:val="0000E1"/>
              </w:rPr>
              <w:t>)</w:t>
            </w:r>
          </w:p>
        </w:tc>
      </w:tr>
      <w:tr w:rsidR="00CC25A6" w:rsidRPr="00AD3877" w14:paraId="193A62B5" w14:textId="77777777" w:rsidTr="00C061E6">
        <w:trPr>
          <w:trHeight w:val="190"/>
        </w:trPr>
        <w:tc>
          <w:tcPr>
            <w:tcW w:w="2986" w:type="dxa"/>
            <w:shd w:val="clear" w:color="auto" w:fill="D9D9D9" w:themeFill="background1" w:themeFillShade="D9"/>
          </w:tcPr>
          <w:p w14:paraId="0BBD76AD" w14:textId="77777777" w:rsidR="00CC25A6" w:rsidRPr="00930280" w:rsidRDefault="00CC25A6" w:rsidP="00CC25A6">
            <w:pPr>
              <w:autoSpaceDE w:val="0"/>
              <w:autoSpaceDN w:val="0"/>
              <w:adjustRightInd w:val="0"/>
              <w:rPr>
                <w:rFonts w:cstheme="minorHAnsi"/>
                <w:b/>
                <w:bCs/>
                <w:color w:val="0000E1"/>
              </w:rPr>
            </w:pPr>
            <w:r w:rsidRPr="00930280">
              <w:rPr>
                <w:rFonts w:cstheme="minorHAnsi"/>
                <w:b/>
                <w:bCs/>
                <w:color w:val="0000E1"/>
              </w:rPr>
              <w:t>Statins</w:t>
            </w:r>
          </w:p>
        </w:tc>
        <w:tc>
          <w:tcPr>
            <w:tcW w:w="997" w:type="dxa"/>
            <w:shd w:val="clear" w:color="auto" w:fill="D9D9D9" w:themeFill="background1" w:themeFillShade="D9"/>
          </w:tcPr>
          <w:p w14:paraId="7E7E7B2C" w14:textId="77777777" w:rsidR="00CC25A6" w:rsidRPr="00930280" w:rsidRDefault="00CC25A6" w:rsidP="00CC25A6">
            <w:pPr>
              <w:autoSpaceDE w:val="0"/>
              <w:autoSpaceDN w:val="0"/>
              <w:adjustRightInd w:val="0"/>
              <w:rPr>
                <w:rFonts w:cstheme="minorHAnsi"/>
                <w:b/>
                <w:bCs/>
                <w:color w:val="0000E1"/>
              </w:rPr>
            </w:pPr>
          </w:p>
        </w:tc>
        <w:tc>
          <w:tcPr>
            <w:tcW w:w="997" w:type="dxa"/>
            <w:shd w:val="clear" w:color="auto" w:fill="D9D9D9" w:themeFill="background1" w:themeFillShade="D9"/>
          </w:tcPr>
          <w:p w14:paraId="55484D41" w14:textId="77777777" w:rsidR="00CC25A6" w:rsidRPr="00930280" w:rsidRDefault="00CC25A6" w:rsidP="00CC25A6">
            <w:pPr>
              <w:autoSpaceDE w:val="0"/>
              <w:autoSpaceDN w:val="0"/>
              <w:adjustRightInd w:val="0"/>
              <w:rPr>
                <w:rFonts w:cstheme="minorHAnsi"/>
                <w:b/>
                <w:bCs/>
                <w:color w:val="0000E1"/>
              </w:rPr>
            </w:pPr>
          </w:p>
        </w:tc>
        <w:tc>
          <w:tcPr>
            <w:tcW w:w="4443" w:type="dxa"/>
            <w:shd w:val="clear" w:color="auto" w:fill="D9D9D9" w:themeFill="background1" w:themeFillShade="D9"/>
          </w:tcPr>
          <w:p w14:paraId="51C8A3A2" w14:textId="77777777" w:rsidR="00CC25A6" w:rsidRPr="00930280" w:rsidRDefault="00CC25A6" w:rsidP="00CC25A6">
            <w:pPr>
              <w:autoSpaceDE w:val="0"/>
              <w:autoSpaceDN w:val="0"/>
              <w:adjustRightInd w:val="0"/>
              <w:rPr>
                <w:rFonts w:cstheme="minorHAnsi"/>
                <w:b/>
                <w:bCs/>
                <w:color w:val="0000E1"/>
              </w:rPr>
            </w:pPr>
          </w:p>
        </w:tc>
      </w:tr>
      <w:tr w:rsidR="00CC25A6" w:rsidRPr="00115587" w14:paraId="2ECE6AFD" w14:textId="77777777" w:rsidTr="00C061E6">
        <w:trPr>
          <w:trHeight w:val="181"/>
        </w:trPr>
        <w:tc>
          <w:tcPr>
            <w:tcW w:w="2986" w:type="dxa"/>
            <w:shd w:val="clear" w:color="auto" w:fill="FFFFFF" w:themeFill="background1"/>
          </w:tcPr>
          <w:p w14:paraId="6FE97FF6" w14:textId="77777777" w:rsidR="00CC25A6" w:rsidRPr="00115587" w:rsidRDefault="00CC25A6" w:rsidP="00CC25A6">
            <w:pPr>
              <w:autoSpaceDE w:val="0"/>
              <w:autoSpaceDN w:val="0"/>
              <w:adjustRightInd w:val="0"/>
              <w:rPr>
                <w:rFonts w:cstheme="minorHAnsi"/>
                <w:bCs/>
                <w:color w:val="0000E1"/>
              </w:rPr>
            </w:pPr>
            <w:r w:rsidRPr="00115587">
              <w:rPr>
                <w:rFonts w:cstheme="minorHAnsi"/>
                <w:bCs/>
                <w:color w:val="0000E1"/>
              </w:rPr>
              <w:t xml:space="preserve">     ESRD</w:t>
            </w:r>
          </w:p>
        </w:tc>
        <w:tc>
          <w:tcPr>
            <w:tcW w:w="997" w:type="dxa"/>
            <w:shd w:val="clear" w:color="auto" w:fill="FFFFFF" w:themeFill="background1"/>
          </w:tcPr>
          <w:p w14:paraId="6BDEE1C6" w14:textId="77777777" w:rsidR="00CC25A6" w:rsidRPr="00115587" w:rsidRDefault="00C22A2C" w:rsidP="005D79F3">
            <w:pPr>
              <w:autoSpaceDE w:val="0"/>
              <w:autoSpaceDN w:val="0"/>
              <w:adjustRightInd w:val="0"/>
              <w:jc w:val="center"/>
              <w:rPr>
                <w:rFonts w:cstheme="minorHAnsi"/>
                <w:bCs/>
                <w:color w:val="0000E1"/>
              </w:rPr>
            </w:pPr>
            <w:r w:rsidRPr="00115587">
              <w:rPr>
                <w:rFonts w:cstheme="minorHAnsi"/>
                <w:bCs/>
                <w:color w:val="0000E1"/>
              </w:rPr>
              <w:t>16,333</w:t>
            </w:r>
          </w:p>
        </w:tc>
        <w:tc>
          <w:tcPr>
            <w:tcW w:w="997" w:type="dxa"/>
            <w:shd w:val="clear" w:color="auto" w:fill="FFFFFF" w:themeFill="background1"/>
          </w:tcPr>
          <w:p w14:paraId="608847DD" w14:textId="77777777" w:rsidR="00CC25A6" w:rsidRPr="00115587" w:rsidRDefault="0061589C" w:rsidP="005D79F3">
            <w:pPr>
              <w:autoSpaceDE w:val="0"/>
              <w:autoSpaceDN w:val="0"/>
              <w:adjustRightInd w:val="0"/>
              <w:jc w:val="center"/>
              <w:rPr>
                <w:rFonts w:cstheme="minorHAnsi"/>
                <w:bCs/>
                <w:color w:val="0000E1"/>
              </w:rPr>
            </w:pPr>
            <w:r w:rsidRPr="00115587">
              <w:rPr>
                <w:rFonts w:cstheme="minorHAnsi"/>
                <w:bCs/>
                <w:color w:val="0000E1"/>
              </w:rPr>
              <w:t>0.74</w:t>
            </w:r>
          </w:p>
        </w:tc>
        <w:tc>
          <w:tcPr>
            <w:tcW w:w="4443" w:type="dxa"/>
            <w:shd w:val="clear" w:color="auto" w:fill="FFFFFF" w:themeFill="background1"/>
          </w:tcPr>
          <w:p w14:paraId="6739C884" w14:textId="77777777" w:rsidR="00CC25A6" w:rsidRPr="00115587" w:rsidRDefault="007E2C30" w:rsidP="00CC25A6">
            <w:pPr>
              <w:autoSpaceDE w:val="0"/>
              <w:autoSpaceDN w:val="0"/>
              <w:adjustRightInd w:val="0"/>
              <w:rPr>
                <w:rFonts w:cstheme="minorHAnsi"/>
                <w:bCs/>
                <w:color w:val="0000E1"/>
              </w:rPr>
            </w:pPr>
            <w:r w:rsidRPr="00115587">
              <w:rPr>
                <w:rFonts w:cstheme="minorHAnsi"/>
                <w:bCs/>
                <w:color w:val="0000E1"/>
              </w:rPr>
              <w:t>(0.00, 0.00, 0.21</w:t>
            </w:r>
            <w:r w:rsidR="00AB0A6F" w:rsidRPr="00115587">
              <w:rPr>
                <w:rFonts w:cstheme="minorHAnsi"/>
                <w:bCs/>
                <w:color w:val="0000E1"/>
              </w:rPr>
              <w:t xml:space="preserve">, </w:t>
            </w:r>
            <w:r w:rsidRPr="00115587">
              <w:rPr>
                <w:rFonts w:cstheme="minorHAnsi"/>
                <w:bCs/>
                <w:color w:val="0000E1"/>
              </w:rPr>
              <w:t>0.45</w:t>
            </w:r>
            <w:r w:rsidR="00AB0A6F" w:rsidRPr="00115587">
              <w:rPr>
                <w:rFonts w:cstheme="minorHAnsi"/>
                <w:bCs/>
                <w:color w:val="0000E1"/>
              </w:rPr>
              <w:t xml:space="preserve">, </w:t>
            </w:r>
            <w:r w:rsidRPr="00115587">
              <w:rPr>
                <w:rFonts w:cstheme="minorHAnsi"/>
                <w:bCs/>
                <w:color w:val="0000E1"/>
              </w:rPr>
              <w:t>21.92</w:t>
            </w:r>
            <w:r w:rsidR="00AB0A6F" w:rsidRPr="00115587">
              <w:rPr>
                <w:rFonts w:cstheme="minorHAnsi"/>
                <w:bCs/>
                <w:color w:val="0000E1"/>
              </w:rPr>
              <w:t>)</w:t>
            </w:r>
          </w:p>
        </w:tc>
      </w:tr>
      <w:tr w:rsidR="00CC25A6" w:rsidRPr="00115587" w14:paraId="2C7721A5" w14:textId="77777777" w:rsidTr="00C061E6">
        <w:trPr>
          <w:trHeight w:val="181"/>
        </w:trPr>
        <w:tc>
          <w:tcPr>
            <w:tcW w:w="2986" w:type="dxa"/>
            <w:tcBorders>
              <w:bottom w:val="single" w:sz="4" w:space="0" w:color="auto"/>
            </w:tcBorders>
            <w:shd w:val="clear" w:color="auto" w:fill="FFFFFF" w:themeFill="background1"/>
          </w:tcPr>
          <w:p w14:paraId="3FEB2920" w14:textId="77777777" w:rsidR="00CC25A6" w:rsidRPr="00115587" w:rsidRDefault="00CC25A6" w:rsidP="00CC25A6">
            <w:pPr>
              <w:autoSpaceDE w:val="0"/>
              <w:autoSpaceDN w:val="0"/>
              <w:adjustRightInd w:val="0"/>
              <w:rPr>
                <w:rFonts w:cstheme="minorHAnsi"/>
                <w:bCs/>
                <w:color w:val="0000E1"/>
              </w:rPr>
            </w:pPr>
            <w:r w:rsidRPr="00115587">
              <w:rPr>
                <w:rFonts w:cstheme="minorHAnsi"/>
                <w:bCs/>
                <w:color w:val="0000E1"/>
              </w:rPr>
              <w:t xml:space="preserve">     Hospice</w:t>
            </w:r>
          </w:p>
        </w:tc>
        <w:tc>
          <w:tcPr>
            <w:tcW w:w="997" w:type="dxa"/>
            <w:tcBorders>
              <w:bottom w:val="single" w:sz="4" w:space="0" w:color="auto"/>
            </w:tcBorders>
            <w:shd w:val="clear" w:color="auto" w:fill="FFFFFF" w:themeFill="background1"/>
          </w:tcPr>
          <w:p w14:paraId="3B9599D3" w14:textId="77777777" w:rsidR="00CC25A6" w:rsidRPr="00115587" w:rsidRDefault="00C22A2C" w:rsidP="005D79F3">
            <w:pPr>
              <w:autoSpaceDE w:val="0"/>
              <w:autoSpaceDN w:val="0"/>
              <w:adjustRightInd w:val="0"/>
              <w:jc w:val="center"/>
              <w:rPr>
                <w:rFonts w:cstheme="minorHAnsi"/>
                <w:bCs/>
                <w:color w:val="0000E1"/>
              </w:rPr>
            </w:pPr>
            <w:r w:rsidRPr="00115587">
              <w:rPr>
                <w:rFonts w:cstheme="minorHAnsi"/>
                <w:bCs/>
                <w:color w:val="0000E1"/>
              </w:rPr>
              <w:t>12,115</w:t>
            </w:r>
          </w:p>
        </w:tc>
        <w:tc>
          <w:tcPr>
            <w:tcW w:w="997" w:type="dxa"/>
            <w:tcBorders>
              <w:bottom w:val="single" w:sz="4" w:space="0" w:color="auto"/>
            </w:tcBorders>
            <w:shd w:val="clear" w:color="auto" w:fill="FFFFFF" w:themeFill="background1"/>
          </w:tcPr>
          <w:p w14:paraId="753B0E63" w14:textId="77777777" w:rsidR="00CC25A6" w:rsidRPr="00115587" w:rsidRDefault="0061589C" w:rsidP="005D79F3">
            <w:pPr>
              <w:autoSpaceDE w:val="0"/>
              <w:autoSpaceDN w:val="0"/>
              <w:adjustRightInd w:val="0"/>
              <w:jc w:val="center"/>
              <w:rPr>
                <w:rFonts w:cstheme="minorHAnsi"/>
                <w:bCs/>
                <w:color w:val="0000E1"/>
              </w:rPr>
            </w:pPr>
            <w:r w:rsidRPr="00115587">
              <w:rPr>
                <w:rFonts w:cstheme="minorHAnsi"/>
                <w:bCs/>
                <w:color w:val="0000E1"/>
              </w:rPr>
              <w:t>0.55</w:t>
            </w:r>
          </w:p>
        </w:tc>
        <w:tc>
          <w:tcPr>
            <w:tcW w:w="4443" w:type="dxa"/>
            <w:tcBorders>
              <w:bottom w:val="single" w:sz="4" w:space="0" w:color="auto"/>
            </w:tcBorders>
            <w:shd w:val="clear" w:color="auto" w:fill="FFFFFF" w:themeFill="background1"/>
          </w:tcPr>
          <w:p w14:paraId="75A3EAE4" w14:textId="77777777" w:rsidR="00CC25A6" w:rsidRPr="00115587" w:rsidRDefault="00AB0A6F" w:rsidP="00CC25A6">
            <w:pPr>
              <w:autoSpaceDE w:val="0"/>
              <w:autoSpaceDN w:val="0"/>
              <w:adjustRightInd w:val="0"/>
              <w:rPr>
                <w:rFonts w:cstheme="minorHAnsi"/>
                <w:bCs/>
                <w:color w:val="0000E1"/>
              </w:rPr>
            </w:pPr>
            <w:r w:rsidRPr="00115587">
              <w:rPr>
                <w:rFonts w:cstheme="minorHAnsi"/>
                <w:bCs/>
                <w:color w:val="0000E1"/>
              </w:rPr>
              <w:t xml:space="preserve">(0.00, 0.00, </w:t>
            </w:r>
            <w:r w:rsidR="007E2C30" w:rsidRPr="00115587">
              <w:rPr>
                <w:rFonts w:cstheme="minorHAnsi"/>
                <w:bCs/>
                <w:color w:val="0000E1"/>
              </w:rPr>
              <w:t>0.42</w:t>
            </w:r>
            <w:r w:rsidRPr="00115587">
              <w:rPr>
                <w:rFonts w:cstheme="minorHAnsi"/>
                <w:bCs/>
                <w:color w:val="0000E1"/>
              </w:rPr>
              <w:t xml:space="preserve">, </w:t>
            </w:r>
            <w:r w:rsidR="007E2C30" w:rsidRPr="00115587">
              <w:rPr>
                <w:rFonts w:cstheme="minorHAnsi"/>
                <w:bCs/>
                <w:color w:val="0000E1"/>
              </w:rPr>
              <w:t>0.67</w:t>
            </w:r>
            <w:r w:rsidRPr="00115587">
              <w:rPr>
                <w:rFonts w:cstheme="minorHAnsi"/>
                <w:bCs/>
                <w:color w:val="0000E1"/>
              </w:rPr>
              <w:t xml:space="preserve">, </w:t>
            </w:r>
            <w:r w:rsidR="007E2C30" w:rsidRPr="00115587">
              <w:rPr>
                <w:rFonts w:cstheme="minorHAnsi"/>
                <w:bCs/>
                <w:color w:val="0000E1"/>
              </w:rPr>
              <w:t>5.63</w:t>
            </w:r>
            <w:r w:rsidRPr="00115587">
              <w:rPr>
                <w:rFonts w:cstheme="minorHAnsi"/>
                <w:bCs/>
                <w:color w:val="0000E1"/>
              </w:rPr>
              <w:t>)</w:t>
            </w:r>
          </w:p>
        </w:tc>
      </w:tr>
      <w:tr w:rsidR="00AD3877" w:rsidRPr="00CD5819" w14:paraId="02D1D0A6" w14:textId="77777777" w:rsidTr="00C061E6">
        <w:trPr>
          <w:trHeight w:val="204"/>
        </w:trPr>
        <w:tc>
          <w:tcPr>
            <w:tcW w:w="9425" w:type="dxa"/>
            <w:gridSpan w:val="4"/>
            <w:tcBorders>
              <w:top w:val="single" w:sz="4" w:space="0" w:color="auto"/>
              <w:left w:val="nil"/>
              <w:bottom w:val="nil"/>
              <w:right w:val="nil"/>
            </w:tcBorders>
            <w:shd w:val="clear" w:color="auto" w:fill="auto"/>
            <w:vAlign w:val="center"/>
          </w:tcPr>
          <w:p w14:paraId="7152714F" w14:textId="77777777" w:rsidR="00AD3877" w:rsidRPr="00E40B89" w:rsidRDefault="008E14E3" w:rsidP="00930280">
            <w:pPr>
              <w:rPr>
                <w:rFonts w:ascii="Calibri" w:hAnsi="Calibri" w:cs="Calibri"/>
                <w:i/>
                <w:color w:val="0000E1"/>
                <w:sz w:val="20"/>
              </w:rPr>
            </w:pPr>
            <w:r>
              <w:rPr>
                <w:rFonts w:ascii="Calibri" w:hAnsi="Calibri" w:cs="Calibri"/>
                <w:i/>
                <w:color w:val="0000E1"/>
                <w:sz w:val="20"/>
              </w:rPr>
              <w:t xml:space="preserve">ESRD: end-stage renal disease; </w:t>
            </w:r>
            <w:r w:rsidR="00AD3877" w:rsidRPr="00E40B89">
              <w:rPr>
                <w:rFonts w:ascii="Calibri" w:hAnsi="Calibri" w:cs="Calibri"/>
                <w:i/>
                <w:color w:val="0000E1"/>
                <w:sz w:val="20"/>
              </w:rPr>
              <w:t>RASA: renin-angio</w:t>
            </w:r>
            <w:r w:rsidR="00EF2507">
              <w:rPr>
                <w:rFonts w:ascii="Calibri" w:hAnsi="Calibri" w:cs="Calibri"/>
                <w:i/>
                <w:color w:val="0000E1"/>
                <w:sz w:val="20"/>
              </w:rPr>
              <w:t>tensin system antagonist</w:t>
            </w:r>
          </w:p>
        </w:tc>
      </w:tr>
    </w:tbl>
    <w:p w14:paraId="463E27FA" w14:textId="77777777" w:rsidR="00AD3877" w:rsidRDefault="00AD3877" w:rsidP="006D5412">
      <w:pPr>
        <w:autoSpaceDE w:val="0"/>
        <w:autoSpaceDN w:val="0"/>
        <w:adjustRightInd w:val="0"/>
        <w:spacing w:after="0" w:line="240" w:lineRule="auto"/>
        <w:rPr>
          <w:rFonts w:cstheme="minorHAnsi"/>
          <w:bCs/>
          <w:color w:val="0000E1"/>
        </w:rPr>
      </w:pPr>
    </w:p>
    <w:p w14:paraId="59907A16" w14:textId="37EE9F74" w:rsidR="00C65AEB" w:rsidRDefault="00F4224C" w:rsidP="006D5412">
      <w:pPr>
        <w:autoSpaceDE w:val="0"/>
        <w:autoSpaceDN w:val="0"/>
        <w:adjustRightInd w:val="0"/>
        <w:spacing w:after="0" w:line="240" w:lineRule="auto"/>
        <w:rPr>
          <w:rFonts w:cstheme="minorHAnsi"/>
          <w:bCs/>
          <w:color w:val="0000E1"/>
        </w:rPr>
      </w:pPr>
      <w:r w:rsidRPr="00115587">
        <w:rPr>
          <w:rFonts w:cstheme="minorHAnsi"/>
          <w:bCs/>
          <w:color w:val="0000E1"/>
        </w:rPr>
        <w:t xml:space="preserve">As with Medicare, the overall percentage of </w:t>
      </w:r>
      <w:r w:rsidR="007D555E" w:rsidRPr="00115587">
        <w:rPr>
          <w:rFonts w:cstheme="minorHAnsi"/>
          <w:bCs/>
          <w:color w:val="0000E1"/>
        </w:rPr>
        <w:t>individuals</w:t>
      </w:r>
      <w:r w:rsidRPr="00115587">
        <w:rPr>
          <w:rFonts w:cstheme="minorHAnsi"/>
          <w:bCs/>
          <w:color w:val="0000E1"/>
        </w:rPr>
        <w:t xml:space="preserve"> impacted by the exclusions </w:t>
      </w:r>
      <w:r w:rsidR="007C46DF">
        <w:rPr>
          <w:rFonts w:cstheme="minorHAnsi"/>
          <w:bCs/>
          <w:color w:val="0000E1"/>
        </w:rPr>
        <w:t xml:space="preserve">in the Medicaid population </w:t>
      </w:r>
      <w:r w:rsidR="00EF2507">
        <w:rPr>
          <w:rFonts w:cstheme="minorHAnsi"/>
          <w:bCs/>
          <w:color w:val="0000E1"/>
        </w:rPr>
        <w:t>was &lt;1%</w:t>
      </w:r>
      <w:r w:rsidR="00153720" w:rsidRPr="00115587">
        <w:rPr>
          <w:rFonts w:cstheme="minorHAnsi"/>
          <w:bCs/>
          <w:color w:val="0000E1"/>
        </w:rPr>
        <w:t xml:space="preserve"> (except insulin for Diabetes)</w:t>
      </w:r>
      <w:r w:rsidR="00651072">
        <w:rPr>
          <w:rFonts w:cstheme="minorHAnsi"/>
          <w:bCs/>
          <w:color w:val="0000E1"/>
        </w:rPr>
        <w:t>. At the plan-</w:t>
      </w:r>
      <w:r w:rsidR="007D555E" w:rsidRPr="00115587">
        <w:rPr>
          <w:rFonts w:cstheme="minorHAnsi"/>
          <w:bCs/>
          <w:color w:val="0000E1"/>
        </w:rPr>
        <w:t xml:space="preserve">level however, this impact was disproportionate, with </w:t>
      </w:r>
      <w:r w:rsidR="006D5412" w:rsidRPr="00115587">
        <w:rPr>
          <w:rFonts w:cstheme="minorHAnsi"/>
          <w:bCs/>
          <w:color w:val="0000E1"/>
        </w:rPr>
        <w:t xml:space="preserve">the percentage of individuals in hospice who were excluded from the measure ranged from 0.0% to </w:t>
      </w:r>
      <w:r w:rsidR="00153720" w:rsidRPr="00115587">
        <w:rPr>
          <w:rFonts w:cstheme="minorHAnsi"/>
          <w:bCs/>
          <w:color w:val="0000E1"/>
        </w:rPr>
        <w:t>8.0</w:t>
      </w:r>
      <w:r w:rsidR="006D5412" w:rsidRPr="00115587">
        <w:rPr>
          <w:rFonts w:cstheme="minorHAnsi"/>
          <w:bCs/>
          <w:color w:val="0000E1"/>
        </w:rPr>
        <w:t xml:space="preserve">% for </w:t>
      </w:r>
      <w:r w:rsidR="00181CD1" w:rsidRPr="00115587">
        <w:rPr>
          <w:rFonts w:cstheme="minorHAnsi"/>
          <w:bCs/>
          <w:color w:val="0000E1"/>
        </w:rPr>
        <w:t>all three therapeutic areas</w:t>
      </w:r>
      <w:r w:rsidR="006D5412" w:rsidRPr="00115587">
        <w:rPr>
          <w:rFonts w:cstheme="minorHAnsi"/>
          <w:bCs/>
          <w:color w:val="0000E1"/>
        </w:rPr>
        <w:t>. The ESRD exclusions a</w:t>
      </w:r>
      <w:r w:rsidR="00153720" w:rsidRPr="00115587">
        <w:rPr>
          <w:rFonts w:cstheme="minorHAnsi"/>
          <w:bCs/>
          <w:color w:val="0000E1"/>
        </w:rPr>
        <w:t>mong plans</w:t>
      </w:r>
      <w:r w:rsidR="006D5412" w:rsidRPr="00115587">
        <w:rPr>
          <w:rFonts w:cstheme="minorHAnsi"/>
          <w:bCs/>
          <w:color w:val="0000E1"/>
        </w:rPr>
        <w:t xml:space="preserve"> ranged from 0.0% to </w:t>
      </w:r>
      <w:r w:rsidR="00F13571" w:rsidRPr="00115587">
        <w:rPr>
          <w:rFonts w:cstheme="minorHAnsi"/>
          <w:bCs/>
          <w:color w:val="0000E1"/>
        </w:rPr>
        <w:t>1.3</w:t>
      </w:r>
      <w:r w:rsidR="006D5412" w:rsidRPr="00115587">
        <w:rPr>
          <w:rFonts w:cstheme="minorHAnsi"/>
          <w:bCs/>
          <w:color w:val="0000E1"/>
        </w:rPr>
        <w:t xml:space="preserve">% for Diabetes, 0.0% to </w:t>
      </w:r>
      <w:r w:rsidR="00F13571" w:rsidRPr="00115587">
        <w:rPr>
          <w:rFonts w:cstheme="minorHAnsi"/>
          <w:bCs/>
          <w:color w:val="0000E1"/>
        </w:rPr>
        <w:t>2.3</w:t>
      </w:r>
      <w:r w:rsidR="006D5412" w:rsidRPr="00115587">
        <w:rPr>
          <w:rFonts w:cstheme="minorHAnsi"/>
          <w:bCs/>
          <w:color w:val="0000E1"/>
        </w:rPr>
        <w:t xml:space="preserve">% for RASA and 0.0% - </w:t>
      </w:r>
      <w:r w:rsidR="00181CD1" w:rsidRPr="00115587">
        <w:rPr>
          <w:rFonts w:cstheme="minorHAnsi"/>
          <w:bCs/>
          <w:color w:val="0000E1"/>
        </w:rPr>
        <w:t>0.6</w:t>
      </w:r>
      <w:r w:rsidR="006D5412" w:rsidRPr="00115587">
        <w:rPr>
          <w:rFonts w:cstheme="minorHAnsi"/>
          <w:bCs/>
          <w:color w:val="0000E1"/>
        </w:rPr>
        <w:t xml:space="preserve">% for Statins. </w:t>
      </w:r>
      <w:r w:rsidR="007C46DF">
        <w:rPr>
          <w:rFonts w:cstheme="minorHAnsi"/>
          <w:bCs/>
          <w:color w:val="0000E1"/>
        </w:rPr>
        <w:t>(see Table 8).</w:t>
      </w:r>
    </w:p>
    <w:p w14:paraId="16A88DCA" w14:textId="77777777" w:rsidR="00C65AEB" w:rsidRDefault="00C65AEB" w:rsidP="006D5412">
      <w:pPr>
        <w:autoSpaceDE w:val="0"/>
        <w:autoSpaceDN w:val="0"/>
        <w:adjustRightInd w:val="0"/>
        <w:spacing w:after="0" w:line="240" w:lineRule="auto"/>
        <w:rPr>
          <w:rFonts w:cstheme="minorHAnsi"/>
          <w:bCs/>
          <w:color w:val="0000E1"/>
        </w:rPr>
      </w:pPr>
    </w:p>
    <w:p w14:paraId="5B543228" w14:textId="35E783CE" w:rsidR="006D5412" w:rsidRPr="00115587" w:rsidRDefault="006D5412" w:rsidP="006D5412">
      <w:pPr>
        <w:autoSpaceDE w:val="0"/>
        <w:autoSpaceDN w:val="0"/>
        <w:adjustRightInd w:val="0"/>
        <w:spacing w:after="0" w:line="240" w:lineRule="auto"/>
        <w:rPr>
          <w:rFonts w:cstheme="minorHAnsi"/>
          <w:bCs/>
          <w:color w:val="0000E1"/>
        </w:rPr>
      </w:pPr>
      <w:r w:rsidRPr="00115587">
        <w:rPr>
          <w:rFonts w:cstheme="minorHAnsi"/>
          <w:bCs/>
          <w:color w:val="0000E1"/>
        </w:rPr>
        <w:t xml:space="preserve">In addition, for Diabetes, individuals on insulin are excluded </w:t>
      </w:r>
      <w:r w:rsidR="007C46DF">
        <w:rPr>
          <w:rFonts w:cstheme="minorHAnsi"/>
          <w:bCs/>
          <w:color w:val="0000E1"/>
        </w:rPr>
        <w:t>from the measure</w:t>
      </w:r>
      <w:r w:rsidRPr="00115587">
        <w:rPr>
          <w:rFonts w:cstheme="minorHAnsi"/>
          <w:bCs/>
          <w:color w:val="0000E1"/>
        </w:rPr>
        <w:t xml:space="preserve">. This exclusion ranged from 0.0% - </w:t>
      </w:r>
      <w:r w:rsidR="00153720" w:rsidRPr="00115587">
        <w:rPr>
          <w:rFonts w:cstheme="minorHAnsi"/>
          <w:bCs/>
          <w:color w:val="0000E1"/>
        </w:rPr>
        <w:t>7.1</w:t>
      </w:r>
      <w:r w:rsidRPr="00115587">
        <w:rPr>
          <w:rFonts w:cstheme="minorHAnsi"/>
          <w:bCs/>
          <w:color w:val="0000E1"/>
        </w:rPr>
        <w:t>% of individuals</w:t>
      </w:r>
      <w:r w:rsidR="00153720" w:rsidRPr="00115587">
        <w:rPr>
          <w:rFonts w:cstheme="minorHAnsi"/>
          <w:bCs/>
          <w:color w:val="0000E1"/>
        </w:rPr>
        <w:t xml:space="preserve"> impacted within plans</w:t>
      </w:r>
      <w:r w:rsidR="00747E34">
        <w:rPr>
          <w:rFonts w:cstheme="minorHAnsi"/>
          <w:bCs/>
          <w:color w:val="0000E1"/>
        </w:rPr>
        <w:t xml:space="preserve">. </w:t>
      </w:r>
      <w:r w:rsidRPr="00115587">
        <w:rPr>
          <w:rFonts w:cstheme="minorHAnsi"/>
          <w:bCs/>
          <w:color w:val="0000E1"/>
        </w:rPr>
        <w:t>For RASA, individuals are excluded if they were on sacubitril/valsartan at any tim</w:t>
      </w:r>
      <w:r w:rsidR="00E57C81">
        <w:rPr>
          <w:rFonts w:cstheme="minorHAnsi"/>
          <w:bCs/>
          <w:color w:val="0000E1"/>
        </w:rPr>
        <w:t xml:space="preserve">e during the measurement year. </w:t>
      </w:r>
      <w:r w:rsidRPr="00115587">
        <w:rPr>
          <w:rFonts w:cstheme="minorHAnsi"/>
          <w:bCs/>
          <w:color w:val="0000E1"/>
        </w:rPr>
        <w:t xml:space="preserve">This exclusion ranged from 0.0% - </w:t>
      </w:r>
      <w:r w:rsidR="00F13571" w:rsidRPr="00115587">
        <w:rPr>
          <w:rFonts w:cstheme="minorHAnsi"/>
          <w:bCs/>
          <w:color w:val="0000E1"/>
        </w:rPr>
        <w:t>2.2</w:t>
      </w:r>
      <w:r w:rsidRPr="00115587">
        <w:rPr>
          <w:rFonts w:cstheme="minorHAnsi"/>
          <w:bCs/>
          <w:color w:val="0000E1"/>
        </w:rPr>
        <w:t>% of i</w:t>
      </w:r>
      <w:r w:rsidR="00153720" w:rsidRPr="00115587">
        <w:rPr>
          <w:rFonts w:cstheme="minorHAnsi"/>
          <w:bCs/>
          <w:color w:val="0000E1"/>
        </w:rPr>
        <w:t>ndividuals impacted within plans</w:t>
      </w:r>
      <w:r w:rsidRPr="00115587">
        <w:rPr>
          <w:rFonts w:cstheme="minorHAnsi"/>
          <w:bCs/>
          <w:color w:val="0000E1"/>
        </w:rPr>
        <w:t xml:space="preserve">. </w:t>
      </w:r>
      <w:r w:rsidR="00A626AE" w:rsidRPr="00115587">
        <w:rPr>
          <w:rFonts w:cstheme="minorHAnsi"/>
          <w:bCs/>
          <w:color w:val="0000E1"/>
        </w:rPr>
        <w:t xml:space="preserve">(see Table </w:t>
      </w:r>
      <w:r w:rsidR="008A70AC" w:rsidRPr="00115587">
        <w:rPr>
          <w:rFonts w:cstheme="minorHAnsi"/>
          <w:bCs/>
          <w:color w:val="0000E1"/>
        </w:rPr>
        <w:t>8</w:t>
      </w:r>
      <w:r w:rsidRPr="00115587">
        <w:rPr>
          <w:rFonts w:cstheme="minorHAnsi"/>
          <w:bCs/>
          <w:color w:val="0000E1"/>
        </w:rPr>
        <w:t>).</w:t>
      </w:r>
    </w:p>
    <w:p w14:paraId="48151614" w14:textId="77777777" w:rsidR="00EF2507" w:rsidRDefault="00EF2507" w:rsidP="006D5412">
      <w:pPr>
        <w:autoSpaceDE w:val="0"/>
        <w:autoSpaceDN w:val="0"/>
        <w:adjustRightInd w:val="0"/>
        <w:spacing w:after="0" w:line="240" w:lineRule="auto"/>
        <w:rPr>
          <w:rFonts w:cstheme="minorHAnsi"/>
          <w:b/>
          <w:bCs/>
          <w:color w:val="0000E1"/>
        </w:rPr>
      </w:pPr>
    </w:p>
    <w:p w14:paraId="6BFCC62B" w14:textId="77777777" w:rsidR="006D5412" w:rsidRPr="00115587" w:rsidRDefault="008A70AC" w:rsidP="006D5412">
      <w:pPr>
        <w:autoSpaceDE w:val="0"/>
        <w:autoSpaceDN w:val="0"/>
        <w:adjustRightInd w:val="0"/>
        <w:spacing w:after="0" w:line="240" w:lineRule="auto"/>
        <w:rPr>
          <w:rFonts w:cstheme="minorHAnsi"/>
          <w:b/>
          <w:bCs/>
          <w:color w:val="0000E1"/>
        </w:rPr>
      </w:pPr>
      <w:r w:rsidRPr="00115587">
        <w:rPr>
          <w:rFonts w:cstheme="minorHAnsi"/>
          <w:b/>
          <w:bCs/>
          <w:color w:val="0000E1"/>
        </w:rPr>
        <w:t>Table 8</w:t>
      </w:r>
      <w:r w:rsidR="006D5412" w:rsidRPr="00115587">
        <w:rPr>
          <w:rFonts w:cstheme="minorHAnsi"/>
          <w:b/>
          <w:bCs/>
          <w:color w:val="0000E1"/>
        </w:rPr>
        <w:t>. Means Distribution of Proportion of Individuals Impacted Across Plans for Medicaid</w:t>
      </w:r>
    </w:p>
    <w:tbl>
      <w:tblPr>
        <w:tblStyle w:val="TableGrid"/>
        <w:tblW w:w="9641" w:type="dxa"/>
        <w:tblInd w:w="-5" w:type="dxa"/>
        <w:tblLook w:val="04A0" w:firstRow="1" w:lastRow="0" w:firstColumn="1" w:lastColumn="0" w:noHBand="0" w:noVBand="1"/>
      </w:tblPr>
      <w:tblGrid>
        <w:gridCol w:w="3054"/>
        <w:gridCol w:w="1018"/>
        <w:gridCol w:w="1018"/>
        <w:gridCol w:w="4551"/>
      </w:tblGrid>
      <w:tr w:rsidR="006D5412" w:rsidRPr="00115587" w14:paraId="1F8C2AC2" w14:textId="77777777" w:rsidTr="00C061E6">
        <w:trPr>
          <w:trHeight w:val="532"/>
          <w:tblHeader/>
        </w:trPr>
        <w:tc>
          <w:tcPr>
            <w:tcW w:w="3054" w:type="dxa"/>
          </w:tcPr>
          <w:p w14:paraId="5B4B55B5" w14:textId="77777777" w:rsidR="006D5412" w:rsidRPr="00115587" w:rsidRDefault="006D5412" w:rsidP="00D04746">
            <w:pPr>
              <w:autoSpaceDE w:val="0"/>
              <w:autoSpaceDN w:val="0"/>
              <w:adjustRightInd w:val="0"/>
              <w:rPr>
                <w:rFonts w:cstheme="minorHAnsi"/>
                <w:b/>
                <w:bCs/>
                <w:color w:val="0000E1"/>
              </w:rPr>
            </w:pPr>
            <w:r w:rsidRPr="00115587">
              <w:rPr>
                <w:rFonts w:cstheme="minorHAnsi"/>
                <w:b/>
                <w:bCs/>
                <w:color w:val="0000E1"/>
              </w:rPr>
              <w:t>Exclusion by therapeutic class</w:t>
            </w:r>
          </w:p>
          <w:p w14:paraId="7423E4C8" w14:textId="77777777" w:rsidR="00E2658D" w:rsidRPr="00115587" w:rsidRDefault="00E2658D" w:rsidP="00D04746">
            <w:pPr>
              <w:autoSpaceDE w:val="0"/>
              <w:autoSpaceDN w:val="0"/>
              <w:adjustRightInd w:val="0"/>
              <w:rPr>
                <w:rFonts w:cstheme="minorHAnsi"/>
                <w:b/>
                <w:bCs/>
                <w:color w:val="0000E1"/>
              </w:rPr>
            </w:pPr>
            <w:r w:rsidRPr="00115587">
              <w:rPr>
                <w:rFonts w:cstheme="minorHAnsi"/>
                <w:b/>
                <w:bCs/>
                <w:color w:val="0000E1"/>
              </w:rPr>
              <w:t>(n = 5,358,811)</w:t>
            </w:r>
          </w:p>
        </w:tc>
        <w:tc>
          <w:tcPr>
            <w:tcW w:w="1018" w:type="dxa"/>
          </w:tcPr>
          <w:p w14:paraId="200CB94E" w14:textId="77777777" w:rsidR="006D5412" w:rsidRPr="00115587" w:rsidRDefault="006D5412" w:rsidP="00D04746">
            <w:pPr>
              <w:autoSpaceDE w:val="0"/>
              <w:autoSpaceDN w:val="0"/>
              <w:adjustRightInd w:val="0"/>
              <w:jc w:val="center"/>
              <w:rPr>
                <w:rFonts w:cstheme="minorHAnsi"/>
                <w:b/>
                <w:bCs/>
                <w:color w:val="0000E1"/>
              </w:rPr>
            </w:pPr>
            <w:r w:rsidRPr="00115587">
              <w:rPr>
                <w:rFonts w:cstheme="minorHAnsi"/>
                <w:b/>
                <w:bCs/>
                <w:color w:val="0000E1"/>
              </w:rPr>
              <w:t>N</w:t>
            </w:r>
          </w:p>
        </w:tc>
        <w:tc>
          <w:tcPr>
            <w:tcW w:w="1018" w:type="dxa"/>
          </w:tcPr>
          <w:p w14:paraId="232DA780" w14:textId="77777777" w:rsidR="006D5412" w:rsidRPr="00115587" w:rsidRDefault="006D5412" w:rsidP="00D04746">
            <w:pPr>
              <w:autoSpaceDE w:val="0"/>
              <w:autoSpaceDN w:val="0"/>
              <w:adjustRightInd w:val="0"/>
              <w:jc w:val="center"/>
              <w:rPr>
                <w:rFonts w:cstheme="minorHAnsi"/>
                <w:b/>
                <w:bCs/>
                <w:color w:val="0000E1"/>
              </w:rPr>
            </w:pPr>
            <w:r w:rsidRPr="00115587">
              <w:rPr>
                <w:rFonts w:cstheme="minorHAnsi"/>
                <w:b/>
                <w:bCs/>
                <w:color w:val="0000E1"/>
              </w:rPr>
              <w:t>%</w:t>
            </w:r>
          </w:p>
        </w:tc>
        <w:tc>
          <w:tcPr>
            <w:tcW w:w="4550" w:type="dxa"/>
          </w:tcPr>
          <w:p w14:paraId="297F9BE3" w14:textId="77777777" w:rsidR="006D5412" w:rsidRPr="00115587" w:rsidRDefault="006D5412" w:rsidP="00D04746">
            <w:pPr>
              <w:autoSpaceDE w:val="0"/>
              <w:autoSpaceDN w:val="0"/>
              <w:adjustRightInd w:val="0"/>
              <w:jc w:val="center"/>
              <w:rPr>
                <w:rFonts w:cstheme="minorHAnsi"/>
                <w:b/>
                <w:bCs/>
                <w:color w:val="0000E1"/>
              </w:rPr>
            </w:pPr>
            <w:r w:rsidRPr="00115587">
              <w:rPr>
                <w:rFonts w:cstheme="minorHAnsi"/>
                <w:b/>
                <w:bCs/>
                <w:color w:val="0000E1"/>
              </w:rPr>
              <w:t>Distribution across plan-contracts; min, 25</w:t>
            </w:r>
            <w:r w:rsidRPr="00115587">
              <w:rPr>
                <w:rFonts w:cstheme="minorHAnsi"/>
                <w:b/>
                <w:bCs/>
                <w:color w:val="0000E1"/>
                <w:vertAlign w:val="superscript"/>
              </w:rPr>
              <w:t>th</w:t>
            </w:r>
            <w:r w:rsidRPr="00115587">
              <w:rPr>
                <w:rFonts w:cstheme="minorHAnsi"/>
                <w:b/>
                <w:bCs/>
                <w:color w:val="0000E1"/>
              </w:rPr>
              <w:t>, 50</w:t>
            </w:r>
            <w:r w:rsidRPr="00115587">
              <w:rPr>
                <w:rFonts w:cstheme="minorHAnsi"/>
                <w:b/>
                <w:bCs/>
                <w:color w:val="0000E1"/>
                <w:vertAlign w:val="superscript"/>
              </w:rPr>
              <w:t>th</w:t>
            </w:r>
            <w:r w:rsidRPr="00115587">
              <w:rPr>
                <w:rFonts w:cstheme="minorHAnsi"/>
                <w:b/>
                <w:bCs/>
                <w:color w:val="0000E1"/>
              </w:rPr>
              <w:t>, 75</w:t>
            </w:r>
            <w:r w:rsidRPr="00115587">
              <w:rPr>
                <w:rFonts w:cstheme="minorHAnsi"/>
                <w:b/>
                <w:bCs/>
                <w:color w:val="0000E1"/>
                <w:vertAlign w:val="superscript"/>
              </w:rPr>
              <w:t>th</w:t>
            </w:r>
            <w:r w:rsidRPr="00115587">
              <w:rPr>
                <w:rFonts w:cstheme="minorHAnsi"/>
                <w:b/>
                <w:bCs/>
                <w:color w:val="0000E1"/>
              </w:rPr>
              <w:t>, max</w:t>
            </w:r>
          </w:p>
        </w:tc>
      </w:tr>
      <w:tr w:rsidR="006D5412" w:rsidRPr="00115587" w14:paraId="7ED64B65" w14:textId="77777777" w:rsidTr="00C061E6">
        <w:trPr>
          <w:trHeight w:val="259"/>
        </w:trPr>
        <w:tc>
          <w:tcPr>
            <w:tcW w:w="3054" w:type="dxa"/>
            <w:shd w:val="clear" w:color="auto" w:fill="D9D9D9" w:themeFill="background1" w:themeFillShade="D9"/>
          </w:tcPr>
          <w:p w14:paraId="5F511F67" w14:textId="77777777" w:rsidR="006D5412" w:rsidRPr="00115587" w:rsidRDefault="006D5412" w:rsidP="00D04746">
            <w:pPr>
              <w:autoSpaceDE w:val="0"/>
              <w:autoSpaceDN w:val="0"/>
              <w:adjustRightInd w:val="0"/>
              <w:rPr>
                <w:rFonts w:cstheme="minorHAnsi"/>
                <w:b/>
                <w:bCs/>
                <w:color w:val="0000E1"/>
              </w:rPr>
            </w:pPr>
            <w:r w:rsidRPr="00115587">
              <w:rPr>
                <w:rFonts w:cstheme="minorHAnsi"/>
                <w:b/>
                <w:bCs/>
                <w:color w:val="0000E1"/>
              </w:rPr>
              <w:t>Diabetes</w:t>
            </w:r>
          </w:p>
        </w:tc>
        <w:tc>
          <w:tcPr>
            <w:tcW w:w="1018" w:type="dxa"/>
            <w:shd w:val="clear" w:color="auto" w:fill="D9D9D9" w:themeFill="background1" w:themeFillShade="D9"/>
          </w:tcPr>
          <w:p w14:paraId="462EA4D5" w14:textId="77777777" w:rsidR="006D5412" w:rsidRPr="00115587" w:rsidRDefault="006D5412" w:rsidP="00D04746">
            <w:pPr>
              <w:autoSpaceDE w:val="0"/>
              <w:autoSpaceDN w:val="0"/>
              <w:adjustRightInd w:val="0"/>
              <w:rPr>
                <w:rFonts w:cstheme="minorHAnsi"/>
                <w:bCs/>
                <w:color w:val="0000E1"/>
              </w:rPr>
            </w:pPr>
          </w:p>
        </w:tc>
        <w:tc>
          <w:tcPr>
            <w:tcW w:w="1018" w:type="dxa"/>
            <w:shd w:val="clear" w:color="auto" w:fill="D9D9D9" w:themeFill="background1" w:themeFillShade="D9"/>
          </w:tcPr>
          <w:p w14:paraId="0676673C" w14:textId="77777777" w:rsidR="006D5412" w:rsidRPr="00115587" w:rsidRDefault="006D5412" w:rsidP="00D04746">
            <w:pPr>
              <w:autoSpaceDE w:val="0"/>
              <w:autoSpaceDN w:val="0"/>
              <w:adjustRightInd w:val="0"/>
              <w:rPr>
                <w:rFonts w:cstheme="minorHAnsi"/>
                <w:bCs/>
                <w:color w:val="0000E1"/>
              </w:rPr>
            </w:pPr>
          </w:p>
        </w:tc>
        <w:tc>
          <w:tcPr>
            <w:tcW w:w="4550" w:type="dxa"/>
            <w:shd w:val="clear" w:color="auto" w:fill="D9D9D9" w:themeFill="background1" w:themeFillShade="D9"/>
          </w:tcPr>
          <w:p w14:paraId="076312D6" w14:textId="77777777" w:rsidR="006D5412" w:rsidRPr="00115587" w:rsidRDefault="006D5412" w:rsidP="00D04746">
            <w:pPr>
              <w:autoSpaceDE w:val="0"/>
              <w:autoSpaceDN w:val="0"/>
              <w:adjustRightInd w:val="0"/>
              <w:rPr>
                <w:rFonts w:cstheme="minorHAnsi"/>
                <w:bCs/>
                <w:color w:val="0000E1"/>
              </w:rPr>
            </w:pPr>
          </w:p>
        </w:tc>
      </w:tr>
      <w:tr w:rsidR="006D5412" w:rsidRPr="00115587" w14:paraId="4133D1B7" w14:textId="77777777" w:rsidTr="00C061E6">
        <w:trPr>
          <w:trHeight w:val="259"/>
        </w:trPr>
        <w:tc>
          <w:tcPr>
            <w:tcW w:w="3054" w:type="dxa"/>
          </w:tcPr>
          <w:p w14:paraId="7E174F9C" w14:textId="77777777" w:rsidR="006D5412" w:rsidRPr="00115587" w:rsidRDefault="006D5412" w:rsidP="00D04746">
            <w:pPr>
              <w:autoSpaceDE w:val="0"/>
              <w:autoSpaceDN w:val="0"/>
              <w:adjustRightInd w:val="0"/>
              <w:rPr>
                <w:rFonts w:cstheme="minorHAnsi"/>
                <w:bCs/>
                <w:color w:val="0000E1"/>
              </w:rPr>
            </w:pPr>
            <w:r w:rsidRPr="00115587">
              <w:rPr>
                <w:rFonts w:cstheme="minorHAnsi"/>
                <w:bCs/>
                <w:color w:val="0000E1"/>
              </w:rPr>
              <w:t xml:space="preserve">     ESRD</w:t>
            </w:r>
          </w:p>
        </w:tc>
        <w:tc>
          <w:tcPr>
            <w:tcW w:w="1018" w:type="dxa"/>
          </w:tcPr>
          <w:p w14:paraId="5F55FF7E" w14:textId="77777777" w:rsidR="006D5412" w:rsidRPr="00115587" w:rsidRDefault="00C40B38" w:rsidP="00D04746">
            <w:pPr>
              <w:autoSpaceDE w:val="0"/>
              <w:autoSpaceDN w:val="0"/>
              <w:adjustRightInd w:val="0"/>
              <w:jc w:val="center"/>
              <w:rPr>
                <w:rFonts w:cstheme="minorHAnsi"/>
                <w:bCs/>
                <w:color w:val="0000E1"/>
              </w:rPr>
            </w:pPr>
            <w:r w:rsidRPr="00115587">
              <w:rPr>
                <w:rFonts w:cstheme="minorHAnsi"/>
                <w:bCs/>
                <w:color w:val="0000E1"/>
              </w:rPr>
              <w:t>1,655</w:t>
            </w:r>
          </w:p>
        </w:tc>
        <w:tc>
          <w:tcPr>
            <w:tcW w:w="1018" w:type="dxa"/>
          </w:tcPr>
          <w:p w14:paraId="01376D4D" w14:textId="77777777" w:rsidR="006D5412" w:rsidRPr="00115587" w:rsidRDefault="00FF2BE5" w:rsidP="00D04746">
            <w:pPr>
              <w:autoSpaceDE w:val="0"/>
              <w:autoSpaceDN w:val="0"/>
              <w:adjustRightInd w:val="0"/>
              <w:jc w:val="center"/>
              <w:rPr>
                <w:rFonts w:cstheme="minorHAnsi"/>
                <w:bCs/>
                <w:color w:val="0000E1"/>
              </w:rPr>
            </w:pPr>
            <w:r w:rsidRPr="00115587">
              <w:rPr>
                <w:rFonts w:cstheme="minorHAnsi"/>
                <w:bCs/>
                <w:color w:val="0000E1"/>
              </w:rPr>
              <w:t>0.</w:t>
            </w:r>
            <w:r w:rsidR="00E2658D" w:rsidRPr="00115587">
              <w:rPr>
                <w:rFonts w:cstheme="minorHAnsi"/>
                <w:bCs/>
                <w:color w:val="0000E1"/>
              </w:rPr>
              <w:t>03</w:t>
            </w:r>
          </w:p>
        </w:tc>
        <w:tc>
          <w:tcPr>
            <w:tcW w:w="4550" w:type="dxa"/>
          </w:tcPr>
          <w:p w14:paraId="4668E55C" w14:textId="77777777" w:rsidR="006D5412" w:rsidRPr="00115587" w:rsidRDefault="0067223A" w:rsidP="00D04746">
            <w:pPr>
              <w:autoSpaceDE w:val="0"/>
              <w:autoSpaceDN w:val="0"/>
              <w:adjustRightInd w:val="0"/>
              <w:rPr>
                <w:rFonts w:cstheme="minorHAnsi"/>
                <w:bCs/>
                <w:color w:val="0000E1"/>
              </w:rPr>
            </w:pPr>
            <w:r w:rsidRPr="00115587">
              <w:rPr>
                <w:rFonts w:cstheme="minorHAnsi"/>
                <w:bCs/>
                <w:color w:val="0000E1"/>
              </w:rPr>
              <w:t>(0.00, 0.00, 0.</w:t>
            </w:r>
            <w:r w:rsidR="00153720" w:rsidRPr="00115587">
              <w:rPr>
                <w:rFonts w:cstheme="minorHAnsi"/>
                <w:bCs/>
                <w:color w:val="0000E1"/>
              </w:rPr>
              <w:t>01</w:t>
            </w:r>
            <w:r w:rsidRPr="00115587">
              <w:rPr>
                <w:rFonts w:cstheme="minorHAnsi"/>
                <w:bCs/>
                <w:color w:val="0000E1"/>
              </w:rPr>
              <w:t xml:space="preserve">, </w:t>
            </w:r>
            <w:r w:rsidR="00153720" w:rsidRPr="00115587">
              <w:rPr>
                <w:rFonts w:cstheme="minorHAnsi"/>
                <w:bCs/>
                <w:color w:val="0000E1"/>
              </w:rPr>
              <w:t>0.03</w:t>
            </w:r>
            <w:r w:rsidRPr="00115587">
              <w:rPr>
                <w:rFonts w:cstheme="minorHAnsi"/>
                <w:bCs/>
                <w:color w:val="0000E1"/>
              </w:rPr>
              <w:t xml:space="preserve">, </w:t>
            </w:r>
            <w:r w:rsidR="00153720" w:rsidRPr="00115587">
              <w:rPr>
                <w:rFonts w:cstheme="minorHAnsi"/>
                <w:bCs/>
                <w:color w:val="0000E1"/>
              </w:rPr>
              <w:t>1.28)</w:t>
            </w:r>
          </w:p>
        </w:tc>
      </w:tr>
      <w:tr w:rsidR="006D5412" w:rsidRPr="00115587" w14:paraId="6B4E7FAB" w14:textId="77777777" w:rsidTr="00C061E6">
        <w:trPr>
          <w:trHeight w:val="259"/>
        </w:trPr>
        <w:tc>
          <w:tcPr>
            <w:tcW w:w="3054" w:type="dxa"/>
          </w:tcPr>
          <w:p w14:paraId="7C012FDF" w14:textId="77777777" w:rsidR="006D5412" w:rsidRPr="00115587" w:rsidRDefault="006D5412" w:rsidP="00D04746">
            <w:pPr>
              <w:autoSpaceDE w:val="0"/>
              <w:autoSpaceDN w:val="0"/>
              <w:adjustRightInd w:val="0"/>
              <w:rPr>
                <w:rFonts w:cstheme="minorHAnsi"/>
                <w:bCs/>
                <w:color w:val="0000E1"/>
              </w:rPr>
            </w:pPr>
            <w:r w:rsidRPr="00115587">
              <w:rPr>
                <w:rFonts w:cstheme="minorHAnsi"/>
                <w:bCs/>
                <w:color w:val="0000E1"/>
              </w:rPr>
              <w:t xml:space="preserve">     Hospice</w:t>
            </w:r>
          </w:p>
        </w:tc>
        <w:tc>
          <w:tcPr>
            <w:tcW w:w="1018" w:type="dxa"/>
          </w:tcPr>
          <w:p w14:paraId="54966869" w14:textId="77777777" w:rsidR="006D5412" w:rsidRPr="00115587" w:rsidRDefault="00FF2BE5" w:rsidP="00D04746">
            <w:pPr>
              <w:autoSpaceDE w:val="0"/>
              <w:autoSpaceDN w:val="0"/>
              <w:adjustRightInd w:val="0"/>
              <w:jc w:val="center"/>
              <w:rPr>
                <w:rFonts w:cstheme="minorHAnsi"/>
                <w:bCs/>
                <w:color w:val="0000E1"/>
              </w:rPr>
            </w:pPr>
            <w:r w:rsidRPr="00115587">
              <w:rPr>
                <w:rFonts w:cstheme="minorHAnsi"/>
                <w:bCs/>
                <w:color w:val="0000E1"/>
              </w:rPr>
              <w:t>6,874</w:t>
            </w:r>
          </w:p>
        </w:tc>
        <w:tc>
          <w:tcPr>
            <w:tcW w:w="1018" w:type="dxa"/>
          </w:tcPr>
          <w:p w14:paraId="29305B4A" w14:textId="77777777" w:rsidR="006D5412" w:rsidRPr="00115587" w:rsidRDefault="00E2658D" w:rsidP="00D04746">
            <w:pPr>
              <w:autoSpaceDE w:val="0"/>
              <w:autoSpaceDN w:val="0"/>
              <w:adjustRightInd w:val="0"/>
              <w:jc w:val="center"/>
              <w:rPr>
                <w:rFonts w:cstheme="minorHAnsi"/>
                <w:bCs/>
                <w:color w:val="0000E1"/>
              </w:rPr>
            </w:pPr>
            <w:r w:rsidRPr="00115587">
              <w:rPr>
                <w:rFonts w:cstheme="minorHAnsi"/>
                <w:bCs/>
                <w:color w:val="0000E1"/>
              </w:rPr>
              <w:t>0.13</w:t>
            </w:r>
          </w:p>
        </w:tc>
        <w:tc>
          <w:tcPr>
            <w:tcW w:w="4550" w:type="dxa"/>
          </w:tcPr>
          <w:p w14:paraId="3F2AE2E0" w14:textId="77777777" w:rsidR="006D5412" w:rsidRPr="00115587" w:rsidRDefault="00153720" w:rsidP="00D04746">
            <w:pPr>
              <w:autoSpaceDE w:val="0"/>
              <w:autoSpaceDN w:val="0"/>
              <w:adjustRightInd w:val="0"/>
              <w:rPr>
                <w:rFonts w:cstheme="minorHAnsi"/>
                <w:bCs/>
                <w:color w:val="0000E1"/>
              </w:rPr>
            </w:pPr>
            <w:r w:rsidRPr="00115587">
              <w:rPr>
                <w:rFonts w:cstheme="minorHAnsi"/>
                <w:bCs/>
                <w:color w:val="0000E1"/>
              </w:rPr>
              <w:t>(0.00, 0.00, 0.05, 0.12, 8.00)</w:t>
            </w:r>
          </w:p>
        </w:tc>
      </w:tr>
      <w:tr w:rsidR="006D5412" w:rsidRPr="00115587" w14:paraId="73B455D8" w14:textId="77777777" w:rsidTr="00C061E6">
        <w:trPr>
          <w:trHeight w:val="259"/>
        </w:trPr>
        <w:tc>
          <w:tcPr>
            <w:tcW w:w="3054" w:type="dxa"/>
          </w:tcPr>
          <w:p w14:paraId="3D84AA39" w14:textId="77777777" w:rsidR="006D5412" w:rsidRPr="00115587" w:rsidRDefault="006D5412" w:rsidP="00D04746">
            <w:pPr>
              <w:autoSpaceDE w:val="0"/>
              <w:autoSpaceDN w:val="0"/>
              <w:adjustRightInd w:val="0"/>
              <w:rPr>
                <w:rFonts w:cstheme="minorHAnsi"/>
                <w:bCs/>
                <w:color w:val="0000E1"/>
              </w:rPr>
            </w:pPr>
            <w:r w:rsidRPr="00115587">
              <w:rPr>
                <w:rFonts w:cstheme="minorHAnsi"/>
                <w:bCs/>
                <w:color w:val="0000E1"/>
              </w:rPr>
              <w:t xml:space="preserve">     Insulin</w:t>
            </w:r>
          </w:p>
        </w:tc>
        <w:tc>
          <w:tcPr>
            <w:tcW w:w="1018" w:type="dxa"/>
          </w:tcPr>
          <w:p w14:paraId="25832426" w14:textId="77777777" w:rsidR="006D5412" w:rsidRPr="00115587" w:rsidRDefault="00C40B38" w:rsidP="00D04746">
            <w:pPr>
              <w:autoSpaceDE w:val="0"/>
              <w:autoSpaceDN w:val="0"/>
              <w:adjustRightInd w:val="0"/>
              <w:jc w:val="center"/>
              <w:rPr>
                <w:rFonts w:cstheme="minorHAnsi"/>
                <w:bCs/>
                <w:color w:val="0000E1"/>
              </w:rPr>
            </w:pPr>
            <w:r w:rsidRPr="00115587">
              <w:rPr>
                <w:rFonts w:cstheme="minorHAnsi"/>
                <w:bCs/>
                <w:color w:val="0000E1"/>
              </w:rPr>
              <w:t>93,797</w:t>
            </w:r>
          </w:p>
        </w:tc>
        <w:tc>
          <w:tcPr>
            <w:tcW w:w="1018" w:type="dxa"/>
          </w:tcPr>
          <w:p w14:paraId="330E9EAC" w14:textId="77777777" w:rsidR="006D5412" w:rsidRPr="00115587" w:rsidRDefault="00E2658D" w:rsidP="00D04746">
            <w:pPr>
              <w:autoSpaceDE w:val="0"/>
              <w:autoSpaceDN w:val="0"/>
              <w:adjustRightInd w:val="0"/>
              <w:jc w:val="center"/>
              <w:rPr>
                <w:rFonts w:cstheme="minorHAnsi"/>
                <w:bCs/>
                <w:color w:val="0000E1"/>
              </w:rPr>
            </w:pPr>
            <w:r w:rsidRPr="00115587">
              <w:rPr>
                <w:rFonts w:cstheme="minorHAnsi"/>
                <w:bCs/>
                <w:color w:val="0000E1"/>
              </w:rPr>
              <w:t>1.75</w:t>
            </w:r>
          </w:p>
        </w:tc>
        <w:tc>
          <w:tcPr>
            <w:tcW w:w="4550" w:type="dxa"/>
          </w:tcPr>
          <w:p w14:paraId="52E9F04B" w14:textId="77777777" w:rsidR="006D5412" w:rsidRPr="00115587" w:rsidRDefault="00153720" w:rsidP="00D04746">
            <w:pPr>
              <w:autoSpaceDE w:val="0"/>
              <w:autoSpaceDN w:val="0"/>
              <w:adjustRightInd w:val="0"/>
              <w:rPr>
                <w:rFonts w:cstheme="minorHAnsi"/>
                <w:bCs/>
                <w:color w:val="0000E1"/>
              </w:rPr>
            </w:pPr>
            <w:r w:rsidRPr="00115587">
              <w:rPr>
                <w:rFonts w:cstheme="minorHAnsi"/>
                <w:bCs/>
                <w:color w:val="0000E1"/>
              </w:rPr>
              <w:t>(0.00, 1.00, 1.46, 1.99, 7.14)</w:t>
            </w:r>
          </w:p>
        </w:tc>
      </w:tr>
      <w:tr w:rsidR="006D5412" w:rsidRPr="00115587" w14:paraId="0067B926" w14:textId="77777777" w:rsidTr="00C061E6">
        <w:trPr>
          <w:trHeight w:val="270"/>
        </w:trPr>
        <w:tc>
          <w:tcPr>
            <w:tcW w:w="3054" w:type="dxa"/>
            <w:shd w:val="clear" w:color="auto" w:fill="D9D9D9" w:themeFill="background1" w:themeFillShade="D9"/>
          </w:tcPr>
          <w:p w14:paraId="684E2F2F" w14:textId="77777777" w:rsidR="006D5412" w:rsidRPr="00E40B89" w:rsidRDefault="006D5412" w:rsidP="00D04746">
            <w:pPr>
              <w:autoSpaceDE w:val="0"/>
              <w:autoSpaceDN w:val="0"/>
              <w:adjustRightInd w:val="0"/>
              <w:rPr>
                <w:rFonts w:cstheme="minorHAnsi"/>
                <w:b/>
                <w:bCs/>
                <w:color w:val="0000E1"/>
              </w:rPr>
            </w:pPr>
            <w:r w:rsidRPr="00E40B89">
              <w:rPr>
                <w:rFonts w:cstheme="minorHAnsi"/>
                <w:b/>
                <w:bCs/>
                <w:color w:val="0000E1"/>
              </w:rPr>
              <w:t>RASA</w:t>
            </w:r>
          </w:p>
        </w:tc>
        <w:tc>
          <w:tcPr>
            <w:tcW w:w="1018" w:type="dxa"/>
            <w:shd w:val="clear" w:color="auto" w:fill="D9D9D9" w:themeFill="background1" w:themeFillShade="D9"/>
          </w:tcPr>
          <w:p w14:paraId="1A7517AF" w14:textId="77777777" w:rsidR="006D5412" w:rsidRPr="00115587" w:rsidRDefault="006D5412" w:rsidP="00D04746">
            <w:pPr>
              <w:autoSpaceDE w:val="0"/>
              <w:autoSpaceDN w:val="0"/>
              <w:adjustRightInd w:val="0"/>
              <w:rPr>
                <w:rFonts w:cstheme="minorHAnsi"/>
                <w:bCs/>
                <w:color w:val="0000E1"/>
              </w:rPr>
            </w:pPr>
          </w:p>
        </w:tc>
        <w:tc>
          <w:tcPr>
            <w:tcW w:w="1018" w:type="dxa"/>
            <w:shd w:val="clear" w:color="auto" w:fill="D9D9D9" w:themeFill="background1" w:themeFillShade="D9"/>
          </w:tcPr>
          <w:p w14:paraId="191A66D9" w14:textId="77777777" w:rsidR="006D5412" w:rsidRPr="00115587" w:rsidRDefault="006D5412" w:rsidP="00D04746">
            <w:pPr>
              <w:autoSpaceDE w:val="0"/>
              <w:autoSpaceDN w:val="0"/>
              <w:adjustRightInd w:val="0"/>
              <w:rPr>
                <w:rFonts w:cstheme="minorHAnsi"/>
                <w:bCs/>
                <w:color w:val="0000E1"/>
              </w:rPr>
            </w:pPr>
          </w:p>
        </w:tc>
        <w:tc>
          <w:tcPr>
            <w:tcW w:w="4550" w:type="dxa"/>
            <w:shd w:val="clear" w:color="auto" w:fill="D9D9D9" w:themeFill="background1" w:themeFillShade="D9"/>
          </w:tcPr>
          <w:p w14:paraId="24E8573E" w14:textId="77777777" w:rsidR="006D5412" w:rsidRPr="00115587" w:rsidRDefault="006D5412" w:rsidP="00D04746">
            <w:pPr>
              <w:autoSpaceDE w:val="0"/>
              <w:autoSpaceDN w:val="0"/>
              <w:adjustRightInd w:val="0"/>
              <w:rPr>
                <w:rFonts w:cstheme="minorHAnsi"/>
                <w:bCs/>
                <w:color w:val="0000E1"/>
              </w:rPr>
            </w:pPr>
          </w:p>
        </w:tc>
      </w:tr>
      <w:tr w:rsidR="006D5412" w:rsidRPr="00115587" w14:paraId="57CE23E0" w14:textId="77777777" w:rsidTr="00C061E6">
        <w:trPr>
          <w:trHeight w:val="259"/>
        </w:trPr>
        <w:tc>
          <w:tcPr>
            <w:tcW w:w="3054" w:type="dxa"/>
          </w:tcPr>
          <w:p w14:paraId="26368F31" w14:textId="77777777" w:rsidR="006D5412" w:rsidRPr="00115587" w:rsidRDefault="006D5412" w:rsidP="00D04746">
            <w:pPr>
              <w:autoSpaceDE w:val="0"/>
              <w:autoSpaceDN w:val="0"/>
              <w:adjustRightInd w:val="0"/>
              <w:rPr>
                <w:rFonts w:cstheme="minorHAnsi"/>
                <w:bCs/>
                <w:color w:val="0000E1"/>
              </w:rPr>
            </w:pPr>
            <w:r w:rsidRPr="00115587">
              <w:rPr>
                <w:rFonts w:cstheme="minorHAnsi"/>
                <w:bCs/>
                <w:color w:val="0000E1"/>
              </w:rPr>
              <w:t xml:space="preserve">     ESRD</w:t>
            </w:r>
          </w:p>
        </w:tc>
        <w:tc>
          <w:tcPr>
            <w:tcW w:w="1018" w:type="dxa"/>
          </w:tcPr>
          <w:p w14:paraId="162020F9" w14:textId="77777777" w:rsidR="006D5412" w:rsidRPr="00115587" w:rsidRDefault="004C604B" w:rsidP="00D04746">
            <w:pPr>
              <w:autoSpaceDE w:val="0"/>
              <w:autoSpaceDN w:val="0"/>
              <w:adjustRightInd w:val="0"/>
              <w:jc w:val="center"/>
              <w:rPr>
                <w:rFonts w:cstheme="minorHAnsi"/>
                <w:bCs/>
                <w:color w:val="0000E1"/>
              </w:rPr>
            </w:pPr>
            <w:r w:rsidRPr="00115587">
              <w:rPr>
                <w:rFonts w:cstheme="minorHAnsi"/>
                <w:bCs/>
                <w:color w:val="0000E1"/>
              </w:rPr>
              <w:t>5,500</w:t>
            </w:r>
          </w:p>
        </w:tc>
        <w:tc>
          <w:tcPr>
            <w:tcW w:w="1018" w:type="dxa"/>
          </w:tcPr>
          <w:p w14:paraId="699DADF9" w14:textId="77777777" w:rsidR="006D5412" w:rsidRPr="00115587" w:rsidRDefault="004C604B" w:rsidP="00D04746">
            <w:pPr>
              <w:autoSpaceDE w:val="0"/>
              <w:autoSpaceDN w:val="0"/>
              <w:adjustRightInd w:val="0"/>
              <w:jc w:val="center"/>
              <w:rPr>
                <w:rFonts w:cstheme="minorHAnsi"/>
                <w:bCs/>
                <w:color w:val="0000E1"/>
              </w:rPr>
            </w:pPr>
            <w:r w:rsidRPr="00115587">
              <w:rPr>
                <w:rFonts w:cstheme="minorHAnsi"/>
                <w:bCs/>
                <w:color w:val="0000E1"/>
              </w:rPr>
              <w:t>0.10</w:t>
            </w:r>
          </w:p>
        </w:tc>
        <w:tc>
          <w:tcPr>
            <w:tcW w:w="4550" w:type="dxa"/>
          </w:tcPr>
          <w:p w14:paraId="6128082A" w14:textId="77777777" w:rsidR="006D5412" w:rsidRPr="00115587" w:rsidRDefault="007C570D" w:rsidP="00D04746">
            <w:pPr>
              <w:autoSpaceDE w:val="0"/>
              <w:autoSpaceDN w:val="0"/>
              <w:adjustRightInd w:val="0"/>
              <w:rPr>
                <w:rFonts w:cstheme="minorHAnsi"/>
                <w:bCs/>
                <w:color w:val="0000E1"/>
              </w:rPr>
            </w:pPr>
            <w:r w:rsidRPr="00115587">
              <w:rPr>
                <w:rFonts w:cstheme="minorHAnsi"/>
                <w:bCs/>
                <w:color w:val="0000E1"/>
              </w:rPr>
              <w:t>(0.00, 0.00, 0.05, 0.11, 2.27)</w:t>
            </w:r>
          </w:p>
        </w:tc>
      </w:tr>
      <w:tr w:rsidR="006D5412" w:rsidRPr="00115587" w14:paraId="3229E4B5" w14:textId="77777777" w:rsidTr="00C061E6">
        <w:trPr>
          <w:trHeight w:val="259"/>
        </w:trPr>
        <w:tc>
          <w:tcPr>
            <w:tcW w:w="3054" w:type="dxa"/>
          </w:tcPr>
          <w:p w14:paraId="1A432271" w14:textId="77777777" w:rsidR="006D5412" w:rsidRPr="00115587" w:rsidRDefault="006D5412" w:rsidP="00D04746">
            <w:pPr>
              <w:autoSpaceDE w:val="0"/>
              <w:autoSpaceDN w:val="0"/>
              <w:adjustRightInd w:val="0"/>
              <w:rPr>
                <w:rFonts w:cstheme="minorHAnsi"/>
                <w:bCs/>
                <w:color w:val="0000E1"/>
              </w:rPr>
            </w:pPr>
            <w:r w:rsidRPr="00115587">
              <w:rPr>
                <w:rFonts w:cstheme="minorHAnsi"/>
                <w:bCs/>
                <w:color w:val="0000E1"/>
              </w:rPr>
              <w:t xml:space="preserve">     Hospice</w:t>
            </w:r>
          </w:p>
        </w:tc>
        <w:tc>
          <w:tcPr>
            <w:tcW w:w="1018" w:type="dxa"/>
          </w:tcPr>
          <w:p w14:paraId="1C8D0944" w14:textId="77777777" w:rsidR="006D5412" w:rsidRPr="00115587" w:rsidRDefault="004C604B" w:rsidP="00D04746">
            <w:pPr>
              <w:autoSpaceDE w:val="0"/>
              <w:autoSpaceDN w:val="0"/>
              <w:adjustRightInd w:val="0"/>
              <w:jc w:val="center"/>
              <w:rPr>
                <w:rFonts w:cstheme="minorHAnsi"/>
                <w:bCs/>
                <w:color w:val="0000E1"/>
              </w:rPr>
            </w:pPr>
            <w:r w:rsidRPr="00115587">
              <w:rPr>
                <w:rFonts w:cstheme="minorHAnsi"/>
                <w:bCs/>
                <w:color w:val="0000E1"/>
              </w:rPr>
              <w:t>6,874</w:t>
            </w:r>
          </w:p>
        </w:tc>
        <w:tc>
          <w:tcPr>
            <w:tcW w:w="1018" w:type="dxa"/>
          </w:tcPr>
          <w:p w14:paraId="69A942BA" w14:textId="77777777" w:rsidR="006D5412" w:rsidRPr="00115587" w:rsidRDefault="004C604B" w:rsidP="00D04746">
            <w:pPr>
              <w:autoSpaceDE w:val="0"/>
              <w:autoSpaceDN w:val="0"/>
              <w:adjustRightInd w:val="0"/>
              <w:jc w:val="center"/>
              <w:rPr>
                <w:rFonts w:cstheme="minorHAnsi"/>
                <w:bCs/>
                <w:color w:val="0000E1"/>
              </w:rPr>
            </w:pPr>
            <w:r w:rsidRPr="00115587">
              <w:rPr>
                <w:rFonts w:cstheme="minorHAnsi"/>
                <w:bCs/>
                <w:color w:val="0000E1"/>
              </w:rPr>
              <w:t>0.13</w:t>
            </w:r>
          </w:p>
        </w:tc>
        <w:tc>
          <w:tcPr>
            <w:tcW w:w="4550" w:type="dxa"/>
          </w:tcPr>
          <w:p w14:paraId="1D71CF49" w14:textId="77777777" w:rsidR="006D5412" w:rsidRPr="00115587" w:rsidRDefault="007C570D" w:rsidP="00D04746">
            <w:pPr>
              <w:autoSpaceDE w:val="0"/>
              <w:autoSpaceDN w:val="0"/>
              <w:adjustRightInd w:val="0"/>
              <w:rPr>
                <w:rFonts w:cstheme="minorHAnsi"/>
                <w:bCs/>
                <w:color w:val="0000E1"/>
              </w:rPr>
            </w:pPr>
            <w:r w:rsidRPr="00115587">
              <w:rPr>
                <w:rFonts w:cstheme="minorHAnsi"/>
                <w:bCs/>
                <w:color w:val="0000E1"/>
              </w:rPr>
              <w:t>(0.00, 0.00, 0.05, 0.12, 8.00)</w:t>
            </w:r>
          </w:p>
        </w:tc>
      </w:tr>
      <w:tr w:rsidR="006D5412" w:rsidRPr="00115587" w14:paraId="296716F6" w14:textId="77777777" w:rsidTr="00C061E6">
        <w:trPr>
          <w:trHeight w:val="259"/>
        </w:trPr>
        <w:tc>
          <w:tcPr>
            <w:tcW w:w="3054" w:type="dxa"/>
          </w:tcPr>
          <w:p w14:paraId="0C37CEA5" w14:textId="77777777" w:rsidR="006D5412" w:rsidRPr="00115587" w:rsidRDefault="006D5412" w:rsidP="00D04746">
            <w:pPr>
              <w:autoSpaceDE w:val="0"/>
              <w:autoSpaceDN w:val="0"/>
              <w:adjustRightInd w:val="0"/>
              <w:rPr>
                <w:rFonts w:cstheme="minorHAnsi"/>
                <w:bCs/>
                <w:color w:val="0000E1"/>
              </w:rPr>
            </w:pPr>
            <w:r w:rsidRPr="00115587">
              <w:rPr>
                <w:rFonts w:cstheme="minorHAnsi"/>
                <w:bCs/>
                <w:color w:val="0000E1"/>
              </w:rPr>
              <w:t xml:space="preserve">     Sacubitril/Valsartan</w:t>
            </w:r>
          </w:p>
        </w:tc>
        <w:tc>
          <w:tcPr>
            <w:tcW w:w="1018" w:type="dxa"/>
          </w:tcPr>
          <w:p w14:paraId="53FF5014" w14:textId="77777777" w:rsidR="006D5412" w:rsidRPr="00115587" w:rsidRDefault="004C604B" w:rsidP="00D04746">
            <w:pPr>
              <w:autoSpaceDE w:val="0"/>
              <w:autoSpaceDN w:val="0"/>
              <w:adjustRightInd w:val="0"/>
              <w:jc w:val="center"/>
              <w:rPr>
                <w:rFonts w:cstheme="minorHAnsi"/>
                <w:bCs/>
                <w:color w:val="0000E1"/>
              </w:rPr>
            </w:pPr>
            <w:r w:rsidRPr="00115587">
              <w:rPr>
                <w:rFonts w:cstheme="minorHAnsi"/>
                <w:bCs/>
                <w:color w:val="0000E1"/>
              </w:rPr>
              <w:t>4,485</w:t>
            </w:r>
          </w:p>
        </w:tc>
        <w:tc>
          <w:tcPr>
            <w:tcW w:w="1018" w:type="dxa"/>
          </w:tcPr>
          <w:p w14:paraId="04AFFBB1" w14:textId="77777777" w:rsidR="006D5412" w:rsidRPr="00115587" w:rsidRDefault="004C604B" w:rsidP="00D04746">
            <w:pPr>
              <w:autoSpaceDE w:val="0"/>
              <w:autoSpaceDN w:val="0"/>
              <w:adjustRightInd w:val="0"/>
              <w:jc w:val="center"/>
              <w:rPr>
                <w:rFonts w:cstheme="minorHAnsi"/>
                <w:bCs/>
                <w:color w:val="0000E1"/>
              </w:rPr>
            </w:pPr>
            <w:r w:rsidRPr="00115587">
              <w:rPr>
                <w:rFonts w:cstheme="minorHAnsi"/>
                <w:bCs/>
                <w:color w:val="0000E1"/>
              </w:rPr>
              <w:t>0.08</w:t>
            </w:r>
          </w:p>
        </w:tc>
        <w:tc>
          <w:tcPr>
            <w:tcW w:w="4550" w:type="dxa"/>
          </w:tcPr>
          <w:p w14:paraId="6E576268" w14:textId="77777777" w:rsidR="006D5412" w:rsidRPr="00115587" w:rsidRDefault="007C570D" w:rsidP="00D04746">
            <w:pPr>
              <w:autoSpaceDE w:val="0"/>
              <w:autoSpaceDN w:val="0"/>
              <w:adjustRightInd w:val="0"/>
              <w:rPr>
                <w:rFonts w:cstheme="minorHAnsi"/>
                <w:bCs/>
                <w:color w:val="0000E1"/>
              </w:rPr>
            </w:pPr>
            <w:r w:rsidRPr="00115587">
              <w:rPr>
                <w:rFonts w:cstheme="minorHAnsi"/>
                <w:bCs/>
                <w:color w:val="0000E1"/>
              </w:rPr>
              <w:t>(0.00, 0.00, 0.02, 0.06, 2.17)</w:t>
            </w:r>
          </w:p>
        </w:tc>
      </w:tr>
      <w:tr w:rsidR="006D5412" w:rsidRPr="00115587" w14:paraId="239DFDEC" w14:textId="77777777" w:rsidTr="00C061E6">
        <w:trPr>
          <w:trHeight w:val="259"/>
        </w:trPr>
        <w:tc>
          <w:tcPr>
            <w:tcW w:w="3054" w:type="dxa"/>
            <w:shd w:val="clear" w:color="auto" w:fill="D9D9D9" w:themeFill="background1" w:themeFillShade="D9"/>
          </w:tcPr>
          <w:p w14:paraId="72E8937C" w14:textId="77777777" w:rsidR="006D5412" w:rsidRPr="00E40B89" w:rsidRDefault="006D5412" w:rsidP="00D04746">
            <w:pPr>
              <w:autoSpaceDE w:val="0"/>
              <w:autoSpaceDN w:val="0"/>
              <w:adjustRightInd w:val="0"/>
              <w:rPr>
                <w:rFonts w:cstheme="minorHAnsi"/>
                <w:b/>
                <w:bCs/>
                <w:color w:val="0000E1"/>
              </w:rPr>
            </w:pPr>
            <w:r w:rsidRPr="00E40B89">
              <w:rPr>
                <w:rFonts w:cstheme="minorHAnsi"/>
                <w:b/>
                <w:bCs/>
                <w:color w:val="0000E1"/>
              </w:rPr>
              <w:t>Statins</w:t>
            </w:r>
          </w:p>
        </w:tc>
        <w:tc>
          <w:tcPr>
            <w:tcW w:w="1018" w:type="dxa"/>
            <w:shd w:val="clear" w:color="auto" w:fill="D9D9D9" w:themeFill="background1" w:themeFillShade="D9"/>
          </w:tcPr>
          <w:p w14:paraId="5F6EFE1F" w14:textId="77777777" w:rsidR="006D5412" w:rsidRPr="00115587" w:rsidRDefault="006D5412" w:rsidP="00D04746">
            <w:pPr>
              <w:autoSpaceDE w:val="0"/>
              <w:autoSpaceDN w:val="0"/>
              <w:adjustRightInd w:val="0"/>
              <w:rPr>
                <w:rFonts w:cstheme="minorHAnsi"/>
                <w:bCs/>
                <w:color w:val="0000E1"/>
              </w:rPr>
            </w:pPr>
          </w:p>
        </w:tc>
        <w:tc>
          <w:tcPr>
            <w:tcW w:w="1018" w:type="dxa"/>
            <w:shd w:val="clear" w:color="auto" w:fill="D9D9D9" w:themeFill="background1" w:themeFillShade="D9"/>
          </w:tcPr>
          <w:p w14:paraId="4017D1B0" w14:textId="77777777" w:rsidR="006D5412" w:rsidRPr="00115587" w:rsidRDefault="006D5412" w:rsidP="00D04746">
            <w:pPr>
              <w:autoSpaceDE w:val="0"/>
              <w:autoSpaceDN w:val="0"/>
              <w:adjustRightInd w:val="0"/>
              <w:rPr>
                <w:rFonts w:cstheme="minorHAnsi"/>
                <w:bCs/>
                <w:color w:val="0000E1"/>
              </w:rPr>
            </w:pPr>
          </w:p>
        </w:tc>
        <w:tc>
          <w:tcPr>
            <w:tcW w:w="4550" w:type="dxa"/>
            <w:shd w:val="clear" w:color="auto" w:fill="D9D9D9" w:themeFill="background1" w:themeFillShade="D9"/>
          </w:tcPr>
          <w:p w14:paraId="6CD43263" w14:textId="77777777" w:rsidR="006D5412" w:rsidRPr="00115587" w:rsidRDefault="006D5412" w:rsidP="00D04746">
            <w:pPr>
              <w:autoSpaceDE w:val="0"/>
              <w:autoSpaceDN w:val="0"/>
              <w:adjustRightInd w:val="0"/>
              <w:rPr>
                <w:rFonts w:cstheme="minorHAnsi"/>
                <w:bCs/>
                <w:color w:val="0000E1"/>
              </w:rPr>
            </w:pPr>
          </w:p>
        </w:tc>
      </w:tr>
      <w:tr w:rsidR="006D5412" w:rsidRPr="00115587" w14:paraId="71A390DB" w14:textId="77777777" w:rsidTr="00C061E6">
        <w:trPr>
          <w:trHeight w:val="259"/>
        </w:trPr>
        <w:tc>
          <w:tcPr>
            <w:tcW w:w="3054" w:type="dxa"/>
            <w:shd w:val="clear" w:color="auto" w:fill="FFFFFF" w:themeFill="background1"/>
          </w:tcPr>
          <w:p w14:paraId="7F23073E" w14:textId="77777777" w:rsidR="006D5412" w:rsidRPr="00115587" w:rsidRDefault="006D5412" w:rsidP="00D04746">
            <w:pPr>
              <w:autoSpaceDE w:val="0"/>
              <w:autoSpaceDN w:val="0"/>
              <w:adjustRightInd w:val="0"/>
              <w:rPr>
                <w:rFonts w:cstheme="minorHAnsi"/>
                <w:bCs/>
                <w:color w:val="0000E1"/>
              </w:rPr>
            </w:pPr>
            <w:r w:rsidRPr="00115587">
              <w:rPr>
                <w:rFonts w:cstheme="minorHAnsi"/>
                <w:bCs/>
                <w:color w:val="0000E1"/>
              </w:rPr>
              <w:t xml:space="preserve">     ESRD</w:t>
            </w:r>
          </w:p>
        </w:tc>
        <w:tc>
          <w:tcPr>
            <w:tcW w:w="1018" w:type="dxa"/>
            <w:shd w:val="clear" w:color="auto" w:fill="FFFFFF" w:themeFill="background1"/>
          </w:tcPr>
          <w:p w14:paraId="7DD9E4C8" w14:textId="77777777" w:rsidR="006D5412" w:rsidRPr="00115587" w:rsidRDefault="002A2BB8" w:rsidP="00D04746">
            <w:pPr>
              <w:autoSpaceDE w:val="0"/>
              <w:autoSpaceDN w:val="0"/>
              <w:adjustRightInd w:val="0"/>
              <w:jc w:val="center"/>
              <w:rPr>
                <w:rFonts w:cstheme="minorHAnsi"/>
                <w:bCs/>
                <w:color w:val="0000E1"/>
              </w:rPr>
            </w:pPr>
            <w:r w:rsidRPr="00115587">
              <w:rPr>
                <w:rFonts w:cstheme="minorHAnsi"/>
                <w:bCs/>
                <w:color w:val="0000E1"/>
              </w:rPr>
              <w:t>5,052</w:t>
            </w:r>
          </w:p>
        </w:tc>
        <w:tc>
          <w:tcPr>
            <w:tcW w:w="1018" w:type="dxa"/>
            <w:shd w:val="clear" w:color="auto" w:fill="FFFFFF" w:themeFill="background1"/>
          </w:tcPr>
          <w:p w14:paraId="2B2AD840" w14:textId="77777777" w:rsidR="006D5412" w:rsidRPr="00115587" w:rsidRDefault="00AF65BB" w:rsidP="00D04746">
            <w:pPr>
              <w:autoSpaceDE w:val="0"/>
              <w:autoSpaceDN w:val="0"/>
              <w:adjustRightInd w:val="0"/>
              <w:jc w:val="center"/>
              <w:rPr>
                <w:rFonts w:cstheme="minorHAnsi"/>
                <w:bCs/>
                <w:color w:val="0000E1"/>
              </w:rPr>
            </w:pPr>
            <w:r w:rsidRPr="00115587">
              <w:rPr>
                <w:rFonts w:cstheme="minorHAnsi"/>
                <w:bCs/>
                <w:color w:val="0000E1"/>
              </w:rPr>
              <w:t>0.09</w:t>
            </w:r>
          </w:p>
        </w:tc>
        <w:tc>
          <w:tcPr>
            <w:tcW w:w="4550" w:type="dxa"/>
            <w:shd w:val="clear" w:color="auto" w:fill="FFFFFF" w:themeFill="background1"/>
          </w:tcPr>
          <w:p w14:paraId="25B6D203" w14:textId="77777777" w:rsidR="006D5412" w:rsidRPr="00115587" w:rsidRDefault="00E7346C" w:rsidP="00D04746">
            <w:pPr>
              <w:autoSpaceDE w:val="0"/>
              <w:autoSpaceDN w:val="0"/>
              <w:adjustRightInd w:val="0"/>
              <w:rPr>
                <w:rFonts w:cstheme="minorHAnsi"/>
                <w:bCs/>
                <w:color w:val="0000E1"/>
              </w:rPr>
            </w:pPr>
            <w:r w:rsidRPr="00115587">
              <w:rPr>
                <w:rFonts w:cstheme="minorHAnsi"/>
                <w:bCs/>
                <w:color w:val="0000E1"/>
              </w:rPr>
              <w:t>(0.00, 0.00, 0.05, 0.10, 0.58)</w:t>
            </w:r>
          </w:p>
        </w:tc>
      </w:tr>
      <w:tr w:rsidR="006D5412" w:rsidRPr="00115587" w14:paraId="535A9C1F" w14:textId="77777777" w:rsidTr="00C061E6">
        <w:trPr>
          <w:trHeight w:val="259"/>
        </w:trPr>
        <w:tc>
          <w:tcPr>
            <w:tcW w:w="3054" w:type="dxa"/>
            <w:tcBorders>
              <w:bottom w:val="single" w:sz="4" w:space="0" w:color="auto"/>
            </w:tcBorders>
            <w:shd w:val="clear" w:color="auto" w:fill="FFFFFF" w:themeFill="background1"/>
          </w:tcPr>
          <w:p w14:paraId="2AF9249C" w14:textId="77777777" w:rsidR="006D5412" w:rsidRPr="00115587" w:rsidRDefault="006D5412" w:rsidP="00D04746">
            <w:pPr>
              <w:autoSpaceDE w:val="0"/>
              <w:autoSpaceDN w:val="0"/>
              <w:adjustRightInd w:val="0"/>
              <w:rPr>
                <w:rFonts w:cstheme="minorHAnsi"/>
                <w:bCs/>
                <w:color w:val="0000E1"/>
              </w:rPr>
            </w:pPr>
            <w:r w:rsidRPr="00115587">
              <w:rPr>
                <w:rFonts w:cstheme="minorHAnsi"/>
                <w:bCs/>
                <w:color w:val="0000E1"/>
              </w:rPr>
              <w:t xml:space="preserve">     Hospice</w:t>
            </w:r>
          </w:p>
        </w:tc>
        <w:tc>
          <w:tcPr>
            <w:tcW w:w="1018" w:type="dxa"/>
            <w:tcBorders>
              <w:bottom w:val="single" w:sz="4" w:space="0" w:color="auto"/>
            </w:tcBorders>
            <w:shd w:val="clear" w:color="auto" w:fill="FFFFFF" w:themeFill="background1"/>
          </w:tcPr>
          <w:p w14:paraId="32FE42AC" w14:textId="77777777" w:rsidR="006D5412" w:rsidRPr="00115587" w:rsidRDefault="00AF65BB" w:rsidP="00D04746">
            <w:pPr>
              <w:autoSpaceDE w:val="0"/>
              <w:autoSpaceDN w:val="0"/>
              <w:adjustRightInd w:val="0"/>
              <w:jc w:val="center"/>
              <w:rPr>
                <w:rFonts w:cstheme="minorHAnsi"/>
                <w:bCs/>
                <w:color w:val="0000E1"/>
              </w:rPr>
            </w:pPr>
            <w:r w:rsidRPr="00115587">
              <w:rPr>
                <w:rFonts w:cstheme="minorHAnsi"/>
                <w:bCs/>
                <w:color w:val="0000E1"/>
              </w:rPr>
              <w:t>6,874</w:t>
            </w:r>
          </w:p>
        </w:tc>
        <w:tc>
          <w:tcPr>
            <w:tcW w:w="1018" w:type="dxa"/>
            <w:tcBorders>
              <w:bottom w:val="single" w:sz="4" w:space="0" w:color="auto"/>
            </w:tcBorders>
            <w:shd w:val="clear" w:color="auto" w:fill="FFFFFF" w:themeFill="background1"/>
          </w:tcPr>
          <w:p w14:paraId="5F509DB2" w14:textId="77777777" w:rsidR="006D5412" w:rsidRPr="00115587" w:rsidRDefault="00AF65BB" w:rsidP="00D04746">
            <w:pPr>
              <w:autoSpaceDE w:val="0"/>
              <w:autoSpaceDN w:val="0"/>
              <w:adjustRightInd w:val="0"/>
              <w:jc w:val="center"/>
              <w:rPr>
                <w:rFonts w:cstheme="minorHAnsi"/>
                <w:bCs/>
                <w:color w:val="0000E1"/>
              </w:rPr>
            </w:pPr>
            <w:r w:rsidRPr="00115587">
              <w:rPr>
                <w:rFonts w:cstheme="minorHAnsi"/>
                <w:bCs/>
                <w:color w:val="0000E1"/>
              </w:rPr>
              <w:t>0.13</w:t>
            </w:r>
          </w:p>
        </w:tc>
        <w:tc>
          <w:tcPr>
            <w:tcW w:w="4550" w:type="dxa"/>
            <w:tcBorders>
              <w:bottom w:val="single" w:sz="4" w:space="0" w:color="auto"/>
            </w:tcBorders>
            <w:shd w:val="clear" w:color="auto" w:fill="FFFFFF" w:themeFill="background1"/>
          </w:tcPr>
          <w:p w14:paraId="32BE8E01" w14:textId="77777777" w:rsidR="006D5412" w:rsidRPr="00115587" w:rsidRDefault="00E7346C" w:rsidP="00D04746">
            <w:pPr>
              <w:autoSpaceDE w:val="0"/>
              <w:autoSpaceDN w:val="0"/>
              <w:adjustRightInd w:val="0"/>
              <w:rPr>
                <w:rFonts w:cstheme="minorHAnsi"/>
                <w:bCs/>
                <w:color w:val="0000E1"/>
              </w:rPr>
            </w:pPr>
            <w:r w:rsidRPr="00115587">
              <w:rPr>
                <w:rFonts w:cstheme="minorHAnsi"/>
                <w:bCs/>
                <w:color w:val="0000E1"/>
              </w:rPr>
              <w:t>(0.00, 0.00, 0.05, 0.12, 8.00)</w:t>
            </w:r>
          </w:p>
        </w:tc>
      </w:tr>
      <w:tr w:rsidR="00AD3877" w:rsidRPr="00CD5819" w14:paraId="455F8D10" w14:textId="77777777" w:rsidTr="00C061E6">
        <w:trPr>
          <w:trHeight w:val="256"/>
        </w:trPr>
        <w:tc>
          <w:tcPr>
            <w:tcW w:w="9641" w:type="dxa"/>
            <w:gridSpan w:val="4"/>
            <w:tcBorders>
              <w:top w:val="single" w:sz="4" w:space="0" w:color="auto"/>
              <w:left w:val="nil"/>
              <w:bottom w:val="nil"/>
              <w:right w:val="nil"/>
            </w:tcBorders>
            <w:shd w:val="clear" w:color="auto" w:fill="auto"/>
            <w:vAlign w:val="center"/>
          </w:tcPr>
          <w:p w14:paraId="56243058" w14:textId="77777777" w:rsidR="00AD3877" w:rsidRPr="00E40B89" w:rsidRDefault="00F1566E" w:rsidP="00930280">
            <w:pPr>
              <w:rPr>
                <w:rFonts w:ascii="Calibri" w:hAnsi="Calibri" w:cs="Calibri"/>
                <w:i/>
                <w:color w:val="0000E1"/>
                <w:sz w:val="20"/>
              </w:rPr>
            </w:pPr>
            <w:r w:rsidRPr="00E40B89">
              <w:rPr>
                <w:rFonts w:ascii="Calibri" w:hAnsi="Calibri" w:cs="Calibri"/>
                <w:i/>
                <w:color w:val="0000E1"/>
                <w:sz w:val="20"/>
              </w:rPr>
              <w:t>ESRD: end-stage renal disease</w:t>
            </w:r>
            <w:r>
              <w:rPr>
                <w:rFonts w:ascii="Calibri" w:hAnsi="Calibri" w:cs="Calibri"/>
                <w:i/>
                <w:color w:val="0000E1"/>
                <w:sz w:val="20"/>
              </w:rPr>
              <w:t>;</w:t>
            </w:r>
            <w:r w:rsidRPr="00E40B89">
              <w:rPr>
                <w:rFonts w:ascii="Calibri" w:hAnsi="Calibri" w:cs="Calibri"/>
                <w:i/>
                <w:color w:val="0000E1"/>
                <w:sz w:val="20"/>
              </w:rPr>
              <w:t xml:space="preserve"> </w:t>
            </w:r>
            <w:r w:rsidR="00AD3877" w:rsidRPr="00E40B89">
              <w:rPr>
                <w:rFonts w:ascii="Calibri" w:hAnsi="Calibri" w:cs="Calibri"/>
                <w:i/>
                <w:color w:val="0000E1"/>
                <w:sz w:val="20"/>
              </w:rPr>
              <w:t>RASA: renin-angiotensin system antagonist</w:t>
            </w:r>
          </w:p>
        </w:tc>
      </w:tr>
    </w:tbl>
    <w:p w14:paraId="316DD8E8" w14:textId="77777777" w:rsidR="007422FD" w:rsidRDefault="00092566" w:rsidP="00EF250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w:t>
      </w:r>
      <w:r w:rsidR="000B2DF7" w:rsidRPr="00A25024">
        <w:rPr>
          <w:rFonts w:cstheme="minorHAnsi"/>
          <w:bCs/>
          <w:i/>
        </w:rPr>
        <w:lastRenderedPageBreak/>
        <w:t>data collection and analysi</w:t>
      </w:r>
      <w:r w:rsidR="00CC086A" w:rsidRPr="00A25024">
        <w:rPr>
          <w:rFonts w:cstheme="minorHAnsi"/>
          <w:bCs/>
          <w:i/>
        </w:rPr>
        <w:t>s</w:t>
      </w:r>
      <w:r w:rsidR="00E57C81">
        <w:rPr>
          <w:rFonts w:cstheme="minorHAnsi"/>
          <w:bCs/>
          <w:i/>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5E26FF57" w14:textId="77777777" w:rsidR="005270F4" w:rsidRPr="00966116" w:rsidRDefault="00701D38" w:rsidP="00EF2507">
      <w:pPr>
        <w:autoSpaceDE w:val="0"/>
        <w:autoSpaceDN w:val="0"/>
        <w:adjustRightInd w:val="0"/>
        <w:spacing w:after="0" w:line="240" w:lineRule="auto"/>
        <w:rPr>
          <w:rFonts w:cstheme="minorHAnsi"/>
          <w:bCs/>
          <w:color w:val="0000E1"/>
        </w:rPr>
      </w:pPr>
      <w:r w:rsidRPr="00966116">
        <w:rPr>
          <w:rFonts w:cstheme="minorHAnsi"/>
          <w:bCs/>
          <w:color w:val="0000E1"/>
        </w:rPr>
        <w:t xml:space="preserve">Although the overall impact of these exclusions </w:t>
      </w:r>
      <w:r w:rsidR="00196A76" w:rsidRPr="00966116">
        <w:rPr>
          <w:rFonts w:cstheme="minorHAnsi"/>
          <w:bCs/>
          <w:color w:val="0000E1"/>
        </w:rPr>
        <w:t>was</w:t>
      </w:r>
      <w:r w:rsidRPr="00966116">
        <w:rPr>
          <w:rFonts w:cstheme="minorHAnsi"/>
          <w:bCs/>
          <w:color w:val="0000E1"/>
        </w:rPr>
        <w:t xml:space="preserve"> low, the impact </w:t>
      </w:r>
      <w:r w:rsidR="00196A76" w:rsidRPr="00966116">
        <w:rPr>
          <w:rFonts w:cstheme="minorHAnsi"/>
          <w:bCs/>
          <w:color w:val="0000E1"/>
        </w:rPr>
        <w:t>varied substantially at the plan/contract level. Within the Medicare population, there was significant impact of the ESRD exclusion, with up to 22% of beneficiaries in some plan-contracts impacted by this exclusion (Statins)</w:t>
      </w:r>
      <w:r w:rsidR="00E57C81">
        <w:rPr>
          <w:rFonts w:cstheme="minorHAnsi"/>
          <w:bCs/>
          <w:color w:val="0000E1"/>
        </w:rPr>
        <w:t xml:space="preserve">. </w:t>
      </w:r>
      <w:r w:rsidR="00196A76" w:rsidRPr="00966116">
        <w:rPr>
          <w:rFonts w:cstheme="minorHAnsi"/>
          <w:bCs/>
          <w:color w:val="0000E1"/>
        </w:rPr>
        <w:t xml:space="preserve">The impact of hospice was lower, with up to 5% of beneficiaries impacted in some plan-contracts. </w:t>
      </w:r>
      <w:r w:rsidR="005270F4" w:rsidRPr="00966116">
        <w:rPr>
          <w:rFonts w:cstheme="minorHAnsi"/>
          <w:bCs/>
          <w:color w:val="0000E1"/>
        </w:rPr>
        <w:t>There was also significant impact of applying the insulin requirement to the diabetes population</w:t>
      </w:r>
      <w:r w:rsidR="00196A76" w:rsidRPr="00966116">
        <w:rPr>
          <w:rFonts w:cstheme="minorHAnsi"/>
          <w:bCs/>
          <w:color w:val="0000E1"/>
        </w:rPr>
        <w:t xml:space="preserve"> (up to 26%)</w:t>
      </w:r>
      <w:r w:rsidR="005270F4" w:rsidRPr="00966116">
        <w:rPr>
          <w:rFonts w:cstheme="minorHAnsi"/>
          <w:bCs/>
          <w:color w:val="0000E1"/>
        </w:rPr>
        <w:t xml:space="preserve"> and </w:t>
      </w:r>
      <w:r w:rsidR="00196A76" w:rsidRPr="00966116">
        <w:rPr>
          <w:rFonts w:cstheme="minorHAnsi"/>
          <w:bCs/>
          <w:color w:val="0000E1"/>
        </w:rPr>
        <w:t>a lesser impact of the</w:t>
      </w:r>
      <w:r w:rsidR="005270F4" w:rsidRPr="00966116">
        <w:rPr>
          <w:rFonts w:cstheme="minorHAnsi"/>
          <w:bCs/>
          <w:color w:val="0000E1"/>
        </w:rPr>
        <w:t xml:space="preserve"> </w:t>
      </w:r>
      <w:r w:rsidR="000623D2" w:rsidRPr="00966116">
        <w:rPr>
          <w:rFonts w:cstheme="minorHAnsi"/>
          <w:bCs/>
          <w:color w:val="0000E1"/>
        </w:rPr>
        <w:t>sacubitril/valsartan exclusion</w:t>
      </w:r>
      <w:r w:rsidR="005270F4" w:rsidRPr="00966116">
        <w:rPr>
          <w:rFonts w:cstheme="minorHAnsi"/>
          <w:bCs/>
          <w:color w:val="0000E1"/>
        </w:rPr>
        <w:t xml:space="preserve"> to the RASA population</w:t>
      </w:r>
      <w:r w:rsidR="00196A76" w:rsidRPr="00966116">
        <w:rPr>
          <w:rFonts w:cstheme="minorHAnsi"/>
          <w:bCs/>
          <w:color w:val="0000E1"/>
        </w:rPr>
        <w:t xml:space="preserve"> (up to 3%)</w:t>
      </w:r>
      <w:r w:rsidR="005270F4" w:rsidRPr="00966116">
        <w:rPr>
          <w:rFonts w:cstheme="minorHAnsi"/>
          <w:bCs/>
          <w:color w:val="0000E1"/>
        </w:rPr>
        <w:t>. Without applying these exclusions, these beneficiaries would be included in the measure. These are significant proportions of the population that could potentially impact the measure rate</w:t>
      </w:r>
      <w:r w:rsidR="009B7775" w:rsidRPr="00966116">
        <w:rPr>
          <w:rFonts w:cstheme="minorHAnsi"/>
          <w:bCs/>
          <w:color w:val="0000E1"/>
        </w:rPr>
        <w:t xml:space="preserve"> at the plan-contract level</w:t>
      </w:r>
      <w:r w:rsidR="005270F4" w:rsidRPr="00966116">
        <w:rPr>
          <w:rFonts w:cstheme="minorHAnsi"/>
          <w:bCs/>
          <w:color w:val="0000E1"/>
        </w:rPr>
        <w:t xml:space="preserve">. </w:t>
      </w:r>
    </w:p>
    <w:p w14:paraId="191E9C40" w14:textId="77777777" w:rsidR="0096725C" w:rsidRPr="00966116" w:rsidRDefault="0096725C" w:rsidP="00EF2507">
      <w:pPr>
        <w:autoSpaceDE w:val="0"/>
        <w:autoSpaceDN w:val="0"/>
        <w:adjustRightInd w:val="0"/>
        <w:spacing w:after="0" w:line="240" w:lineRule="auto"/>
        <w:rPr>
          <w:rFonts w:cstheme="minorHAnsi"/>
          <w:bCs/>
          <w:color w:val="0000E1"/>
        </w:rPr>
      </w:pPr>
    </w:p>
    <w:p w14:paraId="465D0F74" w14:textId="25F0546A" w:rsidR="00764F63" w:rsidRDefault="00475ED2" w:rsidP="00EF2507">
      <w:pPr>
        <w:autoSpaceDE w:val="0"/>
        <w:autoSpaceDN w:val="0"/>
        <w:adjustRightInd w:val="0"/>
        <w:spacing w:after="0" w:line="240" w:lineRule="auto"/>
        <w:rPr>
          <w:rFonts w:cstheme="minorHAnsi"/>
          <w:bCs/>
          <w:color w:val="0000E1"/>
        </w:rPr>
      </w:pPr>
      <w:proofErr w:type="gramStart"/>
      <w:r w:rsidRPr="002C3EE6">
        <w:rPr>
          <w:rFonts w:cstheme="minorHAnsi"/>
          <w:bCs/>
          <w:color w:val="0000E1"/>
        </w:rPr>
        <w:t>Similar to</w:t>
      </w:r>
      <w:proofErr w:type="gramEnd"/>
      <w:r w:rsidRPr="002C3EE6">
        <w:rPr>
          <w:rFonts w:cstheme="minorHAnsi"/>
          <w:bCs/>
          <w:color w:val="0000E1"/>
        </w:rPr>
        <w:t xml:space="preserve"> the</w:t>
      </w:r>
      <w:r w:rsidR="003D4333" w:rsidRPr="002C3EE6">
        <w:rPr>
          <w:rFonts w:cstheme="minorHAnsi"/>
          <w:bCs/>
          <w:color w:val="0000E1"/>
        </w:rPr>
        <w:t xml:space="preserve"> Medicare population, although the overall impact of the exclusions </w:t>
      </w:r>
      <w:r w:rsidR="00BC4D1B" w:rsidRPr="002C3EE6">
        <w:rPr>
          <w:rFonts w:cstheme="minorHAnsi"/>
          <w:bCs/>
          <w:color w:val="0000E1"/>
        </w:rPr>
        <w:t>was</w:t>
      </w:r>
      <w:r w:rsidR="003D4333" w:rsidRPr="002C3EE6">
        <w:rPr>
          <w:rFonts w:cstheme="minorHAnsi"/>
          <w:bCs/>
          <w:color w:val="0000E1"/>
        </w:rPr>
        <w:t xml:space="preserve"> low, the impact varied by plan with </w:t>
      </w:r>
      <w:r w:rsidR="002C3EE6">
        <w:rPr>
          <w:rFonts w:cstheme="minorHAnsi"/>
          <w:bCs/>
          <w:color w:val="0000E1"/>
        </w:rPr>
        <w:t>the ESRD exclusion showing the most</w:t>
      </w:r>
      <w:r w:rsidR="003A5FA3" w:rsidRPr="002C3EE6">
        <w:rPr>
          <w:rFonts w:cstheme="minorHAnsi"/>
          <w:bCs/>
          <w:color w:val="0000E1"/>
        </w:rPr>
        <w:t xml:space="preserve"> impact.</w:t>
      </w:r>
      <w:r w:rsidR="003A5FA3" w:rsidRPr="00966116">
        <w:rPr>
          <w:rFonts w:cstheme="minorHAnsi"/>
          <w:bCs/>
          <w:color w:val="0000E1"/>
        </w:rPr>
        <w:t xml:space="preserve"> The results show that in some plans, </w:t>
      </w:r>
      <w:r w:rsidR="003D4333" w:rsidRPr="00966116">
        <w:rPr>
          <w:rFonts w:cstheme="minorHAnsi"/>
          <w:bCs/>
          <w:color w:val="0000E1"/>
        </w:rPr>
        <w:t xml:space="preserve">up to 8% </w:t>
      </w:r>
      <w:r w:rsidR="003A5FA3" w:rsidRPr="00966116">
        <w:rPr>
          <w:rFonts w:cstheme="minorHAnsi"/>
          <w:bCs/>
          <w:color w:val="0000E1"/>
        </w:rPr>
        <w:t>of the population ha</w:t>
      </w:r>
      <w:r w:rsidR="007C46DF">
        <w:rPr>
          <w:rFonts w:cstheme="minorHAnsi"/>
          <w:bCs/>
          <w:color w:val="0000E1"/>
        </w:rPr>
        <w:t>d</w:t>
      </w:r>
      <w:r w:rsidR="003A5FA3" w:rsidRPr="00966116">
        <w:rPr>
          <w:rFonts w:cstheme="minorHAnsi"/>
          <w:bCs/>
          <w:color w:val="0000E1"/>
        </w:rPr>
        <w:t xml:space="preserve"> ESRD and would be included in the measure if ESRD was not excluded. </w:t>
      </w:r>
      <w:r w:rsidR="003D4333" w:rsidRPr="00966116">
        <w:rPr>
          <w:rFonts w:cstheme="minorHAnsi"/>
          <w:bCs/>
          <w:color w:val="0000E1"/>
        </w:rPr>
        <w:t>In addition, up to 7% of the populations were impacted by the insulin exclusions. These</w:t>
      </w:r>
      <w:r w:rsidR="003A5FA3" w:rsidRPr="00966116">
        <w:rPr>
          <w:rFonts w:cstheme="minorHAnsi"/>
          <w:bCs/>
          <w:color w:val="0000E1"/>
        </w:rPr>
        <w:t xml:space="preserve"> </w:t>
      </w:r>
      <w:r w:rsidR="003D4333" w:rsidRPr="00966116">
        <w:rPr>
          <w:rFonts w:cstheme="minorHAnsi"/>
          <w:bCs/>
          <w:color w:val="0000E1"/>
        </w:rPr>
        <w:t>are</w:t>
      </w:r>
      <w:r w:rsidR="003A5FA3" w:rsidRPr="00966116">
        <w:rPr>
          <w:rFonts w:cstheme="minorHAnsi"/>
          <w:bCs/>
          <w:color w:val="0000E1"/>
        </w:rPr>
        <w:t xml:space="preserve"> significant proportion</w:t>
      </w:r>
      <w:r w:rsidR="003D4333" w:rsidRPr="00966116">
        <w:rPr>
          <w:rFonts w:cstheme="minorHAnsi"/>
          <w:bCs/>
          <w:color w:val="0000E1"/>
        </w:rPr>
        <w:t>s</w:t>
      </w:r>
      <w:r w:rsidR="003A5FA3" w:rsidRPr="00966116">
        <w:rPr>
          <w:rFonts w:cstheme="minorHAnsi"/>
          <w:bCs/>
          <w:color w:val="0000E1"/>
        </w:rPr>
        <w:t xml:space="preserve"> of the population that could potentially impact the measure </w:t>
      </w:r>
      <w:r w:rsidR="003D4333" w:rsidRPr="00966116">
        <w:rPr>
          <w:rFonts w:cstheme="minorHAnsi"/>
          <w:bCs/>
          <w:color w:val="0000E1"/>
        </w:rPr>
        <w:t>rate.</w:t>
      </w:r>
    </w:p>
    <w:p w14:paraId="7B26A490" w14:textId="77777777" w:rsidR="001202E9" w:rsidRPr="00764F63" w:rsidRDefault="0086464B" w:rsidP="00EF2507">
      <w:pPr>
        <w:autoSpaceDE w:val="0"/>
        <w:autoSpaceDN w:val="0"/>
        <w:adjustRightInd w:val="0"/>
        <w:spacing w:after="0" w:line="240" w:lineRule="auto"/>
        <w:rPr>
          <w:rFonts w:cstheme="minorHAnsi"/>
          <w:bCs/>
          <w:color w:val="0000E1"/>
        </w:rPr>
      </w:pPr>
      <w:r>
        <w:rPr>
          <w:rFonts w:cstheme="minorHAnsi"/>
          <w:bCs/>
        </w:rPr>
        <w:t>____________________________</w:t>
      </w:r>
    </w:p>
    <w:p w14:paraId="148416D6" w14:textId="77777777" w:rsidR="00AC1D8E" w:rsidRPr="0086464B" w:rsidRDefault="00092566" w:rsidP="00AC1D8E">
      <w:pPr>
        <w:autoSpaceDE w:val="0"/>
        <w:autoSpaceDN w:val="0"/>
        <w:adjustRightInd w:val="0"/>
        <w:spacing w:after="0" w:line="240" w:lineRule="auto"/>
        <w:rPr>
          <w:rFonts w:cstheme="minorHAnsi"/>
          <w:b/>
          <w:bCs/>
          <w:i/>
        </w:rPr>
      </w:pPr>
      <w:bookmarkStart w:id="13" w:name="section2b4"/>
      <w:bookmarkEnd w:id="13"/>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2A6CC039" w14:textId="77777777" w:rsidR="008871A9" w:rsidRDefault="008871A9" w:rsidP="00092566">
      <w:pPr>
        <w:autoSpaceDE w:val="0"/>
        <w:autoSpaceDN w:val="0"/>
        <w:adjustRightInd w:val="0"/>
        <w:spacing w:after="0" w:line="240" w:lineRule="auto"/>
        <w:rPr>
          <w:rFonts w:cstheme="minorHAnsi"/>
          <w:b/>
          <w:bCs/>
        </w:rPr>
      </w:pPr>
    </w:p>
    <w:p w14:paraId="29171231"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7521A037" w14:textId="77777777" w:rsidR="00033038" w:rsidRPr="005232D6" w:rsidRDefault="00C87E2A"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260C4396" w14:textId="77777777" w:rsidR="00743E46" w:rsidRPr="005232D6" w:rsidRDefault="00C87E2A"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E84582">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text/>
        </w:sdtPr>
        <w:sdtEndPr>
          <w:rPr>
            <w:rStyle w:val="DefaultParagraphFont"/>
            <w:rFonts w:asciiTheme="minorHAnsi" w:hAnsiTheme="minorHAnsi" w:cstheme="minorHAnsi"/>
            <w:b w:val="0"/>
            <w:bCs/>
            <w:color w:val="auto"/>
          </w:rPr>
        </w:sdtEndPr>
        <w:sdtContent>
          <w:r w:rsidR="00B64245">
            <w:rPr>
              <w:rStyle w:val="Style4"/>
              <w:u w:val="none"/>
            </w:rPr>
            <w:t>5</w:t>
          </w:r>
        </w:sdtContent>
      </w:sdt>
      <w:r w:rsidR="00E562C0" w:rsidRPr="006F22A5">
        <w:rPr>
          <w:rStyle w:val="Style4"/>
          <w:u w:val="none"/>
        </w:rPr>
        <w:t xml:space="preserve"> </w:t>
      </w:r>
      <w:r w:rsidR="00E0165F">
        <w:rPr>
          <w:rStyle w:val="Style4"/>
          <w:u w:val="none"/>
        </w:rPr>
        <w:t xml:space="preserve">sociodemographic </w:t>
      </w:r>
      <w:r w:rsidR="00743E46" w:rsidRPr="005232D6">
        <w:rPr>
          <w:rFonts w:cstheme="minorHAnsi"/>
          <w:b/>
          <w:bCs/>
        </w:rPr>
        <w:t>risk factors</w:t>
      </w:r>
    </w:p>
    <w:p w14:paraId="3F8990A8" w14:textId="77777777" w:rsidR="00743E46" w:rsidRPr="005232D6" w:rsidRDefault="00C87E2A"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1B7F5B98" w14:textId="77777777" w:rsidR="00743E46" w:rsidRPr="005232D6" w:rsidRDefault="00C87E2A"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7FE99288" w14:textId="77777777" w:rsidR="00743E46" w:rsidRDefault="00743E46" w:rsidP="00092566">
      <w:pPr>
        <w:autoSpaceDE w:val="0"/>
        <w:autoSpaceDN w:val="0"/>
        <w:adjustRightInd w:val="0"/>
        <w:spacing w:after="0" w:line="240" w:lineRule="auto"/>
        <w:rPr>
          <w:rFonts w:cstheme="minorHAnsi"/>
          <w:b/>
          <w:bCs/>
        </w:rPr>
      </w:pPr>
    </w:p>
    <w:p w14:paraId="3EA77413" w14:textId="77777777"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w:t>
      </w:r>
      <w:r w:rsidR="00F34FAB" w:rsidRPr="00887921">
        <w:rPr>
          <w:rFonts w:ascii="Calibri" w:eastAsia="MS Mincho" w:hAnsi="Calibri" w:cs="Calibri"/>
          <w:b/>
          <w:bCs/>
        </w:rPr>
        <w:t>coefficients, equations,</w:t>
      </w:r>
      <w:r w:rsidR="00F34FAB" w:rsidRPr="00450C58">
        <w:rPr>
          <w:rFonts w:ascii="Calibri" w:eastAsia="MS Mincho" w:hAnsi="Calibri" w:cs="Calibri"/>
          <w:b/>
          <w:bCs/>
        </w:rPr>
        <w:t xml:space="preserve"> codes with descriptors, and definitions. </w:t>
      </w:r>
    </w:p>
    <w:p w14:paraId="391CE2BB" w14:textId="77777777" w:rsidR="00E0165F" w:rsidRPr="00966116" w:rsidRDefault="00E0165F" w:rsidP="00EF2507">
      <w:pPr>
        <w:spacing w:before="240" w:after="0" w:line="240" w:lineRule="auto"/>
        <w:rPr>
          <w:rFonts w:cs="Calibri"/>
          <w:bCs/>
          <w:color w:val="0000E1"/>
          <w:u w:val="single"/>
        </w:rPr>
      </w:pPr>
      <w:r w:rsidRPr="00966116">
        <w:rPr>
          <w:rFonts w:cs="Calibri"/>
          <w:bCs/>
          <w:color w:val="0000E1"/>
          <w:u w:val="single"/>
        </w:rPr>
        <w:t xml:space="preserve">Within-Contract Outcome Comparisons </w:t>
      </w:r>
    </w:p>
    <w:p w14:paraId="2432F401" w14:textId="77777777" w:rsidR="00BC0B1E" w:rsidRPr="00966116" w:rsidRDefault="00E0165F" w:rsidP="00EF2507">
      <w:pPr>
        <w:spacing w:line="240" w:lineRule="auto"/>
        <w:rPr>
          <w:rFonts w:cs="Calibri"/>
          <w:bCs/>
          <w:color w:val="0000E1"/>
        </w:rPr>
      </w:pPr>
      <w:r w:rsidRPr="00966116">
        <w:rPr>
          <w:rFonts w:cs="Calibri"/>
          <w:bCs/>
          <w:color w:val="0000E1"/>
        </w:rPr>
        <w:t xml:space="preserve">To ensure that beneficiary comparisons were made within </w:t>
      </w:r>
      <w:r w:rsidR="00A34E0F" w:rsidRPr="00966116">
        <w:rPr>
          <w:rFonts w:cs="Calibri"/>
          <w:bCs/>
          <w:color w:val="0000E1"/>
        </w:rPr>
        <w:t>plan-</w:t>
      </w:r>
      <w:r w:rsidRPr="00966116">
        <w:rPr>
          <w:rFonts w:cs="Calibri"/>
          <w:bCs/>
          <w:color w:val="0000E1"/>
        </w:rPr>
        <w:t xml:space="preserve">contracts, we employed a multivariable, random-effects logistic regression model controlling for the Medicare Part D contract for each </w:t>
      </w:r>
      <w:r w:rsidR="000D2636" w:rsidRPr="00966116">
        <w:rPr>
          <w:rFonts w:cs="Calibri"/>
          <w:bCs/>
          <w:color w:val="0000E1"/>
        </w:rPr>
        <w:t>therapeutic category rate</w:t>
      </w:r>
      <w:r w:rsidRPr="00966116">
        <w:rPr>
          <w:rFonts w:cs="Calibri"/>
          <w:bCs/>
          <w:color w:val="0000E1"/>
        </w:rPr>
        <w:t xml:space="preserve">. This approach acknowledges the variability in an outcome that is attributable to the </w:t>
      </w:r>
      <w:r w:rsidR="00A34E0F" w:rsidRPr="00966116">
        <w:rPr>
          <w:rFonts w:cs="Calibri"/>
          <w:bCs/>
          <w:color w:val="0000E1"/>
        </w:rPr>
        <w:t>plan-</w:t>
      </w:r>
      <w:r w:rsidRPr="00966116">
        <w:rPr>
          <w:rFonts w:cs="Calibri"/>
          <w:bCs/>
          <w:color w:val="0000E1"/>
        </w:rPr>
        <w:t xml:space="preserve">contract and only allows comparisons among beneficiaries that are in the same </w:t>
      </w:r>
      <w:r w:rsidR="00A34E0F" w:rsidRPr="00966116">
        <w:rPr>
          <w:rFonts w:cs="Calibri"/>
          <w:bCs/>
          <w:color w:val="0000E1"/>
        </w:rPr>
        <w:t>plan-</w:t>
      </w:r>
      <w:r w:rsidRPr="00966116">
        <w:rPr>
          <w:rFonts w:cs="Calibri"/>
          <w:bCs/>
          <w:color w:val="0000E1"/>
        </w:rPr>
        <w:t xml:space="preserve">contract. </w:t>
      </w:r>
    </w:p>
    <w:p w14:paraId="51C79C8F" w14:textId="77777777" w:rsidR="00E0165F" w:rsidRPr="00966116" w:rsidRDefault="00E0165F" w:rsidP="00EF2507">
      <w:pPr>
        <w:spacing w:line="240" w:lineRule="auto"/>
        <w:rPr>
          <w:rFonts w:cs="Calibri"/>
          <w:bCs/>
          <w:color w:val="0000E1"/>
        </w:rPr>
      </w:pPr>
      <w:r w:rsidRPr="00966116">
        <w:rPr>
          <w:rFonts w:cs="Calibri"/>
          <w:bCs/>
          <w:color w:val="0000E1"/>
        </w:rPr>
        <w:t>The regression models produce odds ratios (ORs) that assess the increased or decreased odds that beneficiaries with the SDS risk factors will have an outcome, as compared to beneficiaries without those risk factors. Univariate regression models were used to explore the association between the measure outcomes and single covariates. A multivariable regression model was used to explore the association between the measure outcomes adjusted for all covariates that were statically significant based on the univariate models.</w:t>
      </w:r>
    </w:p>
    <w:p w14:paraId="552501F7" w14:textId="77777777" w:rsidR="00C061E6" w:rsidRDefault="00C061E6" w:rsidP="00EF2507">
      <w:pPr>
        <w:spacing w:after="0" w:line="240" w:lineRule="auto"/>
        <w:rPr>
          <w:rFonts w:cs="Calibri"/>
          <w:bCs/>
          <w:color w:val="0000E1"/>
          <w:u w:val="single"/>
        </w:rPr>
      </w:pPr>
    </w:p>
    <w:p w14:paraId="4F03B743" w14:textId="77777777" w:rsidR="00C061E6" w:rsidRDefault="00C061E6" w:rsidP="00EF2507">
      <w:pPr>
        <w:spacing w:after="0" w:line="240" w:lineRule="auto"/>
        <w:rPr>
          <w:rFonts w:cs="Calibri"/>
          <w:bCs/>
          <w:color w:val="0000E1"/>
          <w:u w:val="single"/>
        </w:rPr>
      </w:pPr>
    </w:p>
    <w:p w14:paraId="71CDFDC0" w14:textId="07C9425E" w:rsidR="00E0165F" w:rsidRPr="00966116" w:rsidRDefault="00E0165F" w:rsidP="00EF2507">
      <w:pPr>
        <w:spacing w:after="0" w:line="240" w:lineRule="auto"/>
        <w:rPr>
          <w:rFonts w:cs="Calibri"/>
          <w:bCs/>
          <w:color w:val="0000E1"/>
          <w:u w:val="single"/>
        </w:rPr>
      </w:pPr>
      <w:r w:rsidRPr="00966116">
        <w:rPr>
          <w:rFonts w:cs="Calibri"/>
          <w:bCs/>
          <w:color w:val="0000E1"/>
          <w:u w:val="single"/>
        </w:rPr>
        <w:t>SDS Risk Factors</w:t>
      </w:r>
    </w:p>
    <w:p w14:paraId="068CACDC" w14:textId="77777777" w:rsidR="00BC0B1E" w:rsidRDefault="00E0165F" w:rsidP="00EF2507">
      <w:pPr>
        <w:spacing w:after="0" w:line="240" w:lineRule="auto"/>
        <w:rPr>
          <w:rFonts w:cs="Calibri"/>
          <w:bCs/>
          <w:color w:val="0000E1"/>
        </w:rPr>
      </w:pPr>
      <w:r w:rsidRPr="00966116">
        <w:rPr>
          <w:rFonts w:cs="Calibri"/>
          <w:bCs/>
          <w:color w:val="0000E1"/>
        </w:rPr>
        <w:lastRenderedPageBreak/>
        <w:t>Using variables identified through literature review and subject matter experts, initial univariate and multivariable analyses included beneficiary-, community- (9-digit zip code), and county-level variables. Because prescription drug data have little information regarding beneficiaries’ socioeconomic status, each beneficiary’s 9-digit zip code of residence was linked to zip code-specific socioeconomic data contained in the Acxiom InfoBa</w:t>
      </w:r>
      <w:r w:rsidR="0019584A" w:rsidRPr="00966116">
        <w:rPr>
          <w:rFonts w:cs="Calibri"/>
          <w:bCs/>
          <w:color w:val="0000E1"/>
        </w:rPr>
        <w:t>se Geo data</w:t>
      </w:r>
      <w:r w:rsidRPr="00966116">
        <w:rPr>
          <w:rFonts w:cs="Calibri"/>
          <w:bCs/>
          <w:color w:val="0000E1"/>
        </w:rPr>
        <w:t xml:space="preserve"> procured by PQA. County-level variables from the publicly available 2015-2016 Health Resources &amp; Services Administration Area Health Resource Files data were also linked to the dataset via beneficiary 5-digit zip code. </w:t>
      </w:r>
      <w:r w:rsidR="00944E08">
        <w:rPr>
          <w:rFonts w:cs="Calibri"/>
          <w:bCs/>
          <w:color w:val="0000E1"/>
        </w:rPr>
        <w:t>All variables were classified as categor</w:t>
      </w:r>
      <w:r w:rsidR="000B02EC">
        <w:rPr>
          <w:rFonts w:cs="Calibri"/>
          <w:bCs/>
          <w:color w:val="0000E1"/>
        </w:rPr>
        <w:t>ical variables. (see Tables 11-</w:t>
      </w:r>
      <w:r w:rsidR="00FC4034">
        <w:rPr>
          <w:rFonts w:cs="Calibri"/>
          <w:bCs/>
          <w:color w:val="0000E1"/>
        </w:rPr>
        <w:t xml:space="preserve">13). </w:t>
      </w:r>
    </w:p>
    <w:p w14:paraId="5DD01C02" w14:textId="77777777" w:rsidR="000B02EC" w:rsidRPr="00966116" w:rsidRDefault="000B02EC" w:rsidP="00EF2507">
      <w:pPr>
        <w:spacing w:after="0" w:line="240" w:lineRule="auto"/>
        <w:rPr>
          <w:rFonts w:cs="Calibri"/>
          <w:bCs/>
          <w:color w:val="0000E1"/>
        </w:rPr>
      </w:pPr>
    </w:p>
    <w:p w14:paraId="13CF5963" w14:textId="77777777" w:rsidR="00E0165F" w:rsidRPr="00966116" w:rsidRDefault="00E0165F" w:rsidP="00EF2507">
      <w:pPr>
        <w:spacing w:after="0" w:line="240" w:lineRule="auto"/>
        <w:rPr>
          <w:rFonts w:cs="Calibri"/>
          <w:bCs/>
          <w:color w:val="0000E1"/>
        </w:rPr>
      </w:pPr>
      <w:r w:rsidRPr="00966116">
        <w:rPr>
          <w:rFonts w:cs="Calibri"/>
          <w:bCs/>
          <w:color w:val="0000E1"/>
        </w:rPr>
        <w:t>In addition to the full model using all the variables of interest</w:t>
      </w:r>
      <w:r w:rsidR="0041211E" w:rsidRPr="00966116">
        <w:rPr>
          <w:rFonts w:cs="Calibri"/>
          <w:bCs/>
          <w:color w:val="0000E1"/>
        </w:rPr>
        <w:t xml:space="preserve"> (Table 4</w:t>
      </w:r>
      <w:r w:rsidRPr="00966116">
        <w:rPr>
          <w:rFonts w:cs="Calibri"/>
          <w:bCs/>
          <w:color w:val="0000E1"/>
        </w:rPr>
        <w:t>), the same methods were used to assess the impact of a more parsimonious model, which only included the beneficiary-level risk factors that are available in CMS PDE data</w:t>
      </w:r>
      <w:r w:rsidR="00BC0B1E" w:rsidRPr="00966116">
        <w:rPr>
          <w:rFonts w:cs="Calibri"/>
          <w:bCs/>
          <w:color w:val="0000E1"/>
        </w:rPr>
        <w:t xml:space="preserve"> (</w:t>
      </w:r>
      <w:r w:rsidR="008A47C1" w:rsidRPr="00966116">
        <w:rPr>
          <w:rFonts w:cs="Calibri"/>
          <w:bCs/>
          <w:color w:val="0000E1"/>
        </w:rPr>
        <w:t>i.e.</w:t>
      </w:r>
      <w:r w:rsidR="00BC0B1E" w:rsidRPr="00966116">
        <w:rPr>
          <w:rFonts w:cs="Calibri"/>
          <w:bCs/>
          <w:color w:val="0000E1"/>
        </w:rPr>
        <w:t>, age, gender, LIS/dual status, disability and race)</w:t>
      </w:r>
      <w:r w:rsidRPr="00966116">
        <w:rPr>
          <w:rFonts w:cs="Calibri"/>
          <w:bCs/>
          <w:color w:val="0000E1"/>
        </w:rPr>
        <w:t>. The reduced model was used to assess whether these commonly available beneficiary-level SDS variables would yield similar or differ</w:t>
      </w:r>
      <w:r w:rsidR="00BC0B1E" w:rsidRPr="00966116">
        <w:rPr>
          <w:rFonts w:cs="Calibri"/>
          <w:bCs/>
          <w:color w:val="0000E1"/>
        </w:rPr>
        <w:t>ent results than the full model.</w:t>
      </w:r>
    </w:p>
    <w:p w14:paraId="14A4EA95" w14:textId="77777777" w:rsidR="00BC0B1E" w:rsidRPr="00966116" w:rsidRDefault="00BC0B1E" w:rsidP="00EF2507">
      <w:pPr>
        <w:spacing w:after="0" w:line="240" w:lineRule="auto"/>
        <w:rPr>
          <w:rFonts w:cs="Calibri"/>
          <w:bCs/>
          <w:color w:val="0000E1"/>
        </w:rPr>
      </w:pPr>
    </w:p>
    <w:p w14:paraId="15C811C6" w14:textId="5B51CFA4" w:rsidR="00A34E0F" w:rsidRPr="00966116" w:rsidRDefault="000B02EC" w:rsidP="00EF2507">
      <w:pPr>
        <w:spacing w:after="0" w:line="240" w:lineRule="auto"/>
        <w:rPr>
          <w:rFonts w:cs="Calibri"/>
          <w:bCs/>
          <w:color w:val="0000E1"/>
        </w:rPr>
      </w:pPr>
      <w:r>
        <w:rPr>
          <w:rFonts w:cs="Calibri"/>
          <w:bCs/>
          <w:color w:val="0000E1"/>
        </w:rPr>
        <w:t>Finally, to</w:t>
      </w:r>
      <w:r w:rsidR="00E0165F" w:rsidRPr="00966116">
        <w:rPr>
          <w:rFonts w:cs="Calibri"/>
          <w:bCs/>
          <w:color w:val="0000E1"/>
        </w:rPr>
        <w:t xml:space="preserve"> address concerns raised by the PQA Risk Adjustment Advisory Panel (RAAP) members around the accuracy and completeness of the race variable, as well as the NQF Disparities Standing Committee concern </w:t>
      </w:r>
      <w:r w:rsidR="00D96579">
        <w:rPr>
          <w:rFonts w:cs="Calibri"/>
          <w:bCs/>
          <w:color w:val="0000E1"/>
        </w:rPr>
        <w:t>around the</w:t>
      </w:r>
      <w:r>
        <w:rPr>
          <w:rFonts w:cs="Calibri"/>
          <w:bCs/>
          <w:color w:val="0000E1"/>
        </w:rPr>
        <w:t xml:space="preserve"> use of race</w:t>
      </w:r>
      <w:r w:rsidR="00E0165F" w:rsidRPr="00966116">
        <w:rPr>
          <w:rFonts w:cs="Calibri"/>
          <w:bCs/>
          <w:color w:val="0000E1"/>
        </w:rPr>
        <w:t xml:space="preserve"> as a proxy for socioeconomic status, PQA also looked at the reduced model described above without race, i.e. limiting to age, gender, LIS/dual </w:t>
      </w:r>
      <w:r w:rsidR="00B64245" w:rsidRPr="00966116">
        <w:rPr>
          <w:rFonts w:cs="Calibri"/>
          <w:bCs/>
          <w:color w:val="0000E1"/>
        </w:rPr>
        <w:t xml:space="preserve">eligibility </w:t>
      </w:r>
      <w:r w:rsidR="00E0165F" w:rsidRPr="00966116">
        <w:rPr>
          <w:rFonts w:cs="Calibri"/>
          <w:bCs/>
          <w:color w:val="0000E1"/>
        </w:rPr>
        <w:t>status and disability</w:t>
      </w:r>
      <w:r w:rsidR="00E57C81">
        <w:rPr>
          <w:rFonts w:cs="Calibri"/>
          <w:bCs/>
          <w:color w:val="0000E1"/>
        </w:rPr>
        <w:t xml:space="preserve">. </w:t>
      </w:r>
      <w:r w:rsidR="00E0165F" w:rsidRPr="00966116">
        <w:rPr>
          <w:rFonts w:cs="Calibri"/>
          <w:bCs/>
          <w:color w:val="0000E1"/>
        </w:rPr>
        <w:t>These models were compared to the full model to determine the impact of the 9-digit zip code level characteristics and race on the outcomes.</w:t>
      </w:r>
      <w:r w:rsidR="00732C53" w:rsidRPr="00966116">
        <w:rPr>
          <w:rFonts w:cs="Calibri"/>
          <w:bCs/>
          <w:color w:val="0000E1"/>
        </w:rPr>
        <w:t xml:space="preserve"> </w:t>
      </w:r>
    </w:p>
    <w:p w14:paraId="375EA2E3" w14:textId="77777777" w:rsidR="00BC0B1E" w:rsidRPr="00966116" w:rsidRDefault="00BC0B1E" w:rsidP="00EF2507">
      <w:pPr>
        <w:spacing w:after="0" w:line="240" w:lineRule="auto"/>
        <w:rPr>
          <w:rFonts w:cs="Calibri"/>
          <w:bCs/>
          <w:color w:val="0000E1"/>
        </w:rPr>
      </w:pPr>
    </w:p>
    <w:p w14:paraId="449B9CA8" w14:textId="77777777" w:rsidR="00E0165F" w:rsidRPr="00966116" w:rsidRDefault="00E0165F" w:rsidP="00EF2507">
      <w:pPr>
        <w:spacing w:after="0" w:line="240" w:lineRule="auto"/>
        <w:rPr>
          <w:rFonts w:cs="Calibri"/>
          <w:bCs/>
          <w:color w:val="0000E1"/>
          <w:u w:val="single"/>
        </w:rPr>
      </w:pPr>
      <w:r w:rsidRPr="00966116">
        <w:rPr>
          <w:rFonts w:cs="Calibri"/>
          <w:bCs/>
          <w:color w:val="0000E1"/>
          <w:u w:val="single"/>
        </w:rPr>
        <w:t>Predictive Ability of Model and Multicollinearity</w:t>
      </w:r>
    </w:p>
    <w:p w14:paraId="20D5A9BB" w14:textId="77777777" w:rsidR="00EF2507" w:rsidRPr="00A45209" w:rsidRDefault="00E0165F" w:rsidP="00A45209">
      <w:pPr>
        <w:spacing w:line="240" w:lineRule="auto"/>
        <w:rPr>
          <w:rFonts w:cs="Calibri"/>
          <w:bCs/>
          <w:color w:val="0000E1"/>
        </w:rPr>
      </w:pPr>
      <w:r w:rsidRPr="00966116">
        <w:rPr>
          <w:rFonts w:cs="Calibri"/>
          <w:bCs/>
          <w:color w:val="0000E1"/>
        </w:rPr>
        <w:t>C-statistics</w:t>
      </w:r>
      <w:r w:rsidR="000B02EC">
        <w:rPr>
          <w:rFonts w:cs="Calibri"/>
          <w:bCs/>
          <w:color w:val="0000E1"/>
        </w:rPr>
        <w:t xml:space="preserve"> and risk decile plots</w:t>
      </w:r>
      <w:r w:rsidRPr="00966116">
        <w:rPr>
          <w:rFonts w:cs="Calibri"/>
          <w:bCs/>
          <w:color w:val="0000E1"/>
        </w:rPr>
        <w:t xml:space="preserve"> were </w:t>
      </w:r>
      <w:r w:rsidR="000B02EC">
        <w:rPr>
          <w:rFonts w:cs="Calibri"/>
          <w:bCs/>
          <w:color w:val="0000E1"/>
        </w:rPr>
        <w:t>used</w:t>
      </w:r>
      <w:r w:rsidRPr="00966116">
        <w:rPr>
          <w:rFonts w:cs="Calibri"/>
          <w:bCs/>
          <w:color w:val="0000E1"/>
        </w:rPr>
        <w:t xml:space="preserve"> to assess the predictive validity</w:t>
      </w:r>
      <w:r w:rsidR="000B02EC">
        <w:rPr>
          <w:rFonts w:cs="Calibri"/>
          <w:bCs/>
          <w:color w:val="0000E1"/>
        </w:rPr>
        <w:t xml:space="preserve"> and </w:t>
      </w:r>
      <w:r w:rsidR="000B6899">
        <w:rPr>
          <w:rFonts w:cs="Calibri"/>
          <w:bCs/>
          <w:color w:val="0000E1"/>
        </w:rPr>
        <w:t>discrimination</w:t>
      </w:r>
      <w:r w:rsidRPr="00966116">
        <w:rPr>
          <w:rFonts w:cs="Calibri"/>
          <w:bCs/>
          <w:color w:val="0000E1"/>
        </w:rPr>
        <w:t xml:space="preserve"> of the models. The Variance Inflation Factor (VIF) was calculated to determine if any variables </w:t>
      </w:r>
      <w:r w:rsidR="000B02EC">
        <w:rPr>
          <w:rFonts w:cs="Calibri"/>
          <w:bCs/>
          <w:color w:val="0000E1"/>
        </w:rPr>
        <w:t>were</w:t>
      </w:r>
      <w:r w:rsidRPr="00966116">
        <w:rPr>
          <w:rFonts w:cs="Calibri"/>
          <w:bCs/>
          <w:color w:val="0000E1"/>
        </w:rPr>
        <w:t xml:space="preserve"> multicollinear and which variables to ultimately include in the models. A threshold of VIF greater than 10 was used to determine if variables were multicollinear, and therefore needed to be excluded from the model.</w:t>
      </w:r>
    </w:p>
    <w:p w14:paraId="3FDD3676" w14:textId="77777777" w:rsidR="00E0165F" w:rsidRPr="00966116" w:rsidRDefault="00E0165F" w:rsidP="00EF2507">
      <w:pPr>
        <w:spacing w:after="0" w:line="240" w:lineRule="auto"/>
        <w:rPr>
          <w:rFonts w:cs="Calibri"/>
          <w:bCs/>
          <w:color w:val="0000E1"/>
          <w:u w:val="single"/>
        </w:rPr>
      </w:pPr>
      <w:r w:rsidRPr="00966116">
        <w:rPr>
          <w:rFonts w:cs="Calibri"/>
          <w:bCs/>
          <w:color w:val="0000E1"/>
          <w:u w:val="single"/>
        </w:rPr>
        <w:t>Risk-Adjusted Score Calculation</w:t>
      </w:r>
    </w:p>
    <w:p w14:paraId="247F2A4E" w14:textId="77777777" w:rsidR="00E0165F" w:rsidRPr="00966116" w:rsidRDefault="00E0165F" w:rsidP="00EF2507">
      <w:pPr>
        <w:spacing w:line="240" w:lineRule="auto"/>
        <w:rPr>
          <w:rFonts w:cs="Calibri"/>
          <w:bCs/>
          <w:color w:val="0000E1"/>
        </w:rPr>
      </w:pPr>
      <w:r w:rsidRPr="00966116">
        <w:rPr>
          <w:rFonts w:cs="Calibri"/>
          <w:bCs/>
          <w:color w:val="0000E1"/>
        </w:rPr>
        <w:t>Using the variables from the most parsimonious model</w:t>
      </w:r>
      <w:r w:rsidR="00B64245" w:rsidRPr="00966116">
        <w:rPr>
          <w:rFonts w:cs="Calibri"/>
          <w:bCs/>
          <w:color w:val="0000E1"/>
        </w:rPr>
        <w:t xml:space="preserve"> (i.e., age, gender, LIS/dual, and disability status)</w:t>
      </w:r>
      <w:r w:rsidR="008A47C1" w:rsidRPr="00966116">
        <w:rPr>
          <w:rFonts w:cs="Calibri"/>
          <w:bCs/>
          <w:color w:val="0000E1"/>
        </w:rPr>
        <w:t xml:space="preserve">, </w:t>
      </w:r>
      <w:r w:rsidRPr="00966116">
        <w:rPr>
          <w:rFonts w:cs="Calibri"/>
          <w:bCs/>
          <w:color w:val="0000E1"/>
        </w:rPr>
        <w:t xml:space="preserve">a risk-adjusted score was calculated for each Medicare Part D contract, for </w:t>
      </w:r>
      <w:r w:rsidR="005751DD" w:rsidRPr="00966116">
        <w:rPr>
          <w:rFonts w:cs="Calibri"/>
          <w:bCs/>
          <w:color w:val="0000E1"/>
        </w:rPr>
        <w:t>each of the</w:t>
      </w:r>
      <w:r w:rsidRPr="00966116">
        <w:rPr>
          <w:rFonts w:cs="Calibri"/>
          <w:bCs/>
          <w:color w:val="0000E1"/>
        </w:rPr>
        <w:t xml:space="preserve"> three </w:t>
      </w:r>
      <w:r w:rsidR="000D2636" w:rsidRPr="00966116">
        <w:rPr>
          <w:rFonts w:cs="Calibri"/>
          <w:bCs/>
          <w:color w:val="0000E1"/>
        </w:rPr>
        <w:t>therapeutic categories</w:t>
      </w:r>
      <w:r w:rsidRPr="00966116">
        <w:rPr>
          <w:rFonts w:cs="Calibri"/>
          <w:bCs/>
          <w:color w:val="0000E1"/>
        </w:rPr>
        <w:t xml:space="preserve">, to determine the extent of score change after risk adjustment. For each Part D contract, the expected measure rate was calculated as the average of the patient predicted probabilities of adherence for each </w:t>
      </w:r>
      <w:r w:rsidR="008A47C1" w:rsidRPr="00966116">
        <w:rPr>
          <w:rFonts w:cs="Calibri"/>
          <w:bCs/>
          <w:color w:val="0000E1"/>
        </w:rPr>
        <w:t>plan-</w:t>
      </w:r>
      <w:r w:rsidRPr="00966116">
        <w:rPr>
          <w:rFonts w:cs="Calibri"/>
          <w:bCs/>
          <w:color w:val="0000E1"/>
        </w:rPr>
        <w:t>contract based on the multivariable logistic regression model. The risk-adjusted measure score for each</w:t>
      </w:r>
      <w:r w:rsidR="00F03C06" w:rsidRPr="00966116">
        <w:rPr>
          <w:rFonts w:cs="Calibri"/>
          <w:bCs/>
          <w:color w:val="0000E1"/>
        </w:rPr>
        <w:t xml:space="preserve"> plan-</w:t>
      </w:r>
      <w:r w:rsidRPr="00966116">
        <w:rPr>
          <w:rFonts w:cs="Calibri"/>
          <w:bCs/>
          <w:color w:val="0000E1"/>
        </w:rPr>
        <w:t>contract was then calculated as the ratio of observed (or unadjusted) measure score to the expected score, multiplied by the aggregate unadjusted score</w:t>
      </w:r>
      <w:r w:rsidR="008A47C1" w:rsidRPr="00966116">
        <w:rPr>
          <w:rFonts w:cs="Calibri"/>
          <w:bCs/>
          <w:color w:val="0000E1"/>
        </w:rPr>
        <w:t xml:space="preserve"> for all Part D contracts</w:t>
      </w:r>
      <w:r w:rsidRPr="00966116">
        <w:rPr>
          <w:rFonts w:cs="Calibri"/>
          <w:bCs/>
          <w:color w:val="0000E1"/>
        </w:rPr>
        <w:t>.</w:t>
      </w:r>
    </w:p>
    <w:p w14:paraId="3D86B938" w14:textId="77777777" w:rsidR="008A70AC" w:rsidRPr="00966116" w:rsidRDefault="001E2527" w:rsidP="00EF2507">
      <w:pPr>
        <w:spacing w:after="0" w:line="240" w:lineRule="auto"/>
        <w:rPr>
          <w:rFonts w:cs="Calibri"/>
          <w:bCs/>
          <w:color w:val="0000E1"/>
          <w:u w:val="single"/>
        </w:rPr>
      </w:pPr>
      <w:r w:rsidRPr="00966116">
        <w:rPr>
          <w:rFonts w:cs="Calibri"/>
          <w:bCs/>
          <w:color w:val="0000E1"/>
          <w:u w:val="single"/>
        </w:rPr>
        <w:t>Equations</w:t>
      </w:r>
      <w:r w:rsidR="0092134A" w:rsidRPr="00966116">
        <w:rPr>
          <w:rFonts w:cs="Calibri"/>
          <w:bCs/>
          <w:color w:val="0000E1"/>
          <w:u w:val="single"/>
        </w:rPr>
        <w:t xml:space="preserve"> </w:t>
      </w:r>
    </w:p>
    <w:p w14:paraId="747C6CBC" w14:textId="77777777" w:rsidR="00F60EA6" w:rsidRPr="00966116" w:rsidRDefault="001E2527" w:rsidP="00EF2507">
      <w:pPr>
        <w:spacing w:after="0" w:line="240" w:lineRule="auto"/>
        <w:rPr>
          <w:rFonts w:cs="Calibri"/>
          <w:bCs/>
          <w:color w:val="0000E1"/>
          <w:u w:val="single"/>
        </w:rPr>
      </w:pPr>
      <w:r w:rsidRPr="00966116">
        <w:rPr>
          <w:rFonts w:cs="Calibri"/>
          <w:bCs/>
          <w:color w:val="0000E1"/>
        </w:rPr>
        <w:t>A</w:t>
      </w:r>
      <w:r w:rsidR="00887921" w:rsidRPr="00966116">
        <w:rPr>
          <w:rFonts w:cs="Calibri"/>
          <w:bCs/>
          <w:color w:val="0000E1"/>
        </w:rPr>
        <w:t>dherence to medication was modeled as</w:t>
      </w:r>
      <w:r w:rsidR="00590E78" w:rsidRPr="00966116">
        <w:rPr>
          <w:rFonts w:cs="Calibri"/>
          <w:bCs/>
          <w:color w:val="0000E1"/>
        </w:rPr>
        <w:t>:</w:t>
      </w:r>
    </w:p>
    <w:p w14:paraId="64646EDE" w14:textId="77777777" w:rsidR="00E0165F" w:rsidRPr="00966116" w:rsidRDefault="00C87E2A" w:rsidP="00EF2507">
      <w:pPr>
        <w:spacing w:after="0" w:line="240" w:lineRule="auto"/>
        <w:rPr>
          <w:rFonts w:cs="Calibri"/>
          <w:bCs/>
          <w:i/>
          <w:color w:val="0000E1"/>
        </w:rPr>
      </w:pPr>
      <m:oMathPara>
        <m:oMath>
          <m:func>
            <m:funcPr>
              <m:ctrlPr>
                <w:rPr>
                  <w:rFonts w:ascii="Cambria Math" w:hAnsi="Cambria Math" w:cs="Calibri"/>
                  <w:bCs/>
                  <w:i/>
                  <w:color w:val="0000E1"/>
                </w:rPr>
              </m:ctrlPr>
            </m:funcPr>
            <m:fName>
              <m:r>
                <w:rPr>
                  <w:rFonts w:ascii="Cambria Math" w:hAnsi="Cambria Math" w:cs="Calibri"/>
                  <w:color w:val="0000E1"/>
                </w:rPr>
                <m:t>ln</m:t>
              </m:r>
              <m:ctrlPr>
                <w:rPr>
                  <w:rFonts w:ascii="Cambria Math" w:hAnsi="Cambria Math" w:cs="Calibri"/>
                  <w:i/>
                  <w:color w:val="0000E1"/>
                </w:rPr>
              </m:ctrlPr>
            </m:fName>
            <m:e>
              <m:d>
                <m:dPr>
                  <m:ctrlPr>
                    <w:rPr>
                      <w:rFonts w:ascii="Cambria Math" w:hAnsi="Cambria Math" w:cs="Calibri"/>
                      <w:bCs/>
                      <w:i/>
                      <w:color w:val="0000E1"/>
                    </w:rPr>
                  </m:ctrlPr>
                </m:dPr>
                <m:e>
                  <m:f>
                    <m:fPr>
                      <m:ctrlPr>
                        <w:rPr>
                          <w:rFonts w:ascii="Cambria Math" w:hAnsi="Cambria Math" w:cs="Calibri"/>
                          <w:bCs/>
                          <w:i/>
                          <w:color w:val="0000E1"/>
                        </w:rPr>
                      </m:ctrlPr>
                    </m:fPr>
                    <m:num>
                      <m:sSub>
                        <m:sSubPr>
                          <m:ctrlPr>
                            <w:rPr>
                              <w:rFonts w:ascii="Cambria Math" w:hAnsi="Cambria Math" w:cs="Calibri"/>
                              <w:i/>
                              <w:color w:val="0000E1"/>
                            </w:rPr>
                          </m:ctrlPr>
                        </m:sSubPr>
                        <m:e>
                          <m:r>
                            <w:rPr>
                              <w:rFonts w:ascii="Cambria Math" w:hAnsi="Cambria Math" w:cs="Calibri"/>
                              <w:color w:val="0000E1"/>
                            </w:rPr>
                            <m:t>p</m:t>
                          </m:r>
                        </m:e>
                        <m:sub>
                          <m:r>
                            <w:rPr>
                              <w:rFonts w:ascii="Cambria Math" w:hAnsi="Cambria Math" w:cs="Calibri"/>
                              <w:color w:val="0000E1"/>
                            </w:rPr>
                            <m:t>ij</m:t>
                          </m:r>
                        </m:sub>
                      </m:sSub>
                    </m:num>
                    <m:den>
                      <m:r>
                        <w:rPr>
                          <w:rFonts w:ascii="Cambria Math" w:hAnsi="Cambria Math" w:cs="Calibri"/>
                          <w:color w:val="0000E1"/>
                        </w:rPr>
                        <m:t>1-</m:t>
                      </m:r>
                      <m:sSub>
                        <m:sSubPr>
                          <m:ctrlPr>
                            <w:rPr>
                              <w:rFonts w:ascii="Cambria Math" w:hAnsi="Cambria Math" w:cs="Calibri"/>
                              <w:i/>
                              <w:color w:val="0000E1"/>
                            </w:rPr>
                          </m:ctrlPr>
                        </m:sSubPr>
                        <m:e>
                          <m:r>
                            <w:rPr>
                              <w:rFonts w:ascii="Cambria Math" w:hAnsi="Cambria Math" w:cs="Calibri"/>
                              <w:color w:val="0000E1"/>
                            </w:rPr>
                            <m:t>p</m:t>
                          </m:r>
                        </m:e>
                        <m:sub>
                          <m:r>
                            <w:rPr>
                              <w:rFonts w:ascii="Cambria Math" w:hAnsi="Cambria Math" w:cs="Calibri"/>
                              <w:color w:val="0000E1"/>
                            </w:rPr>
                            <m:t>ij</m:t>
                          </m:r>
                        </m:sub>
                      </m:sSub>
                    </m:den>
                  </m:f>
                </m:e>
              </m:d>
            </m:e>
          </m:func>
          <m:r>
            <w:rPr>
              <w:rFonts w:ascii="Cambria Math" w:hAnsi="Cambria Math" w:cs="Calibri"/>
              <w:color w:val="0000E1"/>
            </w:rPr>
            <m:t>=</m:t>
          </m:r>
          <m:sSub>
            <m:sSubPr>
              <m:ctrlPr>
                <w:rPr>
                  <w:rFonts w:ascii="Cambria Math" w:hAnsi="Cambria Math" w:cs="Calibri"/>
                  <w:i/>
                  <w:color w:val="0000E1"/>
                </w:rPr>
              </m:ctrlPr>
            </m:sSubPr>
            <m:e>
              <m:r>
                <w:rPr>
                  <w:rFonts w:ascii="Cambria Math" w:hAnsi="Cambria Math" w:cs="Calibri"/>
                  <w:color w:val="0000E1"/>
                </w:rPr>
                <m:t>α</m:t>
              </m:r>
            </m:e>
            <m:sub>
              <m:r>
                <w:rPr>
                  <w:rFonts w:ascii="Cambria Math" w:hAnsi="Cambria Math" w:cs="Calibri"/>
                  <w:color w:val="0000E1"/>
                </w:rPr>
                <m:t>j</m:t>
              </m:r>
            </m:sub>
          </m:sSub>
          <m:r>
            <w:rPr>
              <w:rFonts w:ascii="Cambria Math" w:hAnsi="Cambria Math" w:cs="Calibri"/>
              <w:color w:val="0000E1"/>
            </w:rPr>
            <m:t>+</m:t>
          </m:r>
          <m:sSub>
            <m:sSubPr>
              <m:ctrlPr>
                <w:rPr>
                  <w:rFonts w:ascii="Cambria Math" w:hAnsi="Cambria Math" w:cs="Calibri"/>
                  <w:i/>
                  <w:color w:val="0000E1"/>
                </w:rPr>
              </m:ctrlPr>
            </m:sSubPr>
            <m:e>
              <m:r>
                <w:rPr>
                  <w:rFonts w:ascii="Cambria Math" w:hAnsi="Cambria Math" w:cs="Calibri"/>
                  <w:color w:val="0000E1"/>
                </w:rPr>
                <m:t>β</m:t>
              </m:r>
            </m:e>
            <m:sub>
              <m:r>
                <w:rPr>
                  <w:rFonts w:ascii="Cambria Math" w:hAnsi="Cambria Math" w:cs="Calibri"/>
                  <w:color w:val="0000E1"/>
                </w:rPr>
                <m:t>1</m:t>
              </m:r>
            </m:sub>
          </m:sSub>
          <m:sSub>
            <m:sSubPr>
              <m:ctrlPr>
                <w:rPr>
                  <w:rFonts w:ascii="Cambria Math" w:hAnsi="Cambria Math" w:cs="Calibri"/>
                  <w:i/>
                  <w:color w:val="0000E1"/>
                </w:rPr>
              </m:ctrlPr>
            </m:sSubPr>
            <m:e>
              <m:r>
                <w:rPr>
                  <w:rFonts w:ascii="Cambria Math" w:hAnsi="Cambria Math" w:cs="Calibri"/>
                  <w:color w:val="0000E1"/>
                </w:rPr>
                <m:t>x</m:t>
              </m:r>
            </m:e>
            <m:sub>
              <m:r>
                <w:rPr>
                  <w:rFonts w:ascii="Cambria Math" w:hAnsi="Cambria Math" w:cs="Calibri"/>
                  <w:color w:val="0000E1"/>
                </w:rPr>
                <m:t>1ij</m:t>
              </m:r>
            </m:sub>
          </m:sSub>
          <m:r>
            <w:rPr>
              <w:rFonts w:ascii="Cambria Math" w:hAnsi="Cambria Math" w:cs="Calibri"/>
              <w:color w:val="0000E1"/>
            </w:rPr>
            <m:t>+</m:t>
          </m:r>
          <m:sSub>
            <m:sSubPr>
              <m:ctrlPr>
                <w:rPr>
                  <w:rFonts w:ascii="Cambria Math" w:hAnsi="Cambria Math" w:cs="Calibri"/>
                  <w:i/>
                  <w:color w:val="0000E1"/>
                </w:rPr>
              </m:ctrlPr>
            </m:sSubPr>
            <m:e>
              <m:r>
                <w:rPr>
                  <w:rFonts w:ascii="Cambria Math" w:hAnsi="Cambria Math" w:cs="Calibri"/>
                  <w:color w:val="0000E1"/>
                </w:rPr>
                <m:t>β</m:t>
              </m:r>
            </m:e>
            <m:sub>
              <m:r>
                <w:rPr>
                  <w:rFonts w:ascii="Cambria Math" w:hAnsi="Cambria Math" w:cs="Calibri"/>
                  <w:color w:val="0000E1"/>
                </w:rPr>
                <m:t>2</m:t>
              </m:r>
            </m:sub>
          </m:sSub>
          <m:sSub>
            <m:sSubPr>
              <m:ctrlPr>
                <w:rPr>
                  <w:rFonts w:ascii="Cambria Math" w:hAnsi="Cambria Math" w:cs="Calibri"/>
                  <w:i/>
                  <w:color w:val="0000E1"/>
                </w:rPr>
              </m:ctrlPr>
            </m:sSubPr>
            <m:e>
              <m:r>
                <w:rPr>
                  <w:rFonts w:ascii="Cambria Math" w:hAnsi="Cambria Math" w:cs="Calibri"/>
                  <w:color w:val="0000E1"/>
                </w:rPr>
                <m:t>x</m:t>
              </m:r>
            </m:e>
            <m:sub>
              <m:r>
                <w:rPr>
                  <w:rFonts w:ascii="Cambria Math" w:hAnsi="Cambria Math" w:cs="Calibri"/>
                  <w:color w:val="0000E1"/>
                </w:rPr>
                <m:t>2ij</m:t>
              </m:r>
            </m:sub>
          </m:sSub>
          <m:r>
            <w:rPr>
              <w:rFonts w:ascii="Cambria Math" w:hAnsi="Cambria Math" w:cs="Calibri"/>
              <w:color w:val="0000E1"/>
            </w:rPr>
            <m:t>……+</m:t>
          </m:r>
          <m:sSub>
            <m:sSubPr>
              <m:ctrlPr>
                <w:rPr>
                  <w:rFonts w:ascii="Cambria Math" w:hAnsi="Cambria Math" w:cs="Calibri"/>
                  <w:i/>
                  <w:color w:val="0000E1"/>
                </w:rPr>
              </m:ctrlPr>
            </m:sSubPr>
            <m:e>
              <m:r>
                <w:rPr>
                  <w:rFonts w:ascii="Cambria Math" w:hAnsi="Cambria Math" w:cs="Calibri"/>
                  <w:color w:val="0000E1"/>
                </w:rPr>
                <m:t>β</m:t>
              </m:r>
            </m:e>
            <m:sub>
              <m:r>
                <w:rPr>
                  <w:rFonts w:ascii="Cambria Math" w:hAnsi="Cambria Math" w:cs="Calibri"/>
                  <w:color w:val="0000E1"/>
                </w:rPr>
                <m:t>k</m:t>
              </m:r>
            </m:sub>
          </m:sSub>
          <m:sSub>
            <m:sSubPr>
              <m:ctrlPr>
                <w:rPr>
                  <w:rFonts w:ascii="Cambria Math" w:hAnsi="Cambria Math" w:cs="Calibri"/>
                  <w:i/>
                  <w:color w:val="0000E1"/>
                </w:rPr>
              </m:ctrlPr>
            </m:sSubPr>
            <m:e>
              <m:r>
                <w:rPr>
                  <w:rFonts w:ascii="Cambria Math" w:hAnsi="Cambria Math" w:cs="Calibri"/>
                  <w:color w:val="0000E1"/>
                </w:rPr>
                <m:t>x</m:t>
              </m:r>
            </m:e>
            <m:sub>
              <m:r>
                <w:rPr>
                  <w:rFonts w:ascii="Cambria Math" w:hAnsi="Cambria Math" w:cs="Calibri"/>
                  <w:color w:val="0000E1"/>
                </w:rPr>
                <m:t>kij</m:t>
              </m:r>
            </m:sub>
          </m:sSub>
        </m:oMath>
      </m:oMathPara>
    </w:p>
    <w:p w14:paraId="7BFE1D2D" w14:textId="77777777" w:rsidR="00F60EA6" w:rsidRPr="00966116" w:rsidRDefault="00590E78" w:rsidP="00EF2507">
      <w:pPr>
        <w:spacing w:after="0" w:line="240" w:lineRule="auto"/>
        <w:rPr>
          <w:rFonts w:cs="Calibri"/>
          <w:bCs/>
          <w:color w:val="0000E1"/>
        </w:rPr>
      </w:pPr>
      <w:r w:rsidRPr="00966116">
        <w:rPr>
          <w:rFonts w:cs="Calibri"/>
          <w:bCs/>
          <w:color w:val="0000E1"/>
        </w:rPr>
        <w:t>w</w:t>
      </w:r>
      <w:r w:rsidR="0088038B" w:rsidRPr="00966116">
        <w:rPr>
          <w:rFonts w:cs="Calibri"/>
          <w:bCs/>
          <w:color w:val="0000E1"/>
        </w:rPr>
        <w:t xml:space="preserve">here </w:t>
      </w:r>
      <w:proofErr w:type="spellStart"/>
      <w:r w:rsidR="00F60EA6" w:rsidRPr="00966116">
        <w:rPr>
          <w:rFonts w:cs="Calibri"/>
          <w:bCs/>
          <w:i/>
          <w:color w:val="0000E1"/>
        </w:rPr>
        <w:t>P</w:t>
      </w:r>
      <w:r w:rsidR="00F60EA6" w:rsidRPr="00966116">
        <w:rPr>
          <w:rFonts w:cs="Calibri"/>
          <w:bCs/>
          <w:i/>
          <w:color w:val="0000E1"/>
          <w:vertAlign w:val="subscript"/>
        </w:rPr>
        <w:t>ij</w:t>
      </w:r>
      <w:proofErr w:type="spellEnd"/>
      <w:r w:rsidR="0088038B" w:rsidRPr="00966116">
        <w:rPr>
          <w:rFonts w:cs="Calibri"/>
          <w:bCs/>
          <w:color w:val="0000E1"/>
        </w:rPr>
        <w:t xml:space="preserve"> is the probability of being adherent for </w:t>
      </w:r>
      <w:r w:rsidR="00F60EA6" w:rsidRPr="00966116">
        <w:rPr>
          <w:rFonts w:cs="Calibri"/>
          <w:bCs/>
          <w:color w:val="0000E1"/>
        </w:rPr>
        <w:t>beneficiary</w:t>
      </w:r>
      <w:r w:rsidR="0088038B" w:rsidRPr="00966116">
        <w:rPr>
          <w:rFonts w:cs="Calibri"/>
          <w:bCs/>
          <w:color w:val="0000E1"/>
        </w:rPr>
        <w:t xml:space="preserve"> </w:t>
      </w:r>
      <w:r w:rsidR="0088038B" w:rsidRPr="00966116">
        <w:rPr>
          <w:rFonts w:cs="Calibri"/>
          <w:bCs/>
          <w:i/>
          <w:color w:val="0000E1"/>
        </w:rPr>
        <w:t>i</w:t>
      </w:r>
      <w:r w:rsidR="0088038B" w:rsidRPr="00966116">
        <w:rPr>
          <w:rFonts w:cs="Calibri"/>
          <w:bCs/>
          <w:color w:val="0000E1"/>
        </w:rPr>
        <w:t xml:space="preserve"> in the plan-contract </w:t>
      </w:r>
      <w:r w:rsidR="0088038B" w:rsidRPr="00966116">
        <w:rPr>
          <w:rFonts w:cs="Calibri"/>
          <w:bCs/>
          <w:i/>
          <w:color w:val="0000E1"/>
        </w:rPr>
        <w:t>j</w:t>
      </w:r>
      <w:r w:rsidR="0088038B" w:rsidRPr="00966116">
        <w:rPr>
          <w:rFonts w:cs="Calibri"/>
          <w:bCs/>
          <w:color w:val="0000E1"/>
        </w:rPr>
        <w:t xml:space="preserve">, </w:t>
      </w:r>
      <w:r w:rsidR="00F60EA6" w:rsidRPr="00966116">
        <w:rPr>
          <w:rFonts w:cstheme="minorHAnsi"/>
          <w:bCs/>
          <w:color w:val="0000E1"/>
        </w:rPr>
        <w:t>β</w:t>
      </w:r>
      <w:r w:rsidR="0088038B" w:rsidRPr="00966116">
        <w:rPr>
          <w:rFonts w:cs="Calibri"/>
          <w:bCs/>
          <w:color w:val="0000E1"/>
          <w:vertAlign w:val="subscript"/>
        </w:rPr>
        <w:t>k</w:t>
      </w:r>
      <w:r w:rsidR="0088038B" w:rsidRPr="00966116">
        <w:rPr>
          <w:rFonts w:cs="Calibri"/>
          <w:bCs/>
          <w:color w:val="0000E1"/>
        </w:rPr>
        <w:t xml:space="preserve"> are model parameters; </w:t>
      </w:r>
      <w:proofErr w:type="spellStart"/>
      <w:r w:rsidR="0088038B" w:rsidRPr="00966116">
        <w:rPr>
          <w:rFonts w:cs="Calibri"/>
          <w:bCs/>
          <w:i/>
          <w:color w:val="0000E1"/>
        </w:rPr>
        <w:t>x</w:t>
      </w:r>
      <w:r w:rsidR="0088038B" w:rsidRPr="00966116">
        <w:rPr>
          <w:rFonts w:cs="Calibri"/>
          <w:bCs/>
          <w:i/>
          <w:color w:val="0000E1"/>
          <w:vertAlign w:val="subscript"/>
        </w:rPr>
        <w:t>kij</w:t>
      </w:r>
      <w:proofErr w:type="spellEnd"/>
      <w:r w:rsidR="0088038B" w:rsidRPr="00966116">
        <w:rPr>
          <w:rFonts w:cs="Calibri"/>
          <w:bCs/>
          <w:color w:val="0000E1"/>
        </w:rPr>
        <w:t xml:space="preserve"> are values of variables being adjusted for including the categorical variables for age, gender, L</w:t>
      </w:r>
      <w:r w:rsidR="00554D76" w:rsidRPr="00966116">
        <w:rPr>
          <w:rFonts w:cs="Calibri"/>
          <w:bCs/>
          <w:color w:val="0000E1"/>
        </w:rPr>
        <w:t xml:space="preserve">IS/dual and disability status, </w:t>
      </w:r>
      <w:r w:rsidR="00554D76" w:rsidRPr="00966116">
        <w:rPr>
          <w:rFonts w:cstheme="minorHAnsi"/>
          <w:bCs/>
          <w:i/>
          <w:color w:val="0000E1"/>
        </w:rPr>
        <w:t>α</w:t>
      </w:r>
      <w:r w:rsidR="0088038B" w:rsidRPr="00966116">
        <w:rPr>
          <w:rFonts w:cs="Calibri"/>
          <w:bCs/>
          <w:i/>
          <w:color w:val="0000E1"/>
          <w:vertAlign w:val="subscript"/>
        </w:rPr>
        <w:t>j</w:t>
      </w:r>
      <w:r w:rsidR="0088038B" w:rsidRPr="00966116">
        <w:rPr>
          <w:rFonts w:cs="Calibri"/>
          <w:bCs/>
          <w:i/>
          <w:color w:val="0000E1"/>
        </w:rPr>
        <w:t xml:space="preserve"> </w:t>
      </w:r>
      <w:r w:rsidR="0088038B" w:rsidRPr="00966116">
        <w:rPr>
          <w:rFonts w:cs="Calibri"/>
          <w:bCs/>
          <w:color w:val="0000E1"/>
        </w:rPr>
        <w:t xml:space="preserve">is </w:t>
      </w:r>
      <w:r w:rsidR="00554D76" w:rsidRPr="00966116">
        <w:rPr>
          <w:rFonts w:cs="Calibri"/>
          <w:bCs/>
          <w:color w:val="0000E1"/>
        </w:rPr>
        <w:t>an intercept term. The intercept term is taken to be random and different for each plan-contract.</w:t>
      </w:r>
      <w:r w:rsidR="008A70AC" w:rsidRPr="00966116">
        <w:rPr>
          <w:rFonts w:cs="Calibri"/>
          <w:bCs/>
          <w:color w:val="0000E1"/>
          <w:vertAlign w:val="superscript"/>
        </w:rPr>
        <w:t>1</w:t>
      </w:r>
      <w:r w:rsidR="00554D76" w:rsidRPr="00966116">
        <w:rPr>
          <w:rFonts w:cs="Calibri"/>
          <w:bCs/>
          <w:color w:val="0000E1"/>
        </w:rPr>
        <w:t xml:space="preserve">  </w:t>
      </w:r>
    </w:p>
    <w:p w14:paraId="5EB24214" w14:textId="77777777" w:rsidR="00F60EA6" w:rsidRPr="00966116" w:rsidRDefault="00F60EA6" w:rsidP="00EF2507">
      <w:pPr>
        <w:spacing w:after="0" w:line="240" w:lineRule="auto"/>
        <w:rPr>
          <w:rFonts w:cs="Calibri"/>
          <w:bCs/>
          <w:color w:val="0000E1"/>
        </w:rPr>
      </w:pPr>
    </w:p>
    <w:p w14:paraId="779DE77B" w14:textId="77777777" w:rsidR="00E0165F" w:rsidRPr="00966116" w:rsidRDefault="00E0165F" w:rsidP="00EF2507">
      <w:pPr>
        <w:spacing w:after="0" w:line="240" w:lineRule="auto"/>
        <w:rPr>
          <w:rFonts w:cs="Calibri"/>
          <w:bCs/>
          <w:color w:val="0000E1"/>
          <w:u w:val="single"/>
        </w:rPr>
      </w:pPr>
      <w:r w:rsidRPr="00966116">
        <w:rPr>
          <w:rFonts w:cs="Calibri"/>
          <w:bCs/>
          <w:color w:val="0000E1"/>
          <w:u w:val="single"/>
        </w:rPr>
        <w:t>Coefficients</w:t>
      </w:r>
    </w:p>
    <w:p w14:paraId="7FC6614D" w14:textId="77777777" w:rsidR="00E0165F" w:rsidRPr="00966116" w:rsidRDefault="00E0165F" w:rsidP="00EF2507">
      <w:pPr>
        <w:spacing w:after="0" w:line="240" w:lineRule="auto"/>
        <w:rPr>
          <w:rFonts w:cs="Calibri"/>
          <w:bCs/>
          <w:color w:val="0000E1"/>
        </w:rPr>
      </w:pPr>
      <w:r w:rsidRPr="00966116">
        <w:rPr>
          <w:rFonts w:cs="Calibri"/>
          <w:bCs/>
          <w:color w:val="0000E1"/>
        </w:rPr>
        <w:lastRenderedPageBreak/>
        <w:t>See Section 2b3.4a for coefficient estimates, odds ratios and 95% confidence intervals for the risk factors included in the final model</w:t>
      </w:r>
      <w:r w:rsidR="00E57C81">
        <w:rPr>
          <w:rFonts w:cs="Calibri"/>
          <w:bCs/>
          <w:color w:val="0000E1"/>
        </w:rPr>
        <w:t xml:space="preserve">. </w:t>
      </w:r>
    </w:p>
    <w:p w14:paraId="788FBE7B" w14:textId="77777777" w:rsidR="008A34AC" w:rsidRPr="00966116" w:rsidRDefault="008A34AC" w:rsidP="00EF2507">
      <w:pPr>
        <w:spacing w:after="0" w:line="240" w:lineRule="auto"/>
        <w:rPr>
          <w:rFonts w:cs="Calibri"/>
          <w:bCs/>
          <w:color w:val="0000E1"/>
        </w:rPr>
      </w:pPr>
    </w:p>
    <w:p w14:paraId="3D8B6A19" w14:textId="77777777" w:rsidR="00E0165F" w:rsidRPr="00966116" w:rsidRDefault="00E0165F" w:rsidP="00F677F7">
      <w:pPr>
        <w:spacing w:after="0" w:line="240" w:lineRule="auto"/>
        <w:rPr>
          <w:rFonts w:cstheme="minorHAnsi"/>
          <w:bCs/>
          <w:color w:val="0000E1"/>
          <w:u w:val="single"/>
        </w:rPr>
      </w:pPr>
      <w:r w:rsidRPr="00966116">
        <w:rPr>
          <w:rFonts w:cstheme="minorHAnsi"/>
          <w:bCs/>
          <w:color w:val="0000E1"/>
          <w:u w:val="single"/>
        </w:rPr>
        <w:t xml:space="preserve">Definitions for SDS Risk Factors Available and Analyzed </w:t>
      </w:r>
    </w:p>
    <w:p w14:paraId="28720CD6" w14:textId="77777777" w:rsidR="00E0165F" w:rsidRPr="00C66D63" w:rsidRDefault="00E0165F" w:rsidP="00F677F7">
      <w:pPr>
        <w:spacing w:after="0" w:line="240" w:lineRule="auto"/>
        <w:rPr>
          <w:rFonts w:cstheme="minorHAnsi"/>
          <w:color w:val="0000E1"/>
        </w:rPr>
      </w:pPr>
      <w:r w:rsidRPr="00C66D63">
        <w:rPr>
          <w:rFonts w:cstheme="minorHAnsi"/>
          <w:color w:val="0000E1"/>
        </w:rPr>
        <w:t xml:space="preserve">The beneficiary-level variables were obtained from the CMS </w:t>
      </w:r>
      <w:r w:rsidR="0045175B" w:rsidRPr="00C66D63">
        <w:rPr>
          <w:rFonts w:cstheme="minorHAnsi"/>
          <w:color w:val="0000E1"/>
        </w:rPr>
        <w:t>RIF</w:t>
      </w:r>
      <w:r w:rsidRPr="00C66D63">
        <w:rPr>
          <w:rFonts w:cstheme="minorHAnsi"/>
          <w:color w:val="0000E1"/>
        </w:rPr>
        <w:t xml:space="preserve"> data, and defined as follows:</w:t>
      </w:r>
    </w:p>
    <w:p w14:paraId="3A6339B8" w14:textId="77777777" w:rsidR="00E0165F" w:rsidRPr="00EF2507" w:rsidRDefault="00E0165F" w:rsidP="00F677F7">
      <w:pPr>
        <w:pStyle w:val="ListParagraph"/>
        <w:numPr>
          <w:ilvl w:val="0"/>
          <w:numId w:val="16"/>
        </w:numPr>
        <w:spacing w:after="0" w:line="240" w:lineRule="auto"/>
        <w:rPr>
          <w:rFonts w:cstheme="minorHAnsi"/>
          <w:color w:val="0000E1"/>
        </w:rPr>
      </w:pPr>
      <w:r w:rsidRPr="00EF2507">
        <w:rPr>
          <w:rFonts w:cstheme="minorHAnsi"/>
          <w:color w:val="0000E1"/>
        </w:rPr>
        <w:t xml:space="preserve">Age:  This is the member’s age calculated at the beginning of the measurement year using the member’s date of birth. </w:t>
      </w:r>
    </w:p>
    <w:p w14:paraId="0BAA28BB" w14:textId="15319056" w:rsidR="00E0165F" w:rsidRPr="00EF2507" w:rsidRDefault="00E0165F" w:rsidP="00F677F7">
      <w:pPr>
        <w:pStyle w:val="ListParagraph"/>
        <w:numPr>
          <w:ilvl w:val="0"/>
          <w:numId w:val="16"/>
        </w:numPr>
        <w:spacing w:after="0" w:line="240" w:lineRule="auto"/>
        <w:rPr>
          <w:rFonts w:cstheme="minorHAnsi"/>
          <w:color w:val="0000E1"/>
        </w:rPr>
      </w:pPr>
      <w:r w:rsidRPr="00EF2507">
        <w:rPr>
          <w:rFonts w:cstheme="minorHAnsi"/>
          <w:color w:val="0000E1"/>
        </w:rPr>
        <w:t xml:space="preserve">Gender: Refers to the member’s gender as identified in the </w:t>
      </w:r>
      <w:r w:rsidR="004D403E">
        <w:rPr>
          <w:rFonts w:cstheme="minorHAnsi"/>
          <w:color w:val="0000E1"/>
        </w:rPr>
        <w:t>RIF</w:t>
      </w:r>
      <w:r w:rsidRPr="00EF2507">
        <w:rPr>
          <w:rFonts w:cstheme="minorHAnsi"/>
          <w:color w:val="0000E1"/>
        </w:rPr>
        <w:t xml:space="preserve"> data.</w:t>
      </w:r>
    </w:p>
    <w:p w14:paraId="19E93C18" w14:textId="2DE2779C" w:rsidR="00E0165F" w:rsidRPr="00EF2507" w:rsidRDefault="00E0165F" w:rsidP="00F677F7">
      <w:pPr>
        <w:pStyle w:val="ListParagraph"/>
        <w:numPr>
          <w:ilvl w:val="0"/>
          <w:numId w:val="16"/>
        </w:numPr>
        <w:spacing w:after="0" w:line="240" w:lineRule="auto"/>
        <w:rPr>
          <w:rFonts w:cstheme="minorHAnsi"/>
          <w:color w:val="0000E1"/>
        </w:rPr>
      </w:pPr>
      <w:r w:rsidRPr="00EF2507">
        <w:rPr>
          <w:rFonts w:cstheme="minorHAnsi"/>
          <w:color w:val="0000E1"/>
        </w:rPr>
        <w:t xml:space="preserve">Low-Income Subsidy (LIS) status: Refers to Medicare beneficiaries with income below 150% of the federal poverty level and limited resources who receive additional premium and cost-share assistance for prescription drugs under Medicare Part D. The LIS status is indicated in the </w:t>
      </w:r>
      <w:r w:rsidR="004D403E">
        <w:rPr>
          <w:rFonts w:cstheme="minorHAnsi"/>
          <w:color w:val="0000E1"/>
        </w:rPr>
        <w:t>RIF</w:t>
      </w:r>
      <w:r w:rsidRPr="00EF2507">
        <w:rPr>
          <w:rFonts w:cstheme="minorHAnsi"/>
          <w:color w:val="0000E1"/>
        </w:rPr>
        <w:t xml:space="preserve"> data if a beneficiary received a low-income subsidy at least one month during the measurement year.</w:t>
      </w:r>
    </w:p>
    <w:p w14:paraId="23B31400" w14:textId="77777777" w:rsidR="00E0165F" w:rsidRPr="00EF2507" w:rsidRDefault="00E0165F" w:rsidP="00F677F7">
      <w:pPr>
        <w:pStyle w:val="ListParagraph"/>
        <w:numPr>
          <w:ilvl w:val="0"/>
          <w:numId w:val="16"/>
        </w:numPr>
        <w:spacing w:after="0" w:line="240" w:lineRule="auto"/>
        <w:rPr>
          <w:rFonts w:cstheme="minorHAnsi"/>
          <w:color w:val="0000E1"/>
        </w:rPr>
      </w:pPr>
      <w:r w:rsidRPr="00EF2507">
        <w:rPr>
          <w:rFonts w:cstheme="minorHAnsi"/>
          <w:color w:val="0000E1"/>
        </w:rPr>
        <w:t>Dual eligibility status: Denotes beneficiaries enrolled in both Medicare and Medicaid</w:t>
      </w:r>
      <w:r w:rsidR="00E57C81" w:rsidRPr="00EF2507">
        <w:rPr>
          <w:rFonts w:cstheme="minorHAnsi"/>
          <w:color w:val="0000E1"/>
        </w:rPr>
        <w:t xml:space="preserve">. </w:t>
      </w:r>
      <w:r w:rsidRPr="00EF2507">
        <w:rPr>
          <w:rFonts w:cstheme="minorHAnsi"/>
          <w:color w:val="0000E1"/>
        </w:rPr>
        <w:t xml:space="preserve">The dual eligible status is indicated if the beneficiary was dual eligible at least one month in the measurement year. </w:t>
      </w:r>
    </w:p>
    <w:p w14:paraId="28130F14" w14:textId="77777777" w:rsidR="00E0165F" w:rsidRPr="00EF2507" w:rsidRDefault="00E0165F" w:rsidP="00F677F7">
      <w:pPr>
        <w:pStyle w:val="ListParagraph"/>
        <w:numPr>
          <w:ilvl w:val="0"/>
          <w:numId w:val="16"/>
        </w:numPr>
        <w:spacing w:after="0" w:line="240" w:lineRule="auto"/>
        <w:rPr>
          <w:rFonts w:cstheme="minorHAnsi"/>
          <w:color w:val="0000E1"/>
        </w:rPr>
      </w:pPr>
      <w:r w:rsidRPr="00EF2507">
        <w:rPr>
          <w:rFonts w:cstheme="minorHAnsi"/>
          <w:color w:val="0000E1"/>
        </w:rPr>
        <w:t xml:space="preserve">Disability as reason for Medicare entitlement: Indicates whether a beneficiary was eligible for Medicare because of a disability, at the end of the measurement year. </w:t>
      </w:r>
    </w:p>
    <w:p w14:paraId="7E364C40" w14:textId="64137369" w:rsidR="00E0165F" w:rsidRPr="00EF2507" w:rsidRDefault="00E0165F" w:rsidP="00F677F7">
      <w:pPr>
        <w:pStyle w:val="ListParagraph"/>
        <w:numPr>
          <w:ilvl w:val="0"/>
          <w:numId w:val="16"/>
        </w:numPr>
        <w:spacing w:line="240" w:lineRule="auto"/>
        <w:rPr>
          <w:rFonts w:cstheme="minorHAnsi"/>
          <w:color w:val="0000E1"/>
        </w:rPr>
      </w:pPr>
      <w:r w:rsidRPr="00EF2507">
        <w:rPr>
          <w:rFonts w:cstheme="minorHAnsi"/>
          <w:color w:val="0000E1"/>
        </w:rPr>
        <w:t xml:space="preserve">Race: Denotes the race of the beneficiary, as identified in the </w:t>
      </w:r>
      <w:r w:rsidR="0045175B" w:rsidRPr="00EF2507">
        <w:rPr>
          <w:rFonts w:cstheme="minorHAnsi"/>
          <w:color w:val="0000E1"/>
        </w:rPr>
        <w:t>RIF</w:t>
      </w:r>
      <w:r w:rsidRPr="00EF2507">
        <w:rPr>
          <w:rFonts w:cstheme="minorHAnsi"/>
          <w:color w:val="0000E1"/>
        </w:rPr>
        <w:t xml:space="preserve"> data.</w:t>
      </w:r>
    </w:p>
    <w:p w14:paraId="0418393A" w14:textId="28C76551" w:rsidR="00E0165F" w:rsidRPr="00C66D63" w:rsidRDefault="00E0165F" w:rsidP="00F677F7">
      <w:pPr>
        <w:spacing w:after="0" w:line="240" w:lineRule="auto"/>
        <w:rPr>
          <w:rFonts w:cstheme="minorHAnsi"/>
          <w:color w:val="0000E1"/>
        </w:rPr>
      </w:pPr>
      <w:r w:rsidRPr="00C66D63">
        <w:rPr>
          <w:rFonts w:cstheme="minorHAnsi"/>
          <w:color w:val="0000E1"/>
        </w:rPr>
        <w:t>The community-level variables were obtained from the Acxiom InfoBase Geo data</w:t>
      </w:r>
      <w:r w:rsidRPr="00C66D63">
        <w:rPr>
          <w:rFonts w:cstheme="minorHAnsi"/>
          <w:color w:val="0000E1"/>
          <w:vertAlign w:val="superscript"/>
        </w:rPr>
        <w:t xml:space="preserve"> </w:t>
      </w:r>
      <w:r w:rsidRPr="00C66D63">
        <w:rPr>
          <w:rFonts w:cstheme="minorHAnsi"/>
          <w:color w:val="0000E1"/>
        </w:rPr>
        <w:t xml:space="preserve">linked to the CMS </w:t>
      </w:r>
      <w:r w:rsidR="004D403E">
        <w:rPr>
          <w:rFonts w:cstheme="minorHAnsi"/>
          <w:color w:val="0000E1"/>
        </w:rPr>
        <w:t>RIF</w:t>
      </w:r>
      <w:r w:rsidRPr="00C66D63">
        <w:rPr>
          <w:rFonts w:cstheme="minorHAnsi"/>
          <w:color w:val="0000E1"/>
        </w:rPr>
        <w:t xml:space="preserve"> data at the 9-digit zip code level. The variables are as follows:</w:t>
      </w:r>
    </w:p>
    <w:p w14:paraId="305810DB" w14:textId="77777777" w:rsidR="00E0165F" w:rsidRPr="00EF2507" w:rsidRDefault="00E0165F" w:rsidP="00F677F7">
      <w:pPr>
        <w:pStyle w:val="ListParagraph"/>
        <w:numPr>
          <w:ilvl w:val="0"/>
          <w:numId w:val="17"/>
        </w:numPr>
        <w:spacing w:after="0" w:line="240" w:lineRule="auto"/>
        <w:rPr>
          <w:rFonts w:cstheme="minorHAnsi"/>
          <w:color w:val="0000E1"/>
        </w:rPr>
      </w:pPr>
      <w:r w:rsidRPr="00EF2507">
        <w:rPr>
          <w:rFonts w:cstheme="minorHAnsi"/>
          <w:color w:val="0000E1"/>
        </w:rPr>
        <w:t xml:space="preserve">Median household income: Refers to the median income range of the households in the geographic area. </w:t>
      </w:r>
    </w:p>
    <w:p w14:paraId="3D8B7089" w14:textId="77777777" w:rsidR="00E0165F" w:rsidRPr="00F677F7" w:rsidRDefault="00E0165F" w:rsidP="00F677F7">
      <w:pPr>
        <w:pStyle w:val="ListParagraph"/>
        <w:numPr>
          <w:ilvl w:val="0"/>
          <w:numId w:val="17"/>
        </w:numPr>
        <w:spacing w:after="0" w:line="240" w:lineRule="auto"/>
        <w:rPr>
          <w:rFonts w:cstheme="minorHAnsi"/>
          <w:color w:val="0000E1"/>
        </w:rPr>
      </w:pPr>
      <w:r w:rsidRPr="00F677F7">
        <w:rPr>
          <w:rFonts w:cstheme="minorHAnsi"/>
          <w:color w:val="0000E1"/>
        </w:rPr>
        <w:t>Percent of households where residents are married: Denotes the number of households containing married individuals.</w:t>
      </w:r>
    </w:p>
    <w:p w14:paraId="2968FC7B" w14:textId="77777777" w:rsidR="00E0165F" w:rsidRPr="00F677F7" w:rsidRDefault="00E0165F" w:rsidP="00F677F7">
      <w:pPr>
        <w:pStyle w:val="ListParagraph"/>
        <w:numPr>
          <w:ilvl w:val="0"/>
          <w:numId w:val="17"/>
        </w:numPr>
        <w:spacing w:after="0" w:line="240" w:lineRule="auto"/>
        <w:rPr>
          <w:rFonts w:cstheme="minorHAnsi"/>
          <w:color w:val="0000E1"/>
        </w:rPr>
      </w:pPr>
      <w:r w:rsidRPr="00F677F7">
        <w:rPr>
          <w:rFonts w:cstheme="minorHAnsi"/>
          <w:color w:val="0000E1"/>
        </w:rPr>
        <w:t>Percent of households where residents completed college: Refers to the number of households where the first individual has a college degree.</w:t>
      </w:r>
    </w:p>
    <w:p w14:paraId="3BAAC3D0" w14:textId="77777777" w:rsidR="00E0165F" w:rsidRPr="00F677F7" w:rsidRDefault="00E0165F" w:rsidP="00F677F7">
      <w:pPr>
        <w:pStyle w:val="ListParagraph"/>
        <w:numPr>
          <w:ilvl w:val="0"/>
          <w:numId w:val="17"/>
        </w:numPr>
        <w:spacing w:after="0" w:line="240" w:lineRule="auto"/>
        <w:rPr>
          <w:rFonts w:cstheme="minorHAnsi"/>
          <w:color w:val="0000E1"/>
        </w:rPr>
      </w:pPr>
      <w:r w:rsidRPr="00F677F7">
        <w:rPr>
          <w:rFonts w:cstheme="minorHAnsi"/>
          <w:color w:val="0000E1"/>
        </w:rPr>
        <w:t>Percent of households where residents own their home: Denotes the number of households that own their home.</w:t>
      </w:r>
    </w:p>
    <w:p w14:paraId="2126E732" w14:textId="77777777" w:rsidR="00E0165F" w:rsidRPr="00C66D63" w:rsidRDefault="00E0165F" w:rsidP="006F65B4">
      <w:pPr>
        <w:spacing w:after="0" w:line="240" w:lineRule="auto"/>
        <w:rPr>
          <w:rFonts w:cstheme="minorHAnsi"/>
          <w:color w:val="0000E1"/>
        </w:rPr>
      </w:pPr>
    </w:p>
    <w:p w14:paraId="6C801A77" w14:textId="77777777" w:rsidR="00E0165F" w:rsidRPr="00C66D63" w:rsidRDefault="00E0165F" w:rsidP="006F65B4">
      <w:pPr>
        <w:spacing w:after="0" w:line="240" w:lineRule="auto"/>
        <w:rPr>
          <w:rFonts w:cstheme="minorHAnsi"/>
          <w:color w:val="0000E1"/>
        </w:rPr>
      </w:pPr>
      <w:r w:rsidRPr="00C66D63">
        <w:rPr>
          <w:rFonts w:cstheme="minorHAnsi"/>
          <w:color w:val="0000E1"/>
        </w:rPr>
        <w:t>The county-level variables were obtained from the HRSA area resource file and linked to the PDE data at the 5-digit zip code level.</w:t>
      </w:r>
      <w:r w:rsidR="00F1566E" w:rsidRPr="002350B1">
        <w:rPr>
          <w:rFonts w:cstheme="minorHAnsi"/>
          <w:color w:val="0000E1"/>
          <w:vertAlign w:val="superscript"/>
        </w:rPr>
        <w:t>2</w:t>
      </w:r>
      <w:r w:rsidRPr="00C66D63">
        <w:rPr>
          <w:rFonts w:cstheme="minorHAnsi"/>
          <w:color w:val="0000E1"/>
        </w:rPr>
        <w:t xml:space="preserve"> The variables are as follows:</w:t>
      </w:r>
    </w:p>
    <w:p w14:paraId="09843501" w14:textId="77777777" w:rsidR="00E0165F" w:rsidRPr="00F677F7" w:rsidRDefault="00E0165F" w:rsidP="006F65B4">
      <w:pPr>
        <w:pStyle w:val="ListParagraph"/>
        <w:numPr>
          <w:ilvl w:val="0"/>
          <w:numId w:val="18"/>
        </w:numPr>
        <w:spacing w:after="0" w:line="240" w:lineRule="auto"/>
        <w:rPr>
          <w:rFonts w:cstheme="minorHAnsi"/>
          <w:color w:val="0000E1"/>
        </w:rPr>
      </w:pPr>
      <w:r w:rsidRPr="00F677F7">
        <w:rPr>
          <w:rFonts w:cstheme="minorHAnsi"/>
          <w:color w:val="0000E1"/>
        </w:rPr>
        <w:t>Federally designated primary care professional shortage areas: Refers to beneficiaries living in areas designated by HRSA as having a shortage in primary care practitioners as reported in 2015-2016. The following criteria are used to determine primary care shortage areas:</w:t>
      </w:r>
    </w:p>
    <w:p w14:paraId="2FF21EE3" w14:textId="77777777" w:rsidR="00E0165F" w:rsidRPr="00C66D63" w:rsidRDefault="00E0165F" w:rsidP="006F65B4">
      <w:pPr>
        <w:pStyle w:val="ListParagraph"/>
        <w:numPr>
          <w:ilvl w:val="0"/>
          <w:numId w:val="3"/>
        </w:numPr>
        <w:spacing w:after="0" w:line="240" w:lineRule="auto"/>
        <w:ind w:left="1440"/>
        <w:rPr>
          <w:rFonts w:cstheme="minorHAnsi"/>
          <w:color w:val="0000E1"/>
        </w:rPr>
      </w:pPr>
      <w:r w:rsidRPr="00C66D63">
        <w:rPr>
          <w:rFonts w:cstheme="minorHAnsi"/>
          <w:color w:val="0000E1"/>
        </w:rPr>
        <w:t>The area is a rational area for the delivery of primary medical services.</w:t>
      </w:r>
    </w:p>
    <w:p w14:paraId="7697B4CA" w14:textId="77777777" w:rsidR="00E0165F" w:rsidRPr="00C66D63" w:rsidRDefault="00E0165F" w:rsidP="006F65B4">
      <w:pPr>
        <w:pStyle w:val="ListParagraph"/>
        <w:numPr>
          <w:ilvl w:val="0"/>
          <w:numId w:val="3"/>
        </w:numPr>
        <w:spacing w:after="0" w:line="240" w:lineRule="auto"/>
        <w:ind w:left="1440"/>
        <w:rPr>
          <w:rFonts w:cstheme="minorHAnsi"/>
          <w:color w:val="0000E1"/>
        </w:rPr>
      </w:pPr>
      <w:r w:rsidRPr="00C66D63">
        <w:rPr>
          <w:rFonts w:cstheme="minorHAnsi"/>
          <w:color w:val="0000E1"/>
        </w:rPr>
        <w:t>One of the following conditions prevails within the area:</w:t>
      </w:r>
    </w:p>
    <w:p w14:paraId="34FFB0C7" w14:textId="77777777" w:rsidR="00E0165F" w:rsidRPr="00C66D63" w:rsidRDefault="00E0165F" w:rsidP="006F65B4">
      <w:pPr>
        <w:pStyle w:val="ListParagraph"/>
        <w:numPr>
          <w:ilvl w:val="1"/>
          <w:numId w:val="3"/>
        </w:numPr>
        <w:spacing w:after="0" w:line="240" w:lineRule="auto"/>
        <w:ind w:left="2160"/>
        <w:rPr>
          <w:rFonts w:cstheme="minorHAnsi"/>
          <w:color w:val="0000E1"/>
        </w:rPr>
      </w:pPr>
      <w:r w:rsidRPr="00C66D63">
        <w:rPr>
          <w:rFonts w:cstheme="minorHAnsi"/>
          <w:color w:val="0000E1"/>
        </w:rPr>
        <w:t>The area has a population to full-time-equivalent primary care physician ratio of at least 3,500:1.</w:t>
      </w:r>
    </w:p>
    <w:p w14:paraId="502DA4D3" w14:textId="77777777" w:rsidR="00E0165F" w:rsidRPr="00F1566E" w:rsidRDefault="00E0165F" w:rsidP="006F65B4">
      <w:pPr>
        <w:pStyle w:val="ListParagraph"/>
        <w:numPr>
          <w:ilvl w:val="1"/>
          <w:numId w:val="3"/>
        </w:numPr>
        <w:spacing w:after="0" w:line="240" w:lineRule="auto"/>
        <w:ind w:left="2160"/>
        <w:rPr>
          <w:rFonts w:cstheme="minorHAnsi"/>
          <w:color w:val="0000E1"/>
        </w:rPr>
      </w:pPr>
      <w:r w:rsidRPr="00C66D63">
        <w:rPr>
          <w:rFonts w:cstheme="minorHAnsi"/>
          <w:color w:val="0000E1"/>
        </w:rPr>
        <w:t xml:space="preserve">The area has a population to full-time-equivalent primary care physician ratio of less than 3,500:1 but greater than 3,000:1 and has unusually high needs for </w:t>
      </w:r>
      <w:r w:rsidRPr="00F1566E">
        <w:rPr>
          <w:rFonts w:cstheme="minorHAnsi"/>
          <w:color w:val="0000E1"/>
        </w:rPr>
        <w:t>primary care services or insufficient capacity of existing primary care providers.</w:t>
      </w:r>
    </w:p>
    <w:p w14:paraId="02190707" w14:textId="77777777" w:rsidR="00E0165F" w:rsidRPr="006F65B4" w:rsidRDefault="00E0165F" w:rsidP="006F65B4">
      <w:pPr>
        <w:pStyle w:val="ListParagraph"/>
        <w:numPr>
          <w:ilvl w:val="0"/>
          <w:numId w:val="3"/>
        </w:numPr>
        <w:spacing w:after="0" w:line="240" w:lineRule="auto"/>
        <w:ind w:left="1440"/>
        <w:rPr>
          <w:rFonts w:cstheme="minorHAnsi"/>
          <w:color w:val="0000E1"/>
        </w:rPr>
      </w:pPr>
      <w:r w:rsidRPr="006F65B4">
        <w:rPr>
          <w:rFonts w:cstheme="minorHAnsi"/>
          <w:color w:val="0000E1"/>
        </w:rPr>
        <w:t>Primary medical care professionals in contiguous areas are overutilized, excessively distant or inaccessible to the population of the area under consideration.</w:t>
      </w:r>
    </w:p>
    <w:p w14:paraId="152F38E4" w14:textId="77777777" w:rsidR="00E0165F" w:rsidRPr="006F65B4" w:rsidRDefault="00E0165F" w:rsidP="006F65B4">
      <w:pPr>
        <w:pStyle w:val="ListParagraph"/>
        <w:numPr>
          <w:ilvl w:val="0"/>
          <w:numId w:val="18"/>
        </w:numPr>
        <w:spacing w:after="0" w:line="240" w:lineRule="auto"/>
        <w:rPr>
          <w:rFonts w:cstheme="minorHAnsi"/>
          <w:i/>
          <w:color w:val="0000E1"/>
        </w:rPr>
      </w:pPr>
      <w:r w:rsidRPr="00F1566E">
        <w:rPr>
          <w:rFonts w:cstheme="minorHAnsi"/>
          <w:color w:val="0000E1"/>
        </w:rPr>
        <w:lastRenderedPageBreak/>
        <w:t>Federally designated mental healthcare professional shortage areas: Denotes beneficiaries living in areas designated by HRSA as having a shortage in mental health practitioners as reported in 2015-2016. The following criteria are used to determine mental health shortage areas:</w:t>
      </w:r>
    </w:p>
    <w:p w14:paraId="4FA62FC9" w14:textId="77777777" w:rsidR="00E0165F" w:rsidRPr="006F65B4" w:rsidRDefault="00E0165F" w:rsidP="006F65B4">
      <w:pPr>
        <w:pStyle w:val="ListParagraph"/>
        <w:numPr>
          <w:ilvl w:val="0"/>
          <w:numId w:val="4"/>
        </w:numPr>
        <w:spacing w:after="0" w:line="240" w:lineRule="auto"/>
        <w:ind w:left="1440"/>
        <w:rPr>
          <w:rFonts w:cstheme="minorHAnsi"/>
          <w:color w:val="0000E1"/>
        </w:rPr>
      </w:pPr>
      <w:r w:rsidRPr="006F65B4">
        <w:rPr>
          <w:rFonts w:cstheme="minorHAnsi"/>
          <w:color w:val="0000E1"/>
        </w:rPr>
        <w:t>The area is a rational area for the delivery of mental health services.</w:t>
      </w:r>
    </w:p>
    <w:p w14:paraId="35842243" w14:textId="77777777" w:rsidR="00E0165F" w:rsidRPr="006F65B4" w:rsidRDefault="00E0165F" w:rsidP="006F65B4">
      <w:pPr>
        <w:pStyle w:val="ListParagraph"/>
        <w:numPr>
          <w:ilvl w:val="0"/>
          <w:numId w:val="4"/>
        </w:numPr>
        <w:spacing w:after="0" w:line="240" w:lineRule="auto"/>
        <w:ind w:left="1440"/>
        <w:rPr>
          <w:rFonts w:cstheme="minorHAnsi"/>
          <w:color w:val="0000E1"/>
        </w:rPr>
      </w:pPr>
      <w:r w:rsidRPr="006F65B4">
        <w:rPr>
          <w:rFonts w:cstheme="minorHAnsi"/>
          <w:color w:val="0000E1"/>
        </w:rPr>
        <w:t>One of the following conditions prevails within the area:</w:t>
      </w:r>
    </w:p>
    <w:p w14:paraId="292341ED" w14:textId="77777777" w:rsidR="00E0165F" w:rsidRPr="006F65B4" w:rsidRDefault="00E0165F" w:rsidP="006F65B4">
      <w:pPr>
        <w:pStyle w:val="ListParagraph"/>
        <w:numPr>
          <w:ilvl w:val="1"/>
          <w:numId w:val="4"/>
        </w:numPr>
        <w:spacing w:after="0" w:line="240" w:lineRule="auto"/>
        <w:ind w:left="2160"/>
        <w:rPr>
          <w:rFonts w:cstheme="minorHAnsi"/>
          <w:color w:val="0000E1"/>
        </w:rPr>
      </w:pPr>
      <w:r w:rsidRPr="006F65B4">
        <w:rPr>
          <w:rFonts w:cstheme="minorHAnsi"/>
          <w:color w:val="0000E1"/>
        </w:rPr>
        <w:t>The area has:</w:t>
      </w:r>
    </w:p>
    <w:p w14:paraId="48A4F5EB" w14:textId="77777777" w:rsidR="00E0165F" w:rsidRPr="003E3F96" w:rsidRDefault="00E0165F" w:rsidP="006F65B4">
      <w:pPr>
        <w:pStyle w:val="ListParagraph"/>
        <w:numPr>
          <w:ilvl w:val="2"/>
          <w:numId w:val="4"/>
        </w:numPr>
        <w:spacing w:after="0" w:line="240" w:lineRule="auto"/>
        <w:ind w:left="2880"/>
        <w:rPr>
          <w:rFonts w:cstheme="minorHAnsi"/>
          <w:color w:val="0000E1"/>
        </w:rPr>
      </w:pPr>
      <w:r w:rsidRPr="00B969B5">
        <w:rPr>
          <w:rFonts w:cstheme="minorHAnsi"/>
          <w:color w:val="0000E1"/>
        </w:rPr>
        <w:t xml:space="preserve">population-to-core-mental-health-professional ratio greater than or equal to 6,000:1 and a population-to-psychiatrist ratio greater </w:t>
      </w:r>
      <w:r w:rsidRPr="003E3F96">
        <w:rPr>
          <w:rFonts w:cstheme="minorHAnsi"/>
          <w:color w:val="0000E1"/>
        </w:rPr>
        <w:t>than or equal to 20,000:1 or</w:t>
      </w:r>
    </w:p>
    <w:p w14:paraId="7B7B0385" w14:textId="77777777" w:rsidR="00E0165F" w:rsidRPr="003E3F96" w:rsidRDefault="00E0165F" w:rsidP="006F65B4">
      <w:pPr>
        <w:pStyle w:val="ListParagraph"/>
        <w:numPr>
          <w:ilvl w:val="2"/>
          <w:numId w:val="4"/>
        </w:numPr>
        <w:spacing w:after="0" w:line="240" w:lineRule="auto"/>
        <w:ind w:left="2880"/>
        <w:rPr>
          <w:rFonts w:cstheme="minorHAnsi"/>
          <w:color w:val="0000E1"/>
        </w:rPr>
      </w:pPr>
      <w:r w:rsidRPr="003E3F96">
        <w:rPr>
          <w:rFonts w:cstheme="minorHAnsi"/>
          <w:color w:val="0000E1"/>
        </w:rPr>
        <w:t>a population-to-core-professional ratio greater than or equal to 9,000:1 or</w:t>
      </w:r>
    </w:p>
    <w:p w14:paraId="39430CA3" w14:textId="77777777" w:rsidR="00E0165F" w:rsidRPr="004421D2" w:rsidRDefault="00E0165F" w:rsidP="006F65B4">
      <w:pPr>
        <w:pStyle w:val="ListParagraph"/>
        <w:numPr>
          <w:ilvl w:val="2"/>
          <w:numId w:val="4"/>
        </w:numPr>
        <w:spacing w:after="0" w:line="240" w:lineRule="auto"/>
        <w:ind w:left="2880"/>
        <w:rPr>
          <w:rFonts w:cstheme="minorHAnsi"/>
          <w:color w:val="0000E1"/>
        </w:rPr>
      </w:pPr>
      <w:r w:rsidRPr="004421D2">
        <w:rPr>
          <w:rFonts w:cstheme="minorHAnsi"/>
          <w:color w:val="0000E1"/>
        </w:rPr>
        <w:t>a population-to-psychiatrist ratio greater than or equal to 30,000:1;</w:t>
      </w:r>
    </w:p>
    <w:p w14:paraId="5C48A4DA" w14:textId="77777777" w:rsidR="00E0165F" w:rsidRPr="00F1566E" w:rsidRDefault="00E0165F" w:rsidP="006F65B4">
      <w:pPr>
        <w:pStyle w:val="ListParagraph"/>
        <w:numPr>
          <w:ilvl w:val="1"/>
          <w:numId w:val="4"/>
        </w:numPr>
        <w:spacing w:after="0" w:line="240" w:lineRule="auto"/>
        <w:ind w:left="2160"/>
        <w:rPr>
          <w:rFonts w:cstheme="minorHAnsi"/>
          <w:color w:val="0000E1"/>
        </w:rPr>
      </w:pPr>
      <w:r w:rsidRPr="00F1566E">
        <w:rPr>
          <w:rFonts w:cstheme="minorHAnsi"/>
          <w:color w:val="0000E1"/>
        </w:rPr>
        <w:t>The area has unusually high needs for mental services, and has:</w:t>
      </w:r>
    </w:p>
    <w:p w14:paraId="69E91EA7" w14:textId="77777777" w:rsidR="00E0165F" w:rsidRPr="00F1566E" w:rsidRDefault="00E0165F" w:rsidP="006F65B4">
      <w:pPr>
        <w:pStyle w:val="ListParagraph"/>
        <w:numPr>
          <w:ilvl w:val="2"/>
          <w:numId w:val="4"/>
        </w:numPr>
        <w:spacing w:after="0" w:line="240" w:lineRule="auto"/>
        <w:ind w:left="2880"/>
        <w:rPr>
          <w:rFonts w:cstheme="minorHAnsi"/>
          <w:color w:val="0000E1"/>
        </w:rPr>
      </w:pPr>
      <w:r w:rsidRPr="00F1566E">
        <w:rPr>
          <w:rFonts w:cstheme="minorHAnsi"/>
          <w:color w:val="0000E1"/>
        </w:rPr>
        <w:t>population-to-core-mental-health-professional ratio greater than or equal to 4,500:1 and a population-to-psychiatrist ratio greater than or equal to 15,000:1 or</w:t>
      </w:r>
    </w:p>
    <w:p w14:paraId="2F49D63E" w14:textId="77777777" w:rsidR="00E0165F" w:rsidRPr="00F1566E" w:rsidRDefault="00E0165F" w:rsidP="006F65B4">
      <w:pPr>
        <w:pStyle w:val="ListParagraph"/>
        <w:numPr>
          <w:ilvl w:val="2"/>
          <w:numId w:val="4"/>
        </w:numPr>
        <w:spacing w:after="0" w:line="240" w:lineRule="auto"/>
        <w:ind w:left="2880"/>
        <w:rPr>
          <w:rFonts w:cstheme="minorHAnsi"/>
          <w:color w:val="0000E1"/>
        </w:rPr>
      </w:pPr>
      <w:r w:rsidRPr="00F1566E">
        <w:rPr>
          <w:rFonts w:cstheme="minorHAnsi"/>
          <w:color w:val="0000E1"/>
        </w:rPr>
        <w:t>a population-to-core-professional ratio greater than or equal to 6,000:1, or</w:t>
      </w:r>
    </w:p>
    <w:p w14:paraId="3EACDFBE" w14:textId="77777777" w:rsidR="00E0165F" w:rsidRPr="00F1566E" w:rsidRDefault="00E0165F" w:rsidP="006F65B4">
      <w:pPr>
        <w:pStyle w:val="ListParagraph"/>
        <w:numPr>
          <w:ilvl w:val="2"/>
          <w:numId w:val="4"/>
        </w:numPr>
        <w:spacing w:after="0" w:line="240" w:lineRule="auto"/>
        <w:ind w:left="2880"/>
        <w:rPr>
          <w:rFonts w:cstheme="minorHAnsi"/>
          <w:color w:val="0000E1"/>
        </w:rPr>
      </w:pPr>
      <w:r w:rsidRPr="00F1566E">
        <w:rPr>
          <w:rFonts w:cstheme="minorHAnsi"/>
          <w:color w:val="0000E1"/>
        </w:rPr>
        <w:t>a population-to-psychiatrist ratio greater than or equal to 20,000:1.</w:t>
      </w:r>
    </w:p>
    <w:p w14:paraId="09103FFD" w14:textId="77777777" w:rsidR="00E0165F" w:rsidRPr="00F1566E" w:rsidRDefault="00E0165F" w:rsidP="006F65B4">
      <w:pPr>
        <w:pStyle w:val="ListParagraph"/>
        <w:numPr>
          <w:ilvl w:val="0"/>
          <w:numId w:val="4"/>
        </w:numPr>
        <w:spacing w:after="0" w:line="240" w:lineRule="auto"/>
        <w:ind w:left="1440"/>
        <w:rPr>
          <w:rFonts w:cstheme="minorHAnsi"/>
          <w:color w:val="0000E1"/>
        </w:rPr>
      </w:pPr>
      <w:r w:rsidRPr="00F1566E">
        <w:rPr>
          <w:rFonts w:cstheme="minorHAnsi"/>
          <w:color w:val="0000E1"/>
        </w:rPr>
        <w:t>Mental health professionals in contiguous areas are overutilized, excessively distant or inaccessible to residents of the area under consideration.</w:t>
      </w:r>
    </w:p>
    <w:p w14:paraId="4F7376B8" w14:textId="77777777" w:rsidR="008973E6" w:rsidRPr="00F1566E" w:rsidRDefault="008973E6" w:rsidP="006F65B4">
      <w:pPr>
        <w:spacing w:after="0" w:line="240" w:lineRule="auto"/>
        <w:rPr>
          <w:rFonts w:cs="Calibri"/>
          <w:bCs/>
          <w:color w:val="0000E1"/>
        </w:rPr>
      </w:pPr>
    </w:p>
    <w:p w14:paraId="1B9E5853" w14:textId="77777777" w:rsidR="008D03BA" w:rsidRPr="006F65B4" w:rsidRDefault="008D03BA" w:rsidP="006F65B4">
      <w:pPr>
        <w:spacing w:after="0" w:line="240" w:lineRule="auto"/>
        <w:rPr>
          <w:rFonts w:cs="Calibri"/>
          <w:b/>
          <w:bCs/>
          <w:color w:val="0000E1"/>
        </w:rPr>
      </w:pPr>
      <w:r w:rsidRPr="006F65B4">
        <w:rPr>
          <w:rFonts w:cs="Calibri"/>
          <w:b/>
          <w:bCs/>
          <w:color w:val="0000E1"/>
        </w:rPr>
        <w:t>References:</w:t>
      </w:r>
    </w:p>
    <w:p w14:paraId="24AF15B6" w14:textId="77777777" w:rsidR="008D03BA" w:rsidRPr="006F65B4" w:rsidRDefault="008D03BA" w:rsidP="006F65B4">
      <w:pPr>
        <w:pStyle w:val="Default"/>
        <w:numPr>
          <w:ilvl w:val="0"/>
          <w:numId w:val="12"/>
        </w:numPr>
        <w:ind w:left="360"/>
        <w:rPr>
          <w:rStyle w:val="Hyperlink"/>
          <w:rFonts w:asciiTheme="minorHAnsi" w:hAnsiTheme="minorHAnsi"/>
          <w:color w:val="0000E1"/>
          <w:sz w:val="22"/>
          <w:szCs w:val="22"/>
          <w:u w:val="none"/>
        </w:rPr>
      </w:pPr>
      <w:proofErr w:type="spellStart"/>
      <w:r w:rsidRPr="006F65B4">
        <w:rPr>
          <w:rFonts w:asciiTheme="minorHAnsi" w:hAnsiTheme="minorHAnsi"/>
          <w:color w:val="0000E1"/>
          <w:sz w:val="22"/>
          <w:szCs w:val="22"/>
        </w:rPr>
        <w:t>Dharmarajan</w:t>
      </w:r>
      <w:proofErr w:type="spellEnd"/>
      <w:r w:rsidRPr="006F65B4">
        <w:rPr>
          <w:rFonts w:asciiTheme="minorHAnsi" w:hAnsiTheme="minorHAnsi"/>
          <w:color w:val="0000E1"/>
          <w:sz w:val="22"/>
          <w:szCs w:val="22"/>
        </w:rPr>
        <w:t xml:space="preserve"> S, Bentley JP, Banahan BF, West-Strum DS. Measuring pharmacy performance </w:t>
      </w:r>
      <w:proofErr w:type="gramStart"/>
      <w:r w:rsidRPr="006F65B4">
        <w:rPr>
          <w:rFonts w:asciiTheme="minorHAnsi" w:hAnsiTheme="minorHAnsi"/>
          <w:color w:val="0000E1"/>
          <w:sz w:val="22"/>
          <w:szCs w:val="22"/>
        </w:rPr>
        <w:t>in the area of</w:t>
      </w:r>
      <w:proofErr w:type="gramEnd"/>
      <w:r w:rsidRPr="006F65B4">
        <w:rPr>
          <w:rFonts w:asciiTheme="minorHAnsi" w:hAnsiTheme="minorHAnsi"/>
          <w:color w:val="0000E1"/>
          <w:sz w:val="22"/>
          <w:szCs w:val="22"/>
        </w:rPr>
        <w:t xml:space="preserve"> medication adherence: addressing the issue of risk adjustment. J </w:t>
      </w:r>
      <w:proofErr w:type="spellStart"/>
      <w:r w:rsidRPr="006F65B4">
        <w:rPr>
          <w:rFonts w:asciiTheme="minorHAnsi" w:hAnsiTheme="minorHAnsi"/>
          <w:color w:val="0000E1"/>
          <w:sz w:val="22"/>
          <w:szCs w:val="22"/>
        </w:rPr>
        <w:t>Manag</w:t>
      </w:r>
      <w:proofErr w:type="spellEnd"/>
      <w:r w:rsidRPr="006F65B4">
        <w:rPr>
          <w:rFonts w:asciiTheme="minorHAnsi" w:hAnsiTheme="minorHAnsi"/>
          <w:color w:val="0000E1"/>
          <w:sz w:val="22"/>
          <w:szCs w:val="22"/>
        </w:rPr>
        <w:t xml:space="preserve"> Care Spec Pharm. 2014;20(10):1057-68. PMID: </w:t>
      </w:r>
      <w:hyperlink r:id="rId36" w:history="1">
        <w:r w:rsidRPr="006F65B4">
          <w:rPr>
            <w:rStyle w:val="Hyperlink"/>
            <w:rFonts w:asciiTheme="minorHAnsi" w:hAnsiTheme="minorHAnsi"/>
            <w:sz w:val="22"/>
            <w:szCs w:val="22"/>
          </w:rPr>
          <w:t>25278328</w:t>
        </w:r>
      </w:hyperlink>
      <w:r w:rsidR="0061194B" w:rsidRPr="00F1566E">
        <w:rPr>
          <w:rStyle w:val="Hyperlink"/>
          <w:rFonts w:asciiTheme="minorHAnsi" w:hAnsiTheme="minorHAnsi"/>
          <w:sz w:val="22"/>
          <w:szCs w:val="22"/>
        </w:rPr>
        <w:t>.</w:t>
      </w:r>
    </w:p>
    <w:p w14:paraId="6BE0AB60" w14:textId="77777777" w:rsidR="00F1566E" w:rsidRPr="006F65B4" w:rsidRDefault="00F1566E" w:rsidP="006F65B4">
      <w:pPr>
        <w:pStyle w:val="Default"/>
        <w:numPr>
          <w:ilvl w:val="0"/>
          <w:numId w:val="12"/>
        </w:numPr>
        <w:ind w:left="360"/>
        <w:rPr>
          <w:rFonts w:asciiTheme="minorHAnsi" w:hAnsiTheme="minorHAnsi"/>
          <w:color w:val="0000E1"/>
          <w:sz w:val="22"/>
          <w:szCs w:val="22"/>
        </w:rPr>
      </w:pPr>
      <w:r w:rsidRPr="006F65B4">
        <w:rPr>
          <w:rFonts w:cstheme="minorHAnsi"/>
          <w:color w:val="0000E1"/>
          <w:sz w:val="22"/>
          <w:szCs w:val="22"/>
        </w:rPr>
        <w:t xml:space="preserve">Health Resources and Services Administration. Health Professional Shortage Area (HPSA) Application and Scoring. Available at:  </w:t>
      </w:r>
      <w:hyperlink r:id="rId37" w:history="1">
        <w:r w:rsidRPr="006F65B4">
          <w:rPr>
            <w:rStyle w:val="Hyperlink"/>
            <w:rFonts w:cstheme="minorHAnsi"/>
            <w:color w:val="0000E1"/>
            <w:sz w:val="22"/>
            <w:szCs w:val="22"/>
          </w:rPr>
          <w:t>http://bhpr.hrsa.gov/shortage/hpsas/designationcriteria/designationcriteria.html</w:t>
        </w:r>
      </w:hyperlink>
      <w:r w:rsidRPr="006F65B4">
        <w:rPr>
          <w:rStyle w:val="Hyperlink"/>
          <w:rFonts w:cstheme="minorHAnsi"/>
          <w:color w:val="0000E1"/>
          <w:sz w:val="22"/>
          <w:szCs w:val="22"/>
        </w:rPr>
        <w:t>.</w:t>
      </w:r>
    </w:p>
    <w:p w14:paraId="2854CDE1" w14:textId="77777777" w:rsidR="00F03C06" w:rsidRPr="000E4781" w:rsidRDefault="00F03C06" w:rsidP="00753617">
      <w:pPr>
        <w:pStyle w:val="Default"/>
        <w:rPr>
          <w:rFonts w:asciiTheme="minorHAnsi" w:hAnsiTheme="minorHAnsi"/>
          <w:sz w:val="22"/>
          <w:szCs w:val="22"/>
        </w:rPr>
      </w:pPr>
    </w:p>
    <w:p w14:paraId="586AEDBB" w14:textId="77777777" w:rsidR="003D4333" w:rsidRDefault="009C7513" w:rsidP="00F677F7">
      <w:pPr>
        <w:spacing w:line="240" w:lineRule="auto"/>
        <w:rPr>
          <w:rFonts w:cs="Calibri"/>
          <w:bCs/>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p>
    <w:p w14:paraId="192EF33B" w14:textId="19159087" w:rsidR="00E060A3" w:rsidRPr="00966116" w:rsidRDefault="003D4333" w:rsidP="00F677F7">
      <w:pPr>
        <w:spacing w:line="240" w:lineRule="auto"/>
        <w:rPr>
          <w:rFonts w:cstheme="minorHAnsi"/>
          <w:bCs/>
          <w:color w:val="0000E1"/>
        </w:rPr>
      </w:pPr>
      <w:r w:rsidRPr="00966116">
        <w:rPr>
          <w:rFonts w:cstheme="minorHAnsi"/>
          <w:bCs/>
          <w:color w:val="0000E1"/>
        </w:rPr>
        <w:t>After careful review and consideration of all existing PQA measures, the RAAP recommended the PQA PDC</w:t>
      </w:r>
      <w:r w:rsidR="00A02BF9">
        <w:rPr>
          <w:rFonts w:cstheme="minorHAnsi"/>
          <w:bCs/>
          <w:color w:val="0000E1"/>
        </w:rPr>
        <w:t xml:space="preserve"> 3-rates by therapeutic category measure</w:t>
      </w:r>
      <w:r w:rsidRPr="00966116">
        <w:rPr>
          <w:rFonts w:cstheme="minorHAnsi"/>
          <w:bCs/>
          <w:color w:val="0000E1"/>
        </w:rPr>
        <w:t xml:space="preserve"> for risk adjustment considerations as these are currently used for performance evaluation in a national </w:t>
      </w:r>
      <w:r w:rsidR="00B64245" w:rsidRPr="00966116">
        <w:rPr>
          <w:rFonts w:cstheme="minorHAnsi"/>
          <w:bCs/>
          <w:color w:val="0000E1"/>
        </w:rPr>
        <w:t xml:space="preserve">payment </w:t>
      </w:r>
      <w:r w:rsidRPr="00966116">
        <w:rPr>
          <w:rFonts w:cstheme="minorHAnsi"/>
          <w:bCs/>
          <w:color w:val="0000E1"/>
        </w:rPr>
        <w:t xml:space="preserve">program – </w:t>
      </w:r>
      <w:r w:rsidR="007C46DF">
        <w:rPr>
          <w:rFonts w:cstheme="minorHAnsi"/>
          <w:bCs/>
          <w:color w:val="0000E1"/>
        </w:rPr>
        <w:t xml:space="preserve">the </w:t>
      </w:r>
      <w:r w:rsidRPr="00966116">
        <w:rPr>
          <w:rFonts w:cstheme="minorHAnsi"/>
          <w:bCs/>
          <w:color w:val="0000E1"/>
        </w:rPr>
        <w:t>Medicare</w:t>
      </w:r>
      <w:r w:rsidR="007C46DF">
        <w:rPr>
          <w:rFonts w:cstheme="minorHAnsi"/>
          <w:bCs/>
          <w:color w:val="0000E1"/>
        </w:rPr>
        <w:t xml:space="preserve"> Part D Star Ratings program</w:t>
      </w:r>
      <w:r w:rsidRPr="00966116">
        <w:rPr>
          <w:rFonts w:cstheme="minorHAnsi"/>
          <w:bCs/>
          <w:color w:val="0000E1"/>
        </w:rPr>
        <w:t xml:space="preserve">. To that end, </w:t>
      </w:r>
      <w:r w:rsidR="008F44E6" w:rsidRPr="00966116">
        <w:rPr>
          <w:rFonts w:cstheme="minorHAnsi"/>
          <w:bCs/>
          <w:color w:val="0000E1"/>
        </w:rPr>
        <w:t>PQA decided to focus</w:t>
      </w:r>
      <w:r w:rsidRPr="00966116">
        <w:rPr>
          <w:rFonts w:cstheme="minorHAnsi"/>
          <w:bCs/>
          <w:color w:val="0000E1"/>
        </w:rPr>
        <w:t xml:space="preserve"> on Medicare, and will evaluate SDS risk adjustment for Medicaid as these measures are incorporated into Medicaid programs (such as the Medicaid adult core set). As a result, all the risk adjustment work was focused on the Medicare population, with Medicaid risk adjustment to be considered in the future. </w:t>
      </w:r>
    </w:p>
    <w:p w14:paraId="3935DF2C" w14:textId="77777777" w:rsidR="00001D73" w:rsidRDefault="009C7513" w:rsidP="00F677F7">
      <w:pPr>
        <w:spacing w:line="240" w:lineRule="auto"/>
        <w:rPr>
          <w:rFonts w:cstheme="minorHAnsi"/>
          <w:bCs/>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p>
    <w:p w14:paraId="62BF726D" w14:textId="77777777" w:rsidR="00781A77" w:rsidRPr="00966116" w:rsidRDefault="00781A77" w:rsidP="00F677F7">
      <w:pPr>
        <w:spacing w:after="0" w:line="240" w:lineRule="auto"/>
        <w:rPr>
          <w:rFonts w:cstheme="minorHAnsi"/>
          <w:bCs/>
          <w:color w:val="0000E1"/>
          <w:u w:val="single"/>
        </w:rPr>
      </w:pPr>
      <w:r w:rsidRPr="00966116">
        <w:rPr>
          <w:rFonts w:cstheme="minorHAnsi"/>
          <w:bCs/>
          <w:color w:val="0000E1"/>
          <w:u w:val="single"/>
        </w:rPr>
        <w:lastRenderedPageBreak/>
        <w:t>The PQA Risk Adjustment Advisory Panel (RAAP)</w:t>
      </w:r>
    </w:p>
    <w:p w14:paraId="65959876" w14:textId="77777777" w:rsidR="00781A77" w:rsidRPr="00966116" w:rsidRDefault="00781A77" w:rsidP="00947A15">
      <w:pPr>
        <w:spacing w:line="240" w:lineRule="auto"/>
        <w:rPr>
          <w:rFonts w:cstheme="minorHAnsi"/>
          <w:bCs/>
          <w:color w:val="0000E1"/>
        </w:rPr>
      </w:pPr>
      <w:r w:rsidRPr="00966116">
        <w:rPr>
          <w:rFonts w:cstheme="minorHAnsi"/>
          <w:bCs/>
          <w:color w:val="0000E1"/>
        </w:rPr>
        <w:t xml:space="preserve">To address the issue of whether to adjust performance measures for SDS, the National Quality Forum (NQF) convened an expert panel in 2014. The </w:t>
      </w:r>
      <w:r w:rsidR="000E110B">
        <w:rPr>
          <w:rFonts w:cstheme="minorHAnsi"/>
          <w:bCs/>
          <w:color w:val="0000E1"/>
        </w:rPr>
        <w:t xml:space="preserve">NQF </w:t>
      </w:r>
      <w:r w:rsidRPr="00966116">
        <w:rPr>
          <w:rFonts w:cstheme="minorHAnsi"/>
          <w:bCs/>
          <w:color w:val="0000E1"/>
        </w:rPr>
        <w:t>panel recommended that performanc</w:t>
      </w:r>
      <w:r w:rsidR="00D2318C">
        <w:rPr>
          <w:rFonts w:cstheme="minorHAnsi"/>
          <w:bCs/>
          <w:color w:val="0000E1"/>
        </w:rPr>
        <w:t>e-based measures should be risk-</w:t>
      </w:r>
      <w:r w:rsidRPr="00966116">
        <w:rPr>
          <w:rFonts w:cstheme="minorHAnsi"/>
          <w:bCs/>
          <w:color w:val="0000E1"/>
        </w:rPr>
        <w:t>adjusted for sociodemographic factors if these criteria are met: (1) there is a conceptual relationship between SDS and the outcome(s), and (2) there is empirical evidence that SDS affects the outcome(s) of interest.</w:t>
      </w:r>
      <w:r w:rsidRPr="00966116">
        <w:rPr>
          <w:rFonts w:cstheme="minorHAnsi"/>
          <w:bCs/>
          <w:color w:val="0000E1"/>
          <w:vertAlign w:val="superscript"/>
        </w:rPr>
        <w:t>1</w:t>
      </w:r>
    </w:p>
    <w:p w14:paraId="3706D10B" w14:textId="5BF46E10" w:rsidR="00781A77" w:rsidRPr="00966116" w:rsidRDefault="00781A77" w:rsidP="00947A15">
      <w:pPr>
        <w:spacing w:line="240" w:lineRule="auto"/>
        <w:rPr>
          <w:rFonts w:cstheme="minorHAnsi"/>
          <w:bCs/>
          <w:color w:val="0000E1"/>
        </w:rPr>
      </w:pPr>
      <w:proofErr w:type="gramStart"/>
      <w:r w:rsidRPr="00966116">
        <w:rPr>
          <w:rFonts w:cstheme="minorHAnsi"/>
          <w:bCs/>
          <w:color w:val="0000E1"/>
        </w:rPr>
        <w:t>In light of</w:t>
      </w:r>
      <w:proofErr w:type="gramEnd"/>
      <w:r w:rsidRPr="00966116">
        <w:rPr>
          <w:rFonts w:cstheme="minorHAnsi"/>
          <w:bCs/>
          <w:color w:val="0000E1"/>
        </w:rPr>
        <w:t xml:space="preserve"> the NQF trial period</w:t>
      </w:r>
      <w:r w:rsidR="00F1566E">
        <w:rPr>
          <w:rFonts w:cstheme="minorHAnsi"/>
          <w:bCs/>
          <w:color w:val="0000E1"/>
        </w:rPr>
        <w:t xml:space="preserve"> that</w:t>
      </w:r>
      <w:r w:rsidRPr="00966116">
        <w:rPr>
          <w:rFonts w:cstheme="minorHAnsi"/>
          <w:bCs/>
          <w:color w:val="0000E1"/>
        </w:rPr>
        <w:t xml:space="preserve"> began </w:t>
      </w:r>
      <w:r w:rsidR="00B6136B">
        <w:rPr>
          <w:rFonts w:cstheme="minorHAnsi"/>
          <w:bCs/>
          <w:color w:val="0000E1"/>
        </w:rPr>
        <w:t xml:space="preserve">in </w:t>
      </w:r>
      <w:r w:rsidRPr="00966116">
        <w:rPr>
          <w:rFonts w:cstheme="minorHAnsi"/>
          <w:bCs/>
          <w:color w:val="0000E1"/>
        </w:rPr>
        <w:t>April 2015, PQA convened a Risk Adjustment Advisory Panel (RAAP), comprised of representatives with experience in healthcare disparities, risk adjustment methods, and medication adherence research</w:t>
      </w:r>
      <w:r w:rsidR="00FC4034">
        <w:rPr>
          <w:rFonts w:cstheme="minorHAnsi"/>
          <w:bCs/>
          <w:color w:val="0000E1"/>
        </w:rPr>
        <w:t xml:space="preserve"> (see Table 9 for list of RAAP members). The goal</w:t>
      </w:r>
      <w:r w:rsidR="00C66D63">
        <w:rPr>
          <w:rFonts w:cstheme="minorHAnsi"/>
          <w:bCs/>
          <w:color w:val="0000E1"/>
        </w:rPr>
        <w:t>s</w:t>
      </w:r>
      <w:r w:rsidR="00FC4034">
        <w:rPr>
          <w:rFonts w:cstheme="minorHAnsi"/>
          <w:bCs/>
          <w:color w:val="0000E1"/>
        </w:rPr>
        <w:t xml:space="preserve"> of the group </w:t>
      </w:r>
      <w:r w:rsidR="00C66D63">
        <w:rPr>
          <w:rFonts w:cstheme="minorHAnsi"/>
          <w:bCs/>
          <w:color w:val="0000E1"/>
        </w:rPr>
        <w:t>included</w:t>
      </w:r>
      <w:r w:rsidR="00FC4034">
        <w:rPr>
          <w:rFonts w:cstheme="minorHAnsi"/>
          <w:bCs/>
          <w:color w:val="0000E1"/>
        </w:rPr>
        <w:t xml:space="preserve">: </w:t>
      </w:r>
      <w:r w:rsidRPr="00966116">
        <w:rPr>
          <w:rFonts w:cstheme="minorHAnsi"/>
          <w:bCs/>
          <w:color w:val="0000E1"/>
        </w:rPr>
        <w:t>1) identify</w:t>
      </w:r>
      <w:r w:rsidR="00C66D63">
        <w:rPr>
          <w:rFonts w:cstheme="minorHAnsi"/>
          <w:bCs/>
          <w:color w:val="0000E1"/>
        </w:rPr>
        <w:t>ing</w:t>
      </w:r>
      <w:r w:rsidRPr="00966116">
        <w:rPr>
          <w:rFonts w:cstheme="minorHAnsi"/>
          <w:bCs/>
          <w:color w:val="0000E1"/>
        </w:rPr>
        <w:t xml:space="preserve"> which PQA measures may be appropriate for SDS risk adjustment; and 2) recommend</w:t>
      </w:r>
      <w:r w:rsidR="00C66D63">
        <w:rPr>
          <w:rFonts w:cstheme="minorHAnsi"/>
          <w:bCs/>
          <w:color w:val="0000E1"/>
        </w:rPr>
        <w:t>ing</w:t>
      </w:r>
      <w:r w:rsidRPr="00966116">
        <w:rPr>
          <w:rFonts w:cstheme="minorHAnsi"/>
          <w:bCs/>
          <w:color w:val="0000E1"/>
        </w:rPr>
        <w:t xml:space="preserve"> a valid risk adjustment methodology fo</w:t>
      </w:r>
      <w:r w:rsidR="007A1DAA">
        <w:rPr>
          <w:rFonts w:cstheme="minorHAnsi"/>
          <w:bCs/>
          <w:color w:val="0000E1"/>
        </w:rPr>
        <w:t>r those measures, which included</w:t>
      </w:r>
      <w:r w:rsidRPr="00966116">
        <w:rPr>
          <w:rFonts w:cstheme="minorHAnsi"/>
          <w:bCs/>
          <w:color w:val="0000E1"/>
        </w:rPr>
        <w:t xml:space="preserve"> determining which SDS variables to use for adjustment and how to rep</w:t>
      </w:r>
      <w:r w:rsidR="00C66D63">
        <w:rPr>
          <w:rFonts w:cstheme="minorHAnsi"/>
          <w:bCs/>
          <w:color w:val="0000E1"/>
        </w:rPr>
        <w:t>ort the measure rates by plan</w:t>
      </w:r>
      <w:r w:rsidR="00030DAF">
        <w:rPr>
          <w:rFonts w:cstheme="minorHAnsi"/>
          <w:bCs/>
          <w:color w:val="0000E1"/>
        </w:rPr>
        <w:t>/contract</w:t>
      </w:r>
      <w:r w:rsidR="00C66D63">
        <w:rPr>
          <w:rFonts w:cstheme="minorHAnsi"/>
          <w:bCs/>
          <w:color w:val="0000E1"/>
        </w:rPr>
        <w:t xml:space="preserve">. </w:t>
      </w:r>
      <w:r w:rsidRPr="00966116">
        <w:rPr>
          <w:rFonts w:cstheme="minorHAnsi"/>
          <w:bCs/>
          <w:color w:val="0000E1"/>
        </w:rPr>
        <w:t xml:space="preserve">The panel decided to focus on the </w:t>
      </w:r>
      <w:r w:rsidR="00C66D63">
        <w:rPr>
          <w:rFonts w:cstheme="minorHAnsi"/>
          <w:bCs/>
          <w:color w:val="0000E1"/>
        </w:rPr>
        <w:t xml:space="preserve">PQA PDC 3-rates </w:t>
      </w:r>
      <w:r w:rsidR="007A1DAA">
        <w:rPr>
          <w:rFonts w:cstheme="minorHAnsi"/>
          <w:bCs/>
          <w:color w:val="0000E1"/>
        </w:rPr>
        <w:t xml:space="preserve">by therapeutic category </w:t>
      </w:r>
      <w:r w:rsidR="00C66D63">
        <w:rPr>
          <w:rFonts w:cstheme="minorHAnsi"/>
          <w:bCs/>
          <w:color w:val="0000E1"/>
        </w:rPr>
        <w:t>measure (Diabetes, RASA, and Statins)</w:t>
      </w:r>
      <w:r w:rsidRPr="00966116">
        <w:rPr>
          <w:rFonts w:cstheme="minorHAnsi"/>
          <w:bCs/>
          <w:color w:val="0000E1"/>
        </w:rPr>
        <w:t>.</w:t>
      </w:r>
    </w:p>
    <w:p w14:paraId="1B8E553C" w14:textId="77777777" w:rsidR="000D184E" w:rsidRDefault="00781A77" w:rsidP="000E110B">
      <w:pPr>
        <w:spacing w:after="0" w:line="240" w:lineRule="auto"/>
        <w:rPr>
          <w:rFonts w:cstheme="minorHAnsi"/>
          <w:bCs/>
          <w:color w:val="0000E1"/>
        </w:rPr>
      </w:pPr>
      <w:r w:rsidRPr="00966116">
        <w:rPr>
          <w:rFonts w:cstheme="minorHAnsi"/>
          <w:bCs/>
          <w:color w:val="0000E1"/>
        </w:rPr>
        <w:t xml:space="preserve">The RAAP met monthly over the course of 18 months. Through a systematic review of literature, discussion, and voting, the RAAP selected variables for risk adjustment and developed a valid risk adjustment model for the three </w:t>
      </w:r>
      <w:r w:rsidR="00C66D63">
        <w:rPr>
          <w:rFonts w:cstheme="minorHAnsi"/>
          <w:bCs/>
          <w:color w:val="0000E1"/>
        </w:rPr>
        <w:t>therapeutic categories</w:t>
      </w:r>
      <w:r w:rsidRPr="00966116">
        <w:rPr>
          <w:rFonts w:cstheme="minorHAnsi"/>
          <w:bCs/>
          <w:color w:val="0000E1"/>
        </w:rPr>
        <w:t xml:space="preserve">. </w:t>
      </w:r>
    </w:p>
    <w:p w14:paraId="3E68A827" w14:textId="77777777" w:rsidR="000E110B" w:rsidRPr="00966116" w:rsidRDefault="000E110B" w:rsidP="000E110B">
      <w:pPr>
        <w:spacing w:after="0" w:line="240" w:lineRule="auto"/>
        <w:rPr>
          <w:rFonts w:cstheme="minorHAnsi"/>
          <w:bCs/>
          <w:color w:val="0000E1"/>
        </w:rPr>
      </w:pPr>
    </w:p>
    <w:p w14:paraId="5277DBE8" w14:textId="06AE44CE" w:rsidR="00781A77" w:rsidRPr="00966116" w:rsidRDefault="00B64245" w:rsidP="00C061E6">
      <w:pPr>
        <w:spacing w:after="0"/>
        <w:rPr>
          <w:rFonts w:cstheme="minorHAnsi"/>
          <w:b/>
          <w:bCs/>
          <w:color w:val="0000E1"/>
        </w:rPr>
      </w:pPr>
      <w:r w:rsidRPr="00966116">
        <w:rPr>
          <w:rFonts w:cstheme="minorHAnsi"/>
          <w:b/>
          <w:bCs/>
          <w:color w:val="0000E1"/>
        </w:rPr>
        <w:t>Table 9</w:t>
      </w:r>
      <w:r w:rsidR="00365B0F" w:rsidRPr="00966116">
        <w:rPr>
          <w:rFonts w:cstheme="minorHAnsi"/>
          <w:b/>
          <w:bCs/>
          <w:color w:val="0000E1"/>
        </w:rPr>
        <w:t xml:space="preserve">. PQA Risk Adjustment Advisory Panel Members </w:t>
      </w:r>
    </w:p>
    <w:tbl>
      <w:tblPr>
        <w:tblW w:w="8099" w:type="dxa"/>
        <w:tblLook w:val="04A0" w:firstRow="1" w:lastRow="0" w:firstColumn="1" w:lastColumn="0" w:noHBand="0" w:noVBand="1"/>
      </w:tblPr>
      <w:tblGrid>
        <w:gridCol w:w="2941"/>
        <w:gridCol w:w="5158"/>
      </w:tblGrid>
      <w:tr w:rsidR="00B4260D" w:rsidRPr="00966116" w14:paraId="35CF187E" w14:textId="77777777" w:rsidTr="00FE29CE">
        <w:trPr>
          <w:trHeight w:val="221"/>
          <w:tblHeader/>
        </w:trPr>
        <w:tc>
          <w:tcPr>
            <w:tcW w:w="294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3C422C" w14:textId="77777777" w:rsidR="00365B0F" w:rsidRPr="00966116" w:rsidRDefault="00365B0F" w:rsidP="00F677F7">
            <w:pPr>
              <w:spacing w:after="0" w:line="240" w:lineRule="auto"/>
              <w:jc w:val="center"/>
              <w:rPr>
                <w:rFonts w:ascii="Calibri" w:eastAsia="Times New Roman" w:hAnsi="Calibri" w:cs="Calibri"/>
                <w:b/>
                <w:bCs/>
                <w:color w:val="0000E1"/>
              </w:rPr>
            </w:pPr>
            <w:r w:rsidRPr="00966116">
              <w:rPr>
                <w:rFonts w:ascii="Calibri" w:eastAsia="Times New Roman" w:hAnsi="Calibri" w:cs="Calibri"/>
                <w:b/>
                <w:bCs/>
                <w:color w:val="0000E1"/>
              </w:rPr>
              <w:t>Name</w:t>
            </w:r>
          </w:p>
        </w:tc>
        <w:tc>
          <w:tcPr>
            <w:tcW w:w="5158" w:type="dxa"/>
            <w:tcBorders>
              <w:top w:val="single" w:sz="4" w:space="0" w:color="auto"/>
              <w:left w:val="nil"/>
              <w:bottom w:val="single" w:sz="4" w:space="0" w:color="auto"/>
              <w:right w:val="single" w:sz="4" w:space="0" w:color="auto"/>
            </w:tcBorders>
            <w:shd w:val="clear" w:color="000000" w:fill="FFFFFF"/>
            <w:vAlign w:val="bottom"/>
            <w:hideMark/>
          </w:tcPr>
          <w:p w14:paraId="31C38B98" w14:textId="77777777" w:rsidR="00365B0F" w:rsidRPr="00966116" w:rsidRDefault="00365B0F" w:rsidP="00F677F7">
            <w:pPr>
              <w:spacing w:after="0" w:line="240" w:lineRule="auto"/>
              <w:jc w:val="center"/>
              <w:rPr>
                <w:rFonts w:ascii="Calibri" w:eastAsia="Times New Roman" w:hAnsi="Calibri" w:cs="Calibri"/>
                <w:b/>
                <w:bCs/>
                <w:color w:val="0000E1"/>
              </w:rPr>
            </w:pPr>
            <w:r w:rsidRPr="00966116">
              <w:rPr>
                <w:rFonts w:ascii="Calibri" w:eastAsia="Times New Roman" w:hAnsi="Calibri" w:cs="Calibri"/>
                <w:b/>
                <w:bCs/>
                <w:color w:val="0000E1"/>
              </w:rPr>
              <w:t>Organization</w:t>
            </w:r>
          </w:p>
        </w:tc>
      </w:tr>
      <w:tr w:rsidR="00B4260D" w:rsidRPr="00966116" w14:paraId="0785EF6B" w14:textId="77777777" w:rsidTr="00C66D63">
        <w:trPr>
          <w:trHeight w:val="221"/>
        </w:trPr>
        <w:tc>
          <w:tcPr>
            <w:tcW w:w="2941" w:type="dxa"/>
            <w:tcBorders>
              <w:top w:val="nil"/>
              <w:left w:val="single" w:sz="4" w:space="0" w:color="auto"/>
              <w:bottom w:val="single" w:sz="4" w:space="0" w:color="auto"/>
              <w:right w:val="single" w:sz="4" w:space="0" w:color="auto"/>
            </w:tcBorders>
            <w:shd w:val="clear" w:color="000000" w:fill="FFFFFF"/>
            <w:noWrap/>
            <w:vAlign w:val="bottom"/>
            <w:hideMark/>
          </w:tcPr>
          <w:p w14:paraId="64EB5E2E"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John Bentley</w:t>
            </w:r>
          </w:p>
        </w:tc>
        <w:tc>
          <w:tcPr>
            <w:tcW w:w="5158" w:type="dxa"/>
            <w:tcBorders>
              <w:top w:val="nil"/>
              <w:left w:val="nil"/>
              <w:bottom w:val="single" w:sz="4" w:space="0" w:color="auto"/>
              <w:right w:val="single" w:sz="4" w:space="0" w:color="auto"/>
            </w:tcBorders>
            <w:shd w:val="clear" w:color="000000" w:fill="FFFFFF"/>
            <w:noWrap/>
            <w:vAlign w:val="bottom"/>
            <w:hideMark/>
          </w:tcPr>
          <w:p w14:paraId="348904B2"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The University of Mississippi</w:t>
            </w:r>
          </w:p>
        </w:tc>
      </w:tr>
      <w:tr w:rsidR="00B4260D" w:rsidRPr="00966116" w14:paraId="43B48A1C" w14:textId="77777777" w:rsidTr="00C66D63">
        <w:trPr>
          <w:trHeight w:val="221"/>
        </w:trPr>
        <w:tc>
          <w:tcPr>
            <w:tcW w:w="2941" w:type="dxa"/>
            <w:tcBorders>
              <w:top w:val="nil"/>
              <w:left w:val="single" w:sz="4" w:space="0" w:color="auto"/>
              <w:bottom w:val="single" w:sz="4" w:space="0" w:color="auto"/>
              <w:right w:val="single" w:sz="4" w:space="0" w:color="auto"/>
            </w:tcBorders>
            <w:shd w:val="clear" w:color="000000" w:fill="FFFFFF"/>
            <w:noWrap/>
            <w:vAlign w:val="bottom"/>
            <w:hideMark/>
          </w:tcPr>
          <w:p w14:paraId="383E8BAD"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Greg Berger</w:t>
            </w:r>
          </w:p>
        </w:tc>
        <w:tc>
          <w:tcPr>
            <w:tcW w:w="5158" w:type="dxa"/>
            <w:tcBorders>
              <w:top w:val="nil"/>
              <w:left w:val="nil"/>
              <w:bottom w:val="single" w:sz="4" w:space="0" w:color="auto"/>
              <w:right w:val="single" w:sz="4" w:space="0" w:color="auto"/>
            </w:tcBorders>
            <w:shd w:val="clear" w:color="000000" w:fill="FFFFFF"/>
            <w:noWrap/>
            <w:vAlign w:val="bottom"/>
            <w:hideMark/>
          </w:tcPr>
          <w:p w14:paraId="52814157"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 xml:space="preserve">America’s Health Insurance Plans (AHIP) </w:t>
            </w:r>
          </w:p>
        </w:tc>
      </w:tr>
      <w:tr w:rsidR="00B4260D" w:rsidRPr="00966116" w14:paraId="0C7737FD" w14:textId="77777777" w:rsidTr="00C66D63">
        <w:trPr>
          <w:trHeight w:val="221"/>
        </w:trPr>
        <w:tc>
          <w:tcPr>
            <w:tcW w:w="2941" w:type="dxa"/>
            <w:tcBorders>
              <w:top w:val="nil"/>
              <w:left w:val="single" w:sz="4" w:space="0" w:color="auto"/>
              <w:bottom w:val="single" w:sz="4" w:space="0" w:color="auto"/>
              <w:right w:val="single" w:sz="4" w:space="0" w:color="auto"/>
            </w:tcBorders>
            <w:shd w:val="clear" w:color="000000" w:fill="FFFFFF"/>
            <w:noWrap/>
            <w:vAlign w:val="bottom"/>
            <w:hideMark/>
          </w:tcPr>
          <w:p w14:paraId="00233668"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Anton Berisha</w:t>
            </w:r>
          </w:p>
        </w:tc>
        <w:tc>
          <w:tcPr>
            <w:tcW w:w="5158" w:type="dxa"/>
            <w:tcBorders>
              <w:top w:val="nil"/>
              <w:left w:val="nil"/>
              <w:bottom w:val="single" w:sz="4" w:space="0" w:color="auto"/>
              <w:right w:val="single" w:sz="4" w:space="0" w:color="auto"/>
            </w:tcBorders>
            <w:shd w:val="clear" w:color="000000" w:fill="FFFFFF"/>
            <w:noWrap/>
            <w:vAlign w:val="bottom"/>
            <w:hideMark/>
          </w:tcPr>
          <w:p w14:paraId="61EAEC47"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Lexis Nexis</w:t>
            </w:r>
          </w:p>
        </w:tc>
      </w:tr>
      <w:tr w:rsidR="00B4260D" w:rsidRPr="00966116" w14:paraId="3E4E7250" w14:textId="77777777" w:rsidTr="00C66D63">
        <w:trPr>
          <w:trHeight w:val="172"/>
        </w:trPr>
        <w:tc>
          <w:tcPr>
            <w:tcW w:w="2941" w:type="dxa"/>
            <w:tcBorders>
              <w:top w:val="nil"/>
              <w:left w:val="single" w:sz="4" w:space="0" w:color="auto"/>
              <w:bottom w:val="single" w:sz="4" w:space="0" w:color="auto"/>
              <w:right w:val="single" w:sz="4" w:space="0" w:color="auto"/>
            </w:tcBorders>
            <w:shd w:val="clear" w:color="000000" w:fill="FFFFFF"/>
            <w:noWrap/>
            <w:vAlign w:val="bottom"/>
            <w:hideMark/>
          </w:tcPr>
          <w:p w14:paraId="54AB9EC1"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Heather Black</w:t>
            </w:r>
          </w:p>
        </w:tc>
        <w:tc>
          <w:tcPr>
            <w:tcW w:w="5158" w:type="dxa"/>
            <w:tcBorders>
              <w:top w:val="nil"/>
              <w:left w:val="nil"/>
              <w:bottom w:val="single" w:sz="4" w:space="0" w:color="auto"/>
              <w:right w:val="single" w:sz="4" w:space="0" w:color="auto"/>
            </w:tcBorders>
            <w:shd w:val="clear" w:color="000000" w:fill="FFFFFF"/>
            <w:vAlign w:val="bottom"/>
            <w:hideMark/>
          </w:tcPr>
          <w:p w14:paraId="56F634A5"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Merck</w:t>
            </w:r>
          </w:p>
        </w:tc>
      </w:tr>
      <w:tr w:rsidR="00B4260D" w:rsidRPr="00966116" w14:paraId="045EF3B5" w14:textId="77777777" w:rsidTr="00C66D63">
        <w:trPr>
          <w:trHeight w:val="221"/>
        </w:trPr>
        <w:tc>
          <w:tcPr>
            <w:tcW w:w="2941" w:type="dxa"/>
            <w:tcBorders>
              <w:top w:val="nil"/>
              <w:left w:val="single" w:sz="4" w:space="0" w:color="auto"/>
              <w:bottom w:val="single" w:sz="4" w:space="0" w:color="auto"/>
              <w:right w:val="single" w:sz="4" w:space="0" w:color="auto"/>
            </w:tcBorders>
            <w:shd w:val="clear" w:color="000000" w:fill="FFFFFF"/>
            <w:noWrap/>
            <w:vAlign w:val="bottom"/>
            <w:hideMark/>
          </w:tcPr>
          <w:p w14:paraId="62842EC4"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Joyce Chan</w:t>
            </w:r>
          </w:p>
        </w:tc>
        <w:tc>
          <w:tcPr>
            <w:tcW w:w="5158" w:type="dxa"/>
            <w:tcBorders>
              <w:top w:val="nil"/>
              <w:left w:val="nil"/>
              <w:bottom w:val="single" w:sz="4" w:space="0" w:color="auto"/>
              <w:right w:val="single" w:sz="4" w:space="0" w:color="auto"/>
            </w:tcBorders>
            <w:shd w:val="clear" w:color="000000" w:fill="FFFFFF"/>
            <w:noWrap/>
            <w:vAlign w:val="bottom"/>
            <w:hideMark/>
          </w:tcPr>
          <w:p w14:paraId="04030EE4"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Health First</w:t>
            </w:r>
          </w:p>
        </w:tc>
      </w:tr>
      <w:tr w:rsidR="00B4260D" w:rsidRPr="00966116" w14:paraId="04CC6F81" w14:textId="77777777" w:rsidTr="00C66D63">
        <w:trPr>
          <w:trHeight w:val="221"/>
        </w:trPr>
        <w:tc>
          <w:tcPr>
            <w:tcW w:w="2941" w:type="dxa"/>
            <w:tcBorders>
              <w:top w:val="nil"/>
              <w:left w:val="single" w:sz="4" w:space="0" w:color="auto"/>
              <w:bottom w:val="single" w:sz="4" w:space="0" w:color="auto"/>
              <w:right w:val="single" w:sz="4" w:space="0" w:color="auto"/>
            </w:tcBorders>
            <w:shd w:val="clear" w:color="000000" w:fill="FFFFFF"/>
            <w:noWrap/>
            <w:vAlign w:val="bottom"/>
            <w:hideMark/>
          </w:tcPr>
          <w:p w14:paraId="49B8270B"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Rebecca Chater</w:t>
            </w:r>
          </w:p>
        </w:tc>
        <w:tc>
          <w:tcPr>
            <w:tcW w:w="5158" w:type="dxa"/>
            <w:tcBorders>
              <w:top w:val="nil"/>
              <w:left w:val="nil"/>
              <w:bottom w:val="single" w:sz="4" w:space="0" w:color="auto"/>
              <w:right w:val="single" w:sz="4" w:space="0" w:color="auto"/>
            </w:tcBorders>
            <w:shd w:val="clear" w:color="000000" w:fill="FFFFFF"/>
            <w:noWrap/>
            <w:vAlign w:val="bottom"/>
            <w:hideMark/>
          </w:tcPr>
          <w:p w14:paraId="38BEA4FE" w14:textId="77777777" w:rsidR="00234468" w:rsidRPr="00966116" w:rsidRDefault="00234468" w:rsidP="00F677F7">
            <w:pPr>
              <w:spacing w:after="0" w:line="240" w:lineRule="auto"/>
              <w:rPr>
                <w:rFonts w:eastAsia="Times New Roman" w:cstheme="minorHAnsi"/>
                <w:color w:val="0000E1"/>
              </w:rPr>
            </w:pPr>
            <w:proofErr w:type="spellStart"/>
            <w:r w:rsidRPr="00966116">
              <w:rPr>
                <w:rFonts w:cstheme="minorHAnsi"/>
                <w:color w:val="0000E1"/>
              </w:rPr>
              <w:t>Ateb</w:t>
            </w:r>
            <w:proofErr w:type="spellEnd"/>
            <w:r w:rsidRPr="00966116">
              <w:rPr>
                <w:rFonts w:cstheme="minorHAnsi"/>
                <w:color w:val="0000E1"/>
              </w:rPr>
              <w:t>, Inc.</w:t>
            </w:r>
          </w:p>
        </w:tc>
      </w:tr>
      <w:tr w:rsidR="00B4260D" w:rsidRPr="00966116" w14:paraId="7B7842A0" w14:textId="77777777" w:rsidTr="00C66D63">
        <w:trPr>
          <w:trHeight w:val="221"/>
        </w:trPr>
        <w:tc>
          <w:tcPr>
            <w:tcW w:w="2941" w:type="dxa"/>
            <w:tcBorders>
              <w:top w:val="nil"/>
              <w:left w:val="single" w:sz="4" w:space="0" w:color="auto"/>
              <w:bottom w:val="single" w:sz="4" w:space="0" w:color="auto"/>
              <w:right w:val="single" w:sz="4" w:space="0" w:color="auto"/>
            </w:tcBorders>
            <w:shd w:val="clear" w:color="000000" w:fill="FFFFFF"/>
            <w:noWrap/>
            <w:vAlign w:val="bottom"/>
            <w:hideMark/>
          </w:tcPr>
          <w:p w14:paraId="31DE696D"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Kelly Conn</w:t>
            </w:r>
          </w:p>
        </w:tc>
        <w:tc>
          <w:tcPr>
            <w:tcW w:w="5158" w:type="dxa"/>
            <w:tcBorders>
              <w:top w:val="nil"/>
              <w:left w:val="nil"/>
              <w:bottom w:val="single" w:sz="4" w:space="0" w:color="auto"/>
              <w:right w:val="single" w:sz="4" w:space="0" w:color="auto"/>
            </w:tcBorders>
            <w:shd w:val="clear" w:color="000000" w:fill="FFFFFF"/>
            <w:noWrap/>
            <w:vAlign w:val="bottom"/>
            <w:hideMark/>
          </w:tcPr>
          <w:p w14:paraId="3C7F51F7"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St. John Fisher College</w:t>
            </w:r>
          </w:p>
        </w:tc>
      </w:tr>
      <w:tr w:rsidR="00B4260D" w:rsidRPr="00966116" w14:paraId="2A858AF6" w14:textId="77777777" w:rsidTr="00C66D63">
        <w:trPr>
          <w:trHeight w:val="221"/>
        </w:trPr>
        <w:tc>
          <w:tcPr>
            <w:tcW w:w="2941" w:type="dxa"/>
            <w:tcBorders>
              <w:top w:val="nil"/>
              <w:left w:val="single" w:sz="4" w:space="0" w:color="auto"/>
              <w:bottom w:val="single" w:sz="4" w:space="0" w:color="auto"/>
              <w:right w:val="single" w:sz="4" w:space="0" w:color="auto"/>
            </w:tcBorders>
            <w:shd w:val="clear" w:color="000000" w:fill="FFFFFF"/>
            <w:noWrap/>
            <w:vAlign w:val="bottom"/>
            <w:hideMark/>
          </w:tcPr>
          <w:p w14:paraId="4FA0E26B"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Jeff Cooley</w:t>
            </w:r>
          </w:p>
        </w:tc>
        <w:tc>
          <w:tcPr>
            <w:tcW w:w="5158" w:type="dxa"/>
            <w:tcBorders>
              <w:top w:val="nil"/>
              <w:left w:val="nil"/>
              <w:bottom w:val="single" w:sz="4" w:space="0" w:color="auto"/>
              <w:right w:val="single" w:sz="4" w:space="0" w:color="auto"/>
            </w:tcBorders>
            <w:shd w:val="clear" w:color="000000" w:fill="FFFFFF"/>
            <w:noWrap/>
            <w:vAlign w:val="bottom"/>
            <w:hideMark/>
          </w:tcPr>
          <w:p w14:paraId="6A1B0B18"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Humana</w:t>
            </w:r>
          </w:p>
        </w:tc>
      </w:tr>
      <w:tr w:rsidR="00B4260D" w:rsidRPr="00966116" w14:paraId="166B6022" w14:textId="77777777" w:rsidTr="00C66D63">
        <w:trPr>
          <w:trHeight w:val="221"/>
        </w:trPr>
        <w:tc>
          <w:tcPr>
            <w:tcW w:w="2941" w:type="dxa"/>
            <w:tcBorders>
              <w:top w:val="nil"/>
              <w:left w:val="single" w:sz="4" w:space="0" w:color="auto"/>
              <w:bottom w:val="single" w:sz="4" w:space="0" w:color="auto"/>
              <w:right w:val="single" w:sz="4" w:space="0" w:color="auto"/>
            </w:tcBorders>
            <w:shd w:val="clear" w:color="000000" w:fill="FFFFFF"/>
            <w:noWrap/>
            <w:vAlign w:val="bottom"/>
            <w:hideMark/>
          </w:tcPr>
          <w:p w14:paraId="6030C0C7"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Joseph Couto</w:t>
            </w:r>
          </w:p>
        </w:tc>
        <w:tc>
          <w:tcPr>
            <w:tcW w:w="5158" w:type="dxa"/>
            <w:tcBorders>
              <w:top w:val="nil"/>
              <w:left w:val="nil"/>
              <w:bottom w:val="single" w:sz="4" w:space="0" w:color="auto"/>
              <w:right w:val="single" w:sz="4" w:space="0" w:color="auto"/>
            </w:tcBorders>
            <w:shd w:val="clear" w:color="000000" w:fill="FFFFFF"/>
            <w:noWrap/>
            <w:vAlign w:val="bottom"/>
            <w:hideMark/>
          </w:tcPr>
          <w:p w14:paraId="49608216"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Cigna</w:t>
            </w:r>
          </w:p>
        </w:tc>
      </w:tr>
      <w:tr w:rsidR="00B4260D" w:rsidRPr="00966116" w14:paraId="2EE4C393" w14:textId="77777777" w:rsidTr="00C66D63">
        <w:trPr>
          <w:trHeight w:val="221"/>
        </w:trPr>
        <w:tc>
          <w:tcPr>
            <w:tcW w:w="2941" w:type="dxa"/>
            <w:tcBorders>
              <w:top w:val="nil"/>
              <w:left w:val="single" w:sz="4" w:space="0" w:color="auto"/>
              <w:bottom w:val="single" w:sz="4" w:space="0" w:color="auto"/>
              <w:right w:val="single" w:sz="4" w:space="0" w:color="auto"/>
            </w:tcBorders>
            <w:shd w:val="clear" w:color="000000" w:fill="FFFFFF"/>
            <w:noWrap/>
            <w:vAlign w:val="bottom"/>
            <w:hideMark/>
          </w:tcPr>
          <w:p w14:paraId="3053BF89"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Patrick Gleason</w:t>
            </w:r>
          </w:p>
        </w:tc>
        <w:tc>
          <w:tcPr>
            <w:tcW w:w="5158" w:type="dxa"/>
            <w:tcBorders>
              <w:top w:val="nil"/>
              <w:left w:val="nil"/>
              <w:bottom w:val="single" w:sz="4" w:space="0" w:color="auto"/>
              <w:right w:val="single" w:sz="4" w:space="0" w:color="auto"/>
            </w:tcBorders>
            <w:shd w:val="clear" w:color="000000" w:fill="FFFFFF"/>
            <w:noWrap/>
            <w:vAlign w:val="bottom"/>
            <w:hideMark/>
          </w:tcPr>
          <w:p w14:paraId="17E7B3AD"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Prime Therapeutics</w:t>
            </w:r>
          </w:p>
        </w:tc>
      </w:tr>
      <w:tr w:rsidR="00B4260D" w:rsidRPr="00966116" w14:paraId="0C2874AB" w14:textId="77777777" w:rsidTr="00C66D63">
        <w:trPr>
          <w:trHeight w:val="221"/>
        </w:trPr>
        <w:tc>
          <w:tcPr>
            <w:tcW w:w="2941" w:type="dxa"/>
            <w:tcBorders>
              <w:top w:val="nil"/>
              <w:left w:val="single" w:sz="4" w:space="0" w:color="auto"/>
              <w:bottom w:val="single" w:sz="4" w:space="0" w:color="auto"/>
              <w:right w:val="single" w:sz="4" w:space="0" w:color="auto"/>
            </w:tcBorders>
            <w:shd w:val="clear" w:color="000000" w:fill="FFFFFF"/>
            <w:noWrap/>
            <w:vAlign w:val="bottom"/>
            <w:hideMark/>
          </w:tcPr>
          <w:p w14:paraId="192F9C12"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Kelly Hollenack</w:t>
            </w:r>
          </w:p>
        </w:tc>
        <w:tc>
          <w:tcPr>
            <w:tcW w:w="5158" w:type="dxa"/>
            <w:tcBorders>
              <w:top w:val="nil"/>
              <w:left w:val="nil"/>
              <w:bottom w:val="single" w:sz="4" w:space="0" w:color="auto"/>
              <w:right w:val="single" w:sz="4" w:space="0" w:color="auto"/>
            </w:tcBorders>
            <w:shd w:val="clear" w:color="000000" w:fill="FFFFFF"/>
            <w:noWrap/>
            <w:vAlign w:val="bottom"/>
            <w:hideMark/>
          </w:tcPr>
          <w:p w14:paraId="528324D2"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ZA Pharma</w:t>
            </w:r>
          </w:p>
        </w:tc>
      </w:tr>
      <w:tr w:rsidR="00B4260D" w:rsidRPr="00966116" w14:paraId="5BC8C994" w14:textId="77777777" w:rsidTr="00C66D63">
        <w:trPr>
          <w:trHeight w:val="221"/>
        </w:trPr>
        <w:tc>
          <w:tcPr>
            <w:tcW w:w="2941" w:type="dxa"/>
            <w:tcBorders>
              <w:top w:val="nil"/>
              <w:left w:val="single" w:sz="4" w:space="0" w:color="auto"/>
              <w:bottom w:val="single" w:sz="4" w:space="0" w:color="auto"/>
              <w:right w:val="single" w:sz="4" w:space="0" w:color="auto"/>
            </w:tcBorders>
            <w:shd w:val="clear" w:color="000000" w:fill="FFFFFF"/>
            <w:noWrap/>
            <w:vAlign w:val="bottom"/>
            <w:hideMark/>
          </w:tcPr>
          <w:p w14:paraId="07107893"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Rita Hui</w:t>
            </w:r>
          </w:p>
        </w:tc>
        <w:tc>
          <w:tcPr>
            <w:tcW w:w="5158" w:type="dxa"/>
            <w:tcBorders>
              <w:top w:val="nil"/>
              <w:left w:val="nil"/>
              <w:bottom w:val="single" w:sz="4" w:space="0" w:color="auto"/>
              <w:right w:val="single" w:sz="4" w:space="0" w:color="auto"/>
            </w:tcBorders>
            <w:shd w:val="clear" w:color="000000" w:fill="FFFFFF"/>
            <w:noWrap/>
            <w:vAlign w:val="bottom"/>
            <w:hideMark/>
          </w:tcPr>
          <w:p w14:paraId="1DEE5893"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Kaiser Permanente</w:t>
            </w:r>
          </w:p>
        </w:tc>
      </w:tr>
      <w:tr w:rsidR="00B4260D" w:rsidRPr="00966116" w14:paraId="4F9E6F6F" w14:textId="77777777" w:rsidTr="00C66D63">
        <w:trPr>
          <w:trHeight w:val="221"/>
        </w:trPr>
        <w:tc>
          <w:tcPr>
            <w:tcW w:w="2941" w:type="dxa"/>
            <w:tcBorders>
              <w:top w:val="nil"/>
              <w:left w:val="single" w:sz="4" w:space="0" w:color="auto"/>
              <w:bottom w:val="single" w:sz="4" w:space="0" w:color="auto"/>
              <w:right w:val="single" w:sz="4" w:space="0" w:color="auto"/>
            </w:tcBorders>
            <w:shd w:val="clear" w:color="000000" w:fill="FFFFFF"/>
            <w:noWrap/>
            <w:vAlign w:val="bottom"/>
            <w:hideMark/>
          </w:tcPr>
          <w:p w14:paraId="40EA2C3A" w14:textId="77777777" w:rsidR="00234468" w:rsidRPr="00966116" w:rsidRDefault="00234468" w:rsidP="00F677F7">
            <w:pPr>
              <w:spacing w:after="0" w:line="240" w:lineRule="auto"/>
              <w:rPr>
                <w:rFonts w:eastAsia="Times New Roman" w:cstheme="minorHAnsi"/>
                <w:color w:val="0000E1"/>
              </w:rPr>
            </w:pPr>
            <w:proofErr w:type="spellStart"/>
            <w:r w:rsidRPr="00966116">
              <w:rPr>
                <w:rFonts w:cstheme="minorHAnsi"/>
                <w:color w:val="0000E1"/>
              </w:rPr>
              <w:t>Taline</w:t>
            </w:r>
            <w:proofErr w:type="spellEnd"/>
            <w:r w:rsidRPr="00966116">
              <w:rPr>
                <w:rFonts w:cstheme="minorHAnsi"/>
                <w:color w:val="0000E1"/>
              </w:rPr>
              <w:t xml:space="preserve"> </w:t>
            </w:r>
            <w:proofErr w:type="spellStart"/>
            <w:r w:rsidRPr="00966116">
              <w:rPr>
                <w:rFonts w:cstheme="minorHAnsi"/>
                <w:color w:val="0000E1"/>
              </w:rPr>
              <w:t>Jaghasspanian</w:t>
            </w:r>
            <w:proofErr w:type="spellEnd"/>
          </w:p>
        </w:tc>
        <w:tc>
          <w:tcPr>
            <w:tcW w:w="5158" w:type="dxa"/>
            <w:tcBorders>
              <w:top w:val="nil"/>
              <w:left w:val="nil"/>
              <w:bottom w:val="single" w:sz="4" w:space="0" w:color="auto"/>
              <w:right w:val="single" w:sz="4" w:space="0" w:color="auto"/>
            </w:tcBorders>
            <w:shd w:val="clear" w:color="000000" w:fill="FFFFFF"/>
            <w:noWrap/>
            <w:vAlign w:val="bottom"/>
            <w:hideMark/>
          </w:tcPr>
          <w:p w14:paraId="72AF7167"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Health Net</w:t>
            </w:r>
          </w:p>
        </w:tc>
      </w:tr>
      <w:tr w:rsidR="00B4260D" w:rsidRPr="00966116" w14:paraId="0A7E28EA" w14:textId="77777777" w:rsidTr="00C66D63">
        <w:trPr>
          <w:trHeight w:val="221"/>
        </w:trPr>
        <w:tc>
          <w:tcPr>
            <w:tcW w:w="2941" w:type="dxa"/>
            <w:tcBorders>
              <w:top w:val="nil"/>
              <w:left w:val="single" w:sz="4" w:space="0" w:color="auto"/>
              <w:bottom w:val="single" w:sz="4" w:space="0" w:color="auto"/>
              <w:right w:val="single" w:sz="4" w:space="0" w:color="auto"/>
            </w:tcBorders>
            <w:shd w:val="clear" w:color="000000" w:fill="FFFFFF"/>
            <w:noWrap/>
            <w:vAlign w:val="bottom"/>
            <w:hideMark/>
          </w:tcPr>
          <w:p w14:paraId="0C25C846"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Tom Kornfield</w:t>
            </w:r>
          </w:p>
        </w:tc>
        <w:tc>
          <w:tcPr>
            <w:tcW w:w="5158" w:type="dxa"/>
            <w:tcBorders>
              <w:top w:val="nil"/>
              <w:left w:val="nil"/>
              <w:bottom w:val="single" w:sz="4" w:space="0" w:color="auto"/>
              <w:right w:val="single" w:sz="4" w:space="0" w:color="auto"/>
            </w:tcBorders>
            <w:shd w:val="clear" w:color="000000" w:fill="FFFFFF"/>
            <w:noWrap/>
            <w:vAlign w:val="bottom"/>
            <w:hideMark/>
          </w:tcPr>
          <w:p w14:paraId="2080DBD4"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 xml:space="preserve">America’s Health Insurance Plans (AHIP)  </w:t>
            </w:r>
          </w:p>
        </w:tc>
      </w:tr>
      <w:tr w:rsidR="00B4260D" w:rsidRPr="00966116" w14:paraId="544B8B7E" w14:textId="77777777" w:rsidTr="00C66D63">
        <w:trPr>
          <w:trHeight w:val="221"/>
        </w:trPr>
        <w:tc>
          <w:tcPr>
            <w:tcW w:w="2941" w:type="dxa"/>
            <w:tcBorders>
              <w:top w:val="nil"/>
              <w:left w:val="single" w:sz="4" w:space="0" w:color="auto"/>
              <w:bottom w:val="single" w:sz="4" w:space="0" w:color="auto"/>
              <w:right w:val="single" w:sz="4" w:space="0" w:color="auto"/>
            </w:tcBorders>
            <w:shd w:val="clear" w:color="000000" w:fill="FFFFFF"/>
            <w:noWrap/>
            <w:vAlign w:val="bottom"/>
            <w:hideMark/>
          </w:tcPr>
          <w:p w14:paraId="24F444C5"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Patrick Meek</w:t>
            </w:r>
          </w:p>
        </w:tc>
        <w:tc>
          <w:tcPr>
            <w:tcW w:w="5158" w:type="dxa"/>
            <w:tcBorders>
              <w:top w:val="nil"/>
              <w:left w:val="nil"/>
              <w:bottom w:val="single" w:sz="4" w:space="0" w:color="auto"/>
              <w:right w:val="single" w:sz="4" w:space="0" w:color="auto"/>
            </w:tcBorders>
            <w:shd w:val="clear" w:color="000000" w:fill="FFFFFF"/>
            <w:noWrap/>
            <w:vAlign w:val="bottom"/>
            <w:hideMark/>
          </w:tcPr>
          <w:p w14:paraId="49FEF00A"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Albany College of Pharmacy and Health Sciences</w:t>
            </w:r>
          </w:p>
        </w:tc>
      </w:tr>
      <w:tr w:rsidR="00B4260D" w:rsidRPr="00966116" w14:paraId="52D4E870" w14:textId="77777777" w:rsidTr="00C66D63">
        <w:trPr>
          <w:trHeight w:val="221"/>
        </w:trPr>
        <w:tc>
          <w:tcPr>
            <w:tcW w:w="2941" w:type="dxa"/>
            <w:tcBorders>
              <w:top w:val="nil"/>
              <w:left w:val="single" w:sz="4" w:space="0" w:color="auto"/>
              <w:bottom w:val="single" w:sz="4" w:space="0" w:color="auto"/>
              <w:right w:val="single" w:sz="4" w:space="0" w:color="auto"/>
            </w:tcBorders>
            <w:shd w:val="clear" w:color="000000" w:fill="FFFFFF"/>
            <w:noWrap/>
            <w:vAlign w:val="bottom"/>
            <w:hideMark/>
          </w:tcPr>
          <w:p w14:paraId="71335522"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Brian Meissner</w:t>
            </w:r>
          </w:p>
        </w:tc>
        <w:tc>
          <w:tcPr>
            <w:tcW w:w="5158" w:type="dxa"/>
            <w:tcBorders>
              <w:top w:val="nil"/>
              <w:left w:val="nil"/>
              <w:bottom w:val="single" w:sz="4" w:space="0" w:color="auto"/>
              <w:right w:val="single" w:sz="4" w:space="0" w:color="auto"/>
            </w:tcBorders>
            <w:shd w:val="clear" w:color="000000" w:fill="FFFFFF"/>
            <w:noWrap/>
            <w:vAlign w:val="bottom"/>
            <w:hideMark/>
          </w:tcPr>
          <w:p w14:paraId="5955FCED"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Bristol Myers Squibb</w:t>
            </w:r>
          </w:p>
        </w:tc>
      </w:tr>
      <w:tr w:rsidR="00B4260D" w:rsidRPr="00966116" w14:paraId="19F3093C" w14:textId="77777777" w:rsidTr="00C66D63">
        <w:trPr>
          <w:trHeight w:val="221"/>
        </w:trPr>
        <w:tc>
          <w:tcPr>
            <w:tcW w:w="2941" w:type="dxa"/>
            <w:tcBorders>
              <w:top w:val="nil"/>
              <w:left w:val="single" w:sz="4" w:space="0" w:color="auto"/>
              <w:bottom w:val="single" w:sz="4" w:space="0" w:color="auto"/>
              <w:right w:val="single" w:sz="4" w:space="0" w:color="auto"/>
            </w:tcBorders>
            <w:shd w:val="clear" w:color="000000" w:fill="FFFFFF"/>
            <w:noWrap/>
            <w:vAlign w:val="bottom"/>
            <w:hideMark/>
          </w:tcPr>
          <w:p w14:paraId="4CE5F072"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David Nau</w:t>
            </w:r>
          </w:p>
        </w:tc>
        <w:tc>
          <w:tcPr>
            <w:tcW w:w="5158" w:type="dxa"/>
            <w:tcBorders>
              <w:top w:val="nil"/>
              <w:left w:val="nil"/>
              <w:bottom w:val="single" w:sz="4" w:space="0" w:color="auto"/>
              <w:right w:val="single" w:sz="4" w:space="0" w:color="auto"/>
            </w:tcBorders>
            <w:shd w:val="clear" w:color="000000" w:fill="FFFFFF"/>
            <w:noWrap/>
            <w:vAlign w:val="bottom"/>
            <w:hideMark/>
          </w:tcPr>
          <w:p w14:paraId="2C462480"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College of Pharmacy Nova Southeastern University</w:t>
            </w:r>
          </w:p>
        </w:tc>
      </w:tr>
      <w:tr w:rsidR="00B4260D" w:rsidRPr="00966116" w14:paraId="6CC1DD97" w14:textId="77777777" w:rsidTr="00C66D63">
        <w:trPr>
          <w:trHeight w:val="221"/>
        </w:trPr>
        <w:tc>
          <w:tcPr>
            <w:tcW w:w="2941" w:type="dxa"/>
            <w:tcBorders>
              <w:top w:val="nil"/>
              <w:left w:val="single" w:sz="4" w:space="0" w:color="auto"/>
              <w:bottom w:val="single" w:sz="4" w:space="0" w:color="auto"/>
              <w:right w:val="single" w:sz="4" w:space="0" w:color="auto"/>
            </w:tcBorders>
            <w:shd w:val="clear" w:color="000000" w:fill="FFFFFF"/>
            <w:noWrap/>
            <w:vAlign w:val="bottom"/>
            <w:hideMark/>
          </w:tcPr>
          <w:p w14:paraId="1BB60842"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Kyle Null</w:t>
            </w:r>
          </w:p>
        </w:tc>
        <w:tc>
          <w:tcPr>
            <w:tcW w:w="5158" w:type="dxa"/>
            <w:tcBorders>
              <w:top w:val="nil"/>
              <w:left w:val="nil"/>
              <w:bottom w:val="single" w:sz="4" w:space="0" w:color="auto"/>
              <w:right w:val="single" w:sz="4" w:space="0" w:color="auto"/>
            </w:tcBorders>
            <w:shd w:val="clear" w:color="000000" w:fill="FFFFFF"/>
            <w:vAlign w:val="bottom"/>
            <w:hideMark/>
          </w:tcPr>
          <w:p w14:paraId="31678E11"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 xml:space="preserve">Takeda </w:t>
            </w:r>
          </w:p>
        </w:tc>
      </w:tr>
      <w:tr w:rsidR="00B4260D" w:rsidRPr="00966116" w14:paraId="2F1F155B" w14:textId="77777777" w:rsidTr="00C66D63">
        <w:trPr>
          <w:trHeight w:val="221"/>
        </w:trPr>
        <w:tc>
          <w:tcPr>
            <w:tcW w:w="2941" w:type="dxa"/>
            <w:tcBorders>
              <w:top w:val="nil"/>
              <w:left w:val="single" w:sz="4" w:space="0" w:color="auto"/>
              <w:bottom w:val="single" w:sz="4" w:space="0" w:color="auto"/>
              <w:right w:val="single" w:sz="4" w:space="0" w:color="auto"/>
            </w:tcBorders>
            <w:shd w:val="clear" w:color="000000" w:fill="FFFFFF"/>
            <w:noWrap/>
            <w:vAlign w:val="bottom"/>
            <w:hideMark/>
          </w:tcPr>
          <w:p w14:paraId="645EEBA1"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Jennifer Polinski</w:t>
            </w:r>
          </w:p>
        </w:tc>
        <w:tc>
          <w:tcPr>
            <w:tcW w:w="5158" w:type="dxa"/>
            <w:tcBorders>
              <w:top w:val="nil"/>
              <w:left w:val="nil"/>
              <w:bottom w:val="single" w:sz="4" w:space="0" w:color="auto"/>
              <w:right w:val="single" w:sz="4" w:space="0" w:color="auto"/>
            </w:tcBorders>
            <w:shd w:val="clear" w:color="000000" w:fill="FFFFFF"/>
            <w:vAlign w:val="bottom"/>
            <w:hideMark/>
          </w:tcPr>
          <w:p w14:paraId="28827068"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C</w:t>
            </w:r>
            <w:r w:rsidR="00DA0358">
              <w:rPr>
                <w:rFonts w:cstheme="minorHAnsi"/>
                <w:color w:val="0000E1"/>
              </w:rPr>
              <w:t xml:space="preserve">VS </w:t>
            </w:r>
            <w:r w:rsidRPr="00966116">
              <w:rPr>
                <w:rFonts w:cstheme="minorHAnsi"/>
                <w:color w:val="0000E1"/>
              </w:rPr>
              <w:t>Health</w:t>
            </w:r>
          </w:p>
        </w:tc>
      </w:tr>
      <w:tr w:rsidR="00B4260D" w:rsidRPr="00966116" w14:paraId="52B325ED" w14:textId="77777777" w:rsidTr="00C66D63">
        <w:trPr>
          <w:trHeight w:val="221"/>
        </w:trPr>
        <w:tc>
          <w:tcPr>
            <w:tcW w:w="2941" w:type="dxa"/>
            <w:tcBorders>
              <w:top w:val="nil"/>
              <w:left w:val="single" w:sz="4" w:space="0" w:color="auto"/>
              <w:bottom w:val="single" w:sz="4" w:space="0" w:color="auto"/>
              <w:right w:val="single" w:sz="4" w:space="0" w:color="auto"/>
            </w:tcBorders>
            <w:shd w:val="clear" w:color="000000" w:fill="FFFFFF"/>
            <w:noWrap/>
            <w:vAlign w:val="bottom"/>
            <w:hideMark/>
          </w:tcPr>
          <w:p w14:paraId="56831A26"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Nathaniel Rickles (Chair)</w:t>
            </w:r>
          </w:p>
        </w:tc>
        <w:tc>
          <w:tcPr>
            <w:tcW w:w="5158" w:type="dxa"/>
            <w:tcBorders>
              <w:top w:val="nil"/>
              <w:left w:val="nil"/>
              <w:bottom w:val="single" w:sz="4" w:space="0" w:color="auto"/>
              <w:right w:val="single" w:sz="4" w:space="0" w:color="auto"/>
            </w:tcBorders>
            <w:shd w:val="clear" w:color="000000" w:fill="FFFFFF"/>
            <w:vAlign w:val="bottom"/>
            <w:hideMark/>
          </w:tcPr>
          <w:p w14:paraId="7E8F18B0"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Northeastern University</w:t>
            </w:r>
          </w:p>
        </w:tc>
      </w:tr>
      <w:tr w:rsidR="00B4260D" w:rsidRPr="00966116" w14:paraId="4154E381" w14:textId="77777777" w:rsidTr="00C66D63">
        <w:trPr>
          <w:trHeight w:val="221"/>
        </w:trPr>
        <w:tc>
          <w:tcPr>
            <w:tcW w:w="2941" w:type="dxa"/>
            <w:tcBorders>
              <w:top w:val="nil"/>
              <w:left w:val="single" w:sz="4" w:space="0" w:color="auto"/>
              <w:bottom w:val="single" w:sz="4" w:space="0" w:color="auto"/>
              <w:right w:val="single" w:sz="4" w:space="0" w:color="auto"/>
            </w:tcBorders>
            <w:shd w:val="clear" w:color="000000" w:fill="FFFFFF"/>
            <w:noWrap/>
            <w:vAlign w:val="bottom"/>
            <w:hideMark/>
          </w:tcPr>
          <w:p w14:paraId="3DC2D708"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Rene Saucedo</w:t>
            </w:r>
          </w:p>
        </w:tc>
        <w:tc>
          <w:tcPr>
            <w:tcW w:w="5158" w:type="dxa"/>
            <w:tcBorders>
              <w:top w:val="nil"/>
              <w:left w:val="nil"/>
              <w:bottom w:val="single" w:sz="4" w:space="0" w:color="auto"/>
              <w:right w:val="single" w:sz="4" w:space="0" w:color="auto"/>
            </w:tcBorders>
            <w:shd w:val="clear" w:color="000000" w:fill="FFFFFF"/>
            <w:vAlign w:val="bottom"/>
            <w:hideMark/>
          </w:tcPr>
          <w:p w14:paraId="76C010E4"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University of Florida</w:t>
            </w:r>
          </w:p>
        </w:tc>
      </w:tr>
      <w:tr w:rsidR="00B4260D" w:rsidRPr="00966116" w14:paraId="2B386CFB" w14:textId="77777777" w:rsidTr="00C66D63">
        <w:trPr>
          <w:trHeight w:val="221"/>
        </w:trPr>
        <w:tc>
          <w:tcPr>
            <w:tcW w:w="2941" w:type="dxa"/>
            <w:tcBorders>
              <w:top w:val="nil"/>
              <w:left w:val="single" w:sz="4" w:space="0" w:color="auto"/>
              <w:bottom w:val="single" w:sz="4" w:space="0" w:color="auto"/>
              <w:right w:val="single" w:sz="4" w:space="0" w:color="auto"/>
            </w:tcBorders>
            <w:shd w:val="clear" w:color="000000" w:fill="FFFFFF"/>
            <w:noWrap/>
            <w:vAlign w:val="bottom"/>
            <w:hideMark/>
          </w:tcPr>
          <w:p w14:paraId="70A89C42"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Xi Tan</w:t>
            </w:r>
          </w:p>
        </w:tc>
        <w:tc>
          <w:tcPr>
            <w:tcW w:w="5158" w:type="dxa"/>
            <w:tcBorders>
              <w:top w:val="nil"/>
              <w:left w:val="nil"/>
              <w:bottom w:val="single" w:sz="4" w:space="0" w:color="auto"/>
              <w:right w:val="single" w:sz="4" w:space="0" w:color="auto"/>
            </w:tcBorders>
            <w:shd w:val="clear" w:color="000000" w:fill="FFFFFF"/>
            <w:vAlign w:val="bottom"/>
            <w:hideMark/>
          </w:tcPr>
          <w:p w14:paraId="0F7F8C5C"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West Virginia University</w:t>
            </w:r>
          </w:p>
        </w:tc>
      </w:tr>
      <w:tr w:rsidR="00B4260D" w:rsidRPr="00966116" w14:paraId="35309E6F" w14:textId="77777777" w:rsidTr="00C66D63">
        <w:trPr>
          <w:trHeight w:val="221"/>
        </w:trPr>
        <w:tc>
          <w:tcPr>
            <w:tcW w:w="2941" w:type="dxa"/>
            <w:tcBorders>
              <w:top w:val="nil"/>
              <w:left w:val="single" w:sz="4" w:space="0" w:color="auto"/>
              <w:bottom w:val="single" w:sz="4" w:space="0" w:color="auto"/>
              <w:right w:val="single" w:sz="4" w:space="0" w:color="auto"/>
            </w:tcBorders>
            <w:shd w:val="clear" w:color="000000" w:fill="FFFFFF"/>
            <w:noWrap/>
            <w:vAlign w:val="bottom"/>
            <w:hideMark/>
          </w:tcPr>
          <w:p w14:paraId="2EB99E92" w14:textId="77777777" w:rsidR="00234468" w:rsidRPr="00966116" w:rsidRDefault="00234468" w:rsidP="00F677F7">
            <w:pPr>
              <w:spacing w:after="0" w:line="240" w:lineRule="auto"/>
              <w:rPr>
                <w:rFonts w:eastAsia="Times New Roman" w:cstheme="minorHAnsi"/>
                <w:color w:val="0000E1"/>
              </w:rPr>
            </w:pPr>
            <w:r w:rsidRPr="00966116">
              <w:rPr>
                <w:rFonts w:cstheme="minorHAnsi"/>
                <w:color w:val="0000E1"/>
              </w:rPr>
              <w:t>Christie Teigland</w:t>
            </w:r>
          </w:p>
        </w:tc>
        <w:tc>
          <w:tcPr>
            <w:tcW w:w="5158" w:type="dxa"/>
            <w:tcBorders>
              <w:top w:val="nil"/>
              <w:left w:val="nil"/>
              <w:bottom w:val="single" w:sz="4" w:space="0" w:color="auto"/>
              <w:right w:val="single" w:sz="4" w:space="0" w:color="auto"/>
            </w:tcBorders>
            <w:shd w:val="clear" w:color="000000" w:fill="FFFFFF"/>
            <w:vAlign w:val="bottom"/>
            <w:hideMark/>
          </w:tcPr>
          <w:p w14:paraId="22050229" w14:textId="77777777" w:rsidR="00234468" w:rsidRPr="00966116" w:rsidRDefault="00234468" w:rsidP="00F677F7">
            <w:pPr>
              <w:spacing w:after="0" w:line="240" w:lineRule="auto"/>
              <w:rPr>
                <w:rFonts w:eastAsia="Times New Roman" w:cstheme="minorHAnsi"/>
                <w:color w:val="0000E1"/>
              </w:rPr>
            </w:pPr>
            <w:proofErr w:type="spellStart"/>
            <w:r w:rsidRPr="00966116">
              <w:rPr>
                <w:rFonts w:cstheme="minorHAnsi"/>
                <w:color w:val="0000E1"/>
              </w:rPr>
              <w:t>Inovalon</w:t>
            </w:r>
            <w:proofErr w:type="spellEnd"/>
          </w:p>
        </w:tc>
      </w:tr>
    </w:tbl>
    <w:p w14:paraId="2BE490BB" w14:textId="77777777" w:rsidR="00030DAF" w:rsidRDefault="00030DAF" w:rsidP="000E110B">
      <w:pPr>
        <w:spacing w:after="0" w:line="240" w:lineRule="auto"/>
        <w:rPr>
          <w:rFonts w:cstheme="minorHAnsi"/>
          <w:bCs/>
          <w:color w:val="0000E1"/>
          <w:u w:val="single"/>
        </w:rPr>
      </w:pPr>
    </w:p>
    <w:p w14:paraId="2D16B3AE" w14:textId="77777777" w:rsidR="00030DAF" w:rsidRDefault="00030DAF" w:rsidP="000E110B">
      <w:pPr>
        <w:spacing w:after="0" w:line="240" w:lineRule="auto"/>
        <w:rPr>
          <w:rFonts w:cstheme="minorHAnsi"/>
          <w:bCs/>
          <w:color w:val="0000E1"/>
          <w:u w:val="single"/>
        </w:rPr>
      </w:pPr>
    </w:p>
    <w:p w14:paraId="5F3134DC" w14:textId="7A9123C8" w:rsidR="003F6DC5" w:rsidRPr="00966116" w:rsidRDefault="003F6DC5" w:rsidP="000E110B">
      <w:pPr>
        <w:spacing w:after="0" w:line="240" w:lineRule="auto"/>
        <w:rPr>
          <w:rFonts w:cstheme="minorHAnsi"/>
          <w:bCs/>
          <w:color w:val="0000E1"/>
          <w:u w:val="single"/>
        </w:rPr>
      </w:pPr>
      <w:r w:rsidRPr="00966116">
        <w:rPr>
          <w:rFonts w:cstheme="minorHAnsi"/>
          <w:bCs/>
          <w:color w:val="0000E1"/>
          <w:u w:val="single"/>
        </w:rPr>
        <w:lastRenderedPageBreak/>
        <w:t>Variable Selection</w:t>
      </w:r>
    </w:p>
    <w:p w14:paraId="4D47A102" w14:textId="227A4D95" w:rsidR="0002527F" w:rsidRPr="000A3CD9" w:rsidRDefault="000E110B" w:rsidP="003D4D56">
      <w:pPr>
        <w:autoSpaceDE w:val="0"/>
        <w:autoSpaceDN w:val="0"/>
        <w:adjustRightInd w:val="0"/>
        <w:spacing w:after="0" w:line="240" w:lineRule="auto"/>
        <w:rPr>
          <w:rFonts w:cstheme="minorHAnsi"/>
          <w:bCs/>
          <w:color w:val="0000E1"/>
        </w:rPr>
      </w:pPr>
      <w:r w:rsidRPr="00966116">
        <w:rPr>
          <w:rFonts w:cstheme="minorHAnsi"/>
          <w:bCs/>
          <w:color w:val="0000E1"/>
        </w:rPr>
        <w:t>The RAAP recommended a list of potential risk factors to examine, based on a conceptual framework related to medication adherence</w:t>
      </w:r>
      <w:r w:rsidRPr="00966116">
        <w:rPr>
          <w:rFonts w:cstheme="minorHAnsi"/>
          <w:bCs/>
          <w:color w:val="0000E1"/>
          <w:vertAlign w:val="superscript"/>
        </w:rPr>
        <w:t>2</w:t>
      </w:r>
      <w:r w:rsidRPr="00966116">
        <w:rPr>
          <w:rFonts w:cstheme="minorHAnsi"/>
          <w:bCs/>
          <w:color w:val="0000E1"/>
        </w:rPr>
        <w:t xml:space="preserve"> as well as a review of published literature</w:t>
      </w:r>
      <w:r w:rsidR="00B969B5">
        <w:rPr>
          <w:rFonts w:cstheme="minorHAnsi"/>
          <w:bCs/>
          <w:color w:val="0000E1"/>
        </w:rPr>
        <w:t>.</w:t>
      </w:r>
      <w:r w:rsidR="00B969B5" w:rsidRPr="00966116">
        <w:rPr>
          <w:rFonts w:cstheme="minorHAnsi"/>
          <w:bCs/>
          <w:color w:val="0000E1"/>
        </w:rPr>
        <w:t xml:space="preserve"> </w:t>
      </w:r>
      <w:r w:rsidR="005F1278" w:rsidRPr="000A3CD9">
        <w:rPr>
          <w:rFonts w:cstheme="minorHAnsi"/>
          <w:bCs/>
          <w:color w:val="0000E1"/>
        </w:rPr>
        <w:t>The</w:t>
      </w:r>
      <w:r w:rsidR="00B969B5" w:rsidRPr="000A3CD9">
        <w:rPr>
          <w:rFonts w:cstheme="minorHAnsi"/>
          <w:bCs/>
          <w:color w:val="0000E1"/>
        </w:rPr>
        <w:t xml:space="preserve"> underlying conceptual framework </w:t>
      </w:r>
      <w:r w:rsidR="00B6136B">
        <w:rPr>
          <w:rFonts w:cstheme="minorHAnsi"/>
          <w:bCs/>
          <w:color w:val="0000E1"/>
        </w:rPr>
        <w:t>that was</w:t>
      </w:r>
      <w:r w:rsidR="00B72CFF" w:rsidRPr="000A3CD9">
        <w:rPr>
          <w:rFonts w:cstheme="minorHAnsi"/>
          <w:bCs/>
          <w:color w:val="0000E1"/>
        </w:rPr>
        <w:t xml:space="preserve"> selected </w:t>
      </w:r>
      <w:r w:rsidR="00B969B5" w:rsidRPr="000A3CD9">
        <w:rPr>
          <w:rFonts w:cstheme="minorHAnsi"/>
          <w:bCs/>
          <w:color w:val="0000E1"/>
        </w:rPr>
        <w:t xml:space="preserve">focused on </w:t>
      </w:r>
      <w:r w:rsidR="005F1278" w:rsidRPr="000A3CD9">
        <w:rPr>
          <w:rFonts w:cstheme="minorHAnsi"/>
          <w:bCs/>
          <w:color w:val="0000E1"/>
        </w:rPr>
        <w:t>older adults, given that the Medicare population is primarily 65 years and older</w:t>
      </w:r>
      <w:r w:rsidR="00B72CFF" w:rsidRPr="000A3CD9">
        <w:rPr>
          <w:rFonts w:cstheme="minorHAnsi"/>
          <w:bCs/>
          <w:color w:val="0000E1"/>
        </w:rPr>
        <w:t xml:space="preserve">. This </w:t>
      </w:r>
      <w:r w:rsidR="0002527F" w:rsidRPr="000A3CD9">
        <w:rPr>
          <w:rFonts w:cstheme="minorHAnsi"/>
          <w:bCs/>
          <w:color w:val="0000E1"/>
        </w:rPr>
        <w:t>framework recognizes inherent challenges attributed to age-related factors (such as declining cognitive and physical functions), but also the importance of social factors</w:t>
      </w:r>
      <w:r w:rsidR="00DA2AE0" w:rsidRPr="000A3CD9">
        <w:rPr>
          <w:rFonts w:cstheme="minorHAnsi"/>
          <w:bCs/>
          <w:color w:val="0000E1"/>
        </w:rPr>
        <w:t>, environmental</w:t>
      </w:r>
      <w:r w:rsidR="0002527F" w:rsidRPr="000A3CD9">
        <w:rPr>
          <w:rFonts w:cstheme="minorHAnsi"/>
          <w:bCs/>
          <w:color w:val="0000E1"/>
        </w:rPr>
        <w:t xml:space="preserve"> and financial constraints that may impact </w:t>
      </w:r>
      <w:r w:rsidR="004D403E">
        <w:rPr>
          <w:rFonts w:cstheme="minorHAnsi"/>
          <w:bCs/>
          <w:color w:val="0000E1"/>
        </w:rPr>
        <w:t xml:space="preserve">medication </w:t>
      </w:r>
      <w:r w:rsidR="0002527F" w:rsidRPr="000A3CD9">
        <w:rPr>
          <w:rFonts w:cstheme="minorHAnsi"/>
          <w:bCs/>
          <w:color w:val="0000E1"/>
        </w:rPr>
        <w:t xml:space="preserve">adherence. </w:t>
      </w:r>
    </w:p>
    <w:p w14:paraId="622896A7" w14:textId="49942FAA" w:rsidR="00B72CFF" w:rsidRDefault="00B72CFF" w:rsidP="003D4D56">
      <w:pPr>
        <w:autoSpaceDE w:val="0"/>
        <w:autoSpaceDN w:val="0"/>
        <w:adjustRightInd w:val="0"/>
        <w:spacing w:after="0" w:line="240" w:lineRule="auto"/>
        <w:rPr>
          <w:rFonts w:cstheme="minorHAnsi"/>
          <w:bCs/>
          <w:color w:val="0000E1"/>
        </w:rPr>
      </w:pPr>
    </w:p>
    <w:p w14:paraId="7DC5C019" w14:textId="600B508F" w:rsidR="000E110B" w:rsidRPr="003D4D56" w:rsidRDefault="003D4D56" w:rsidP="003D4D56">
      <w:pPr>
        <w:autoSpaceDE w:val="0"/>
        <w:autoSpaceDN w:val="0"/>
        <w:adjustRightInd w:val="0"/>
        <w:spacing w:after="0" w:line="240" w:lineRule="auto"/>
        <w:rPr>
          <w:rFonts w:ascii="Times New Roman" w:hAnsi="Times New Roman" w:cs="Times New Roman"/>
          <w:sz w:val="18"/>
          <w:szCs w:val="18"/>
        </w:rPr>
      </w:pPr>
      <w:r>
        <w:rPr>
          <w:rFonts w:cstheme="minorHAnsi"/>
          <w:bCs/>
          <w:color w:val="0000E1"/>
        </w:rPr>
        <w:t xml:space="preserve">Variables selected </w:t>
      </w:r>
      <w:r w:rsidR="00DA2AE0">
        <w:rPr>
          <w:rFonts w:cstheme="minorHAnsi"/>
          <w:bCs/>
          <w:color w:val="0000E1"/>
        </w:rPr>
        <w:t xml:space="preserve">based on a review of published literature </w:t>
      </w:r>
      <w:r>
        <w:rPr>
          <w:rFonts w:cstheme="minorHAnsi"/>
          <w:bCs/>
          <w:color w:val="0000E1"/>
        </w:rPr>
        <w:t>included</w:t>
      </w:r>
      <w:r w:rsidR="00B969B5">
        <w:rPr>
          <w:rFonts w:cstheme="minorHAnsi"/>
          <w:bCs/>
          <w:color w:val="0000E1"/>
        </w:rPr>
        <w:t xml:space="preserve"> risk factors that are</w:t>
      </w:r>
      <w:r w:rsidR="00B969B5" w:rsidRPr="00966116">
        <w:rPr>
          <w:rFonts w:cstheme="minorHAnsi"/>
          <w:bCs/>
          <w:color w:val="0000E1"/>
        </w:rPr>
        <w:t xml:space="preserve"> not directly under the control of </w:t>
      </w:r>
      <w:r>
        <w:rPr>
          <w:rFonts w:cstheme="minorHAnsi"/>
          <w:bCs/>
          <w:color w:val="0000E1"/>
        </w:rPr>
        <w:t>providers</w:t>
      </w:r>
      <w:r w:rsidR="00B969B5" w:rsidRPr="00966116">
        <w:rPr>
          <w:rFonts w:cstheme="minorHAnsi"/>
          <w:bCs/>
          <w:color w:val="0000E1"/>
        </w:rPr>
        <w:t>, as these would be most appropriate for risk adjustment.</w:t>
      </w:r>
      <w:r w:rsidR="00B969B5">
        <w:rPr>
          <w:rFonts w:cstheme="minorHAnsi"/>
          <w:bCs/>
          <w:color w:val="0000E1"/>
        </w:rPr>
        <w:t xml:space="preserve"> </w:t>
      </w:r>
      <w:r>
        <w:rPr>
          <w:rFonts w:ascii="Times New Roman" w:hAnsi="Times New Roman" w:cs="Times New Roman"/>
          <w:sz w:val="18"/>
          <w:szCs w:val="18"/>
        </w:rPr>
        <w:t xml:space="preserve"> </w:t>
      </w:r>
      <w:r w:rsidR="000E110B">
        <w:rPr>
          <w:rFonts w:cstheme="minorHAnsi"/>
          <w:bCs/>
          <w:color w:val="0000E1"/>
        </w:rPr>
        <w:t xml:space="preserve">Table 10 below </w:t>
      </w:r>
      <w:r>
        <w:rPr>
          <w:rFonts w:cstheme="minorHAnsi"/>
          <w:bCs/>
          <w:color w:val="0000E1"/>
        </w:rPr>
        <w:t xml:space="preserve">lists </w:t>
      </w:r>
      <w:r w:rsidR="000E110B">
        <w:rPr>
          <w:rFonts w:cstheme="minorHAnsi"/>
          <w:bCs/>
          <w:color w:val="0000E1"/>
        </w:rPr>
        <w:t xml:space="preserve">the SDS variables </w:t>
      </w:r>
      <w:r w:rsidR="005C3425">
        <w:rPr>
          <w:rFonts w:cstheme="minorHAnsi"/>
          <w:bCs/>
          <w:color w:val="0000E1"/>
        </w:rPr>
        <w:t xml:space="preserve">that negatively correlate with adherence that were </w:t>
      </w:r>
      <w:r w:rsidR="000E110B">
        <w:rPr>
          <w:rFonts w:cstheme="minorHAnsi"/>
          <w:bCs/>
          <w:color w:val="0000E1"/>
        </w:rPr>
        <w:t>identified from a meta-analysis</w:t>
      </w:r>
      <w:r>
        <w:rPr>
          <w:rFonts w:cstheme="minorHAnsi"/>
          <w:bCs/>
          <w:color w:val="0000E1"/>
          <w:vertAlign w:val="superscript"/>
        </w:rPr>
        <w:t>3</w:t>
      </w:r>
      <w:r w:rsidR="000E110B">
        <w:rPr>
          <w:rFonts w:cstheme="minorHAnsi"/>
          <w:bCs/>
          <w:color w:val="0000E1"/>
          <w:vertAlign w:val="superscript"/>
        </w:rPr>
        <w:t xml:space="preserve"> </w:t>
      </w:r>
      <w:r w:rsidR="000E110B">
        <w:rPr>
          <w:rFonts w:cstheme="minorHAnsi"/>
          <w:bCs/>
          <w:color w:val="0000E1"/>
        </w:rPr>
        <w:t xml:space="preserve">and </w:t>
      </w:r>
      <w:r w:rsidR="005C3425">
        <w:rPr>
          <w:rFonts w:cstheme="minorHAnsi"/>
          <w:bCs/>
          <w:color w:val="0000E1"/>
        </w:rPr>
        <w:t xml:space="preserve">other supporting </w:t>
      </w:r>
      <w:r w:rsidR="000E110B">
        <w:rPr>
          <w:rFonts w:cstheme="minorHAnsi"/>
          <w:bCs/>
          <w:color w:val="0000E1"/>
        </w:rPr>
        <w:t>literature.</w:t>
      </w:r>
      <w:r w:rsidR="005C3425" w:rsidRPr="005C3425">
        <w:rPr>
          <w:rFonts w:cstheme="minorHAnsi"/>
          <w:bCs/>
          <w:color w:val="0000E1"/>
          <w:vertAlign w:val="superscript"/>
        </w:rPr>
        <w:t>4-18</w:t>
      </w:r>
    </w:p>
    <w:p w14:paraId="266779AB" w14:textId="77777777" w:rsidR="006F65B4" w:rsidRPr="00966116" w:rsidRDefault="006F65B4" w:rsidP="000E110B">
      <w:pPr>
        <w:spacing w:after="0" w:line="240" w:lineRule="auto"/>
        <w:rPr>
          <w:rFonts w:cstheme="minorHAnsi"/>
          <w:bCs/>
          <w:color w:val="0000E1"/>
        </w:rPr>
      </w:pPr>
    </w:p>
    <w:p w14:paraId="7BE65C63" w14:textId="12221973" w:rsidR="006F65B4" w:rsidRPr="00966116" w:rsidRDefault="006F65B4" w:rsidP="00827FAA">
      <w:pPr>
        <w:spacing w:after="0"/>
        <w:rPr>
          <w:rFonts w:cstheme="minorHAnsi"/>
          <w:b/>
          <w:bCs/>
          <w:color w:val="0000E1"/>
        </w:rPr>
      </w:pPr>
      <w:r w:rsidRPr="00966116">
        <w:rPr>
          <w:rFonts w:cstheme="minorHAnsi"/>
          <w:b/>
          <w:bCs/>
          <w:color w:val="0000E1"/>
        </w:rPr>
        <w:t>Table 10. SDS Variables and Literature on Negative Effect on Medication Adherence</w:t>
      </w:r>
    </w:p>
    <w:tbl>
      <w:tblPr>
        <w:tblStyle w:val="TableGrid"/>
        <w:tblW w:w="9347" w:type="dxa"/>
        <w:tblLook w:val="04A0" w:firstRow="1" w:lastRow="0" w:firstColumn="1" w:lastColumn="0" w:noHBand="0" w:noVBand="1"/>
      </w:tblPr>
      <w:tblGrid>
        <w:gridCol w:w="1793"/>
        <w:gridCol w:w="2994"/>
        <w:gridCol w:w="4560"/>
      </w:tblGrid>
      <w:tr w:rsidR="006F65B4" w:rsidRPr="00966116" w14:paraId="4351AD79" w14:textId="77777777" w:rsidTr="00753617">
        <w:trPr>
          <w:trHeight w:val="160"/>
          <w:tblHeader/>
        </w:trPr>
        <w:tc>
          <w:tcPr>
            <w:tcW w:w="4787" w:type="dxa"/>
            <w:gridSpan w:val="2"/>
          </w:tcPr>
          <w:p w14:paraId="4F7340D1" w14:textId="77777777" w:rsidR="006F65B4" w:rsidRPr="00966116" w:rsidRDefault="006F65B4" w:rsidP="002350B1">
            <w:pPr>
              <w:contextualSpacing/>
              <w:jc w:val="center"/>
              <w:rPr>
                <w:rFonts w:cstheme="minorHAnsi"/>
                <w:b/>
                <w:bCs/>
                <w:color w:val="0000E1"/>
              </w:rPr>
            </w:pPr>
            <w:r w:rsidRPr="00966116">
              <w:rPr>
                <w:rFonts w:cstheme="minorHAnsi"/>
                <w:b/>
                <w:bCs/>
                <w:color w:val="0000E1"/>
              </w:rPr>
              <w:t>SDS Variable</w:t>
            </w:r>
          </w:p>
        </w:tc>
        <w:tc>
          <w:tcPr>
            <w:tcW w:w="4559" w:type="dxa"/>
          </w:tcPr>
          <w:p w14:paraId="138A7FB3" w14:textId="77777777" w:rsidR="006F65B4" w:rsidRPr="00966116" w:rsidRDefault="006F65B4" w:rsidP="002350B1">
            <w:pPr>
              <w:contextualSpacing/>
              <w:jc w:val="center"/>
              <w:rPr>
                <w:rFonts w:cstheme="minorHAnsi"/>
                <w:b/>
                <w:bCs/>
                <w:color w:val="0000E1"/>
              </w:rPr>
            </w:pPr>
            <w:r w:rsidRPr="00966116">
              <w:rPr>
                <w:rFonts w:cstheme="minorHAnsi"/>
                <w:b/>
                <w:bCs/>
                <w:color w:val="0000E1"/>
              </w:rPr>
              <w:t>Negative Effect on Adherence</w:t>
            </w:r>
            <w:r w:rsidR="003D4D56">
              <w:rPr>
                <w:rFonts w:cstheme="minorHAnsi"/>
                <w:b/>
                <w:bCs/>
                <w:color w:val="0000E1"/>
                <w:vertAlign w:val="superscript"/>
              </w:rPr>
              <w:t>3</w:t>
            </w:r>
          </w:p>
        </w:tc>
      </w:tr>
      <w:tr w:rsidR="006F65B4" w:rsidRPr="00966116" w14:paraId="1C4A7779" w14:textId="77777777" w:rsidTr="00753617">
        <w:trPr>
          <w:trHeight w:val="613"/>
        </w:trPr>
        <w:tc>
          <w:tcPr>
            <w:tcW w:w="1793" w:type="dxa"/>
            <w:vMerge w:val="restart"/>
          </w:tcPr>
          <w:p w14:paraId="2F78E4AF" w14:textId="77777777" w:rsidR="006F65B4" w:rsidRPr="00966116" w:rsidRDefault="006F65B4" w:rsidP="002350B1">
            <w:pPr>
              <w:contextualSpacing/>
              <w:rPr>
                <w:rFonts w:cstheme="minorHAnsi"/>
                <w:bCs/>
                <w:color w:val="0000E1"/>
              </w:rPr>
            </w:pPr>
            <w:r w:rsidRPr="00966116">
              <w:rPr>
                <w:rFonts w:cstheme="minorHAnsi"/>
                <w:bCs/>
                <w:color w:val="0000E1"/>
              </w:rPr>
              <w:t>Beneficiary-level</w:t>
            </w:r>
          </w:p>
        </w:tc>
        <w:tc>
          <w:tcPr>
            <w:tcW w:w="2993" w:type="dxa"/>
          </w:tcPr>
          <w:p w14:paraId="4BE9CC5D" w14:textId="77777777" w:rsidR="006F65B4" w:rsidRPr="00966116" w:rsidRDefault="006F65B4" w:rsidP="002350B1">
            <w:pPr>
              <w:contextualSpacing/>
              <w:rPr>
                <w:rFonts w:cstheme="minorHAnsi"/>
                <w:bCs/>
                <w:color w:val="0000E1"/>
              </w:rPr>
            </w:pPr>
            <w:r w:rsidRPr="00966116">
              <w:rPr>
                <w:rFonts w:cstheme="minorHAnsi"/>
                <w:bCs/>
                <w:color w:val="0000E1"/>
              </w:rPr>
              <w:t>Age</w:t>
            </w:r>
          </w:p>
        </w:tc>
        <w:tc>
          <w:tcPr>
            <w:tcW w:w="4559" w:type="dxa"/>
          </w:tcPr>
          <w:p w14:paraId="6351EDDD" w14:textId="77777777" w:rsidR="006F65B4" w:rsidRPr="00966116" w:rsidRDefault="006F65B4" w:rsidP="002350B1">
            <w:pPr>
              <w:pStyle w:val="ListParagraph"/>
              <w:numPr>
                <w:ilvl w:val="0"/>
                <w:numId w:val="7"/>
              </w:numPr>
              <w:rPr>
                <w:rFonts w:cstheme="minorHAnsi"/>
                <w:color w:val="0000E1"/>
              </w:rPr>
            </w:pPr>
            <w:r w:rsidRPr="00966116">
              <w:rPr>
                <w:rFonts w:cstheme="minorHAnsi"/>
                <w:color w:val="0000E1"/>
              </w:rPr>
              <w:t>Age - older and younger age groups (vs. adults)</w:t>
            </w:r>
            <w:r w:rsidR="003D4D56">
              <w:rPr>
                <w:rFonts w:cstheme="minorHAnsi"/>
                <w:color w:val="0000E1"/>
                <w:vertAlign w:val="superscript"/>
              </w:rPr>
              <w:t>4</w:t>
            </w:r>
          </w:p>
          <w:p w14:paraId="591F2E92" w14:textId="77777777" w:rsidR="006F65B4" w:rsidRPr="00966116" w:rsidRDefault="006F65B4" w:rsidP="002350B1">
            <w:pPr>
              <w:pStyle w:val="ListParagraph"/>
              <w:numPr>
                <w:ilvl w:val="0"/>
                <w:numId w:val="7"/>
              </w:numPr>
              <w:rPr>
                <w:rFonts w:cstheme="minorHAnsi"/>
                <w:bCs/>
                <w:color w:val="0000E1"/>
              </w:rPr>
            </w:pPr>
            <w:r w:rsidRPr="00966116">
              <w:rPr>
                <w:rFonts w:cstheme="minorHAnsi"/>
                <w:color w:val="0000E1"/>
              </w:rPr>
              <w:t>Very old age (older than 85 years)</w:t>
            </w:r>
            <w:r w:rsidR="003D4D56">
              <w:rPr>
                <w:bCs/>
                <w:color w:val="0000E1"/>
                <w:vertAlign w:val="superscript"/>
              </w:rPr>
              <w:t>5</w:t>
            </w:r>
          </w:p>
        </w:tc>
      </w:tr>
      <w:tr w:rsidR="006F65B4" w:rsidRPr="00966116" w14:paraId="1871E5BC" w14:textId="77777777" w:rsidTr="00753617">
        <w:trPr>
          <w:trHeight w:val="291"/>
        </w:trPr>
        <w:tc>
          <w:tcPr>
            <w:tcW w:w="1793" w:type="dxa"/>
            <w:vMerge/>
          </w:tcPr>
          <w:p w14:paraId="6FD62E07" w14:textId="77777777" w:rsidR="006F65B4" w:rsidRPr="00966116" w:rsidRDefault="006F65B4" w:rsidP="002350B1">
            <w:pPr>
              <w:contextualSpacing/>
              <w:rPr>
                <w:rFonts w:cstheme="minorHAnsi"/>
                <w:bCs/>
                <w:color w:val="0000E1"/>
              </w:rPr>
            </w:pPr>
          </w:p>
        </w:tc>
        <w:tc>
          <w:tcPr>
            <w:tcW w:w="2993" w:type="dxa"/>
          </w:tcPr>
          <w:p w14:paraId="06B0B0EB" w14:textId="77777777" w:rsidR="006F65B4" w:rsidRPr="00966116" w:rsidRDefault="006F65B4" w:rsidP="002350B1">
            <w:pPr>
              <w:contextualSpacing/>
              <w:rPr>
                <w:rFonts w:cstheme="minorHAnsi"/>
                <w:bCs/>
                <w:color w:val="0000E1"/>
              </w:rPr>
            </w:pPr>
            <w:r w:rsidRPr="00966116">
              <w:rPr>
                <w:rFonts w:cstheme="minorHAnsi"/>
                <w:bCs/>
                <w:color w:val="0000E1"/>
              </w:rPr>
              <w:t>Gender</w:t>
            </w:r>
          </w:p>
        </w:tc>
        <w:tc>
          <w:tcPr>
            <w:tcW w:w="4559" w:type="dxa"/>
          </w:tcPr>
          <w:p w14:paraId="437FC9EA" w14:textId="77777777" w:rsidR="006F65B4" w:rsidRPr="00966116" w:rsidRDefault="006F65B4" w:rsidP="002350B1">
            <w:pPr>
              <w:pStyle w:val="ListParagraph"/>
              <w:numPr>
                <w:ilvl w:val="0"/>
                <w:numId w:val="7"/>
              </w:numPr>
              <w:rPr>
                <w:rFonts w:cstheme="minorHAnsi"/>
                <w:bCs/>
                <w:color w:val="0000E1"/>
              </w:rPr>
            </w:pPr>
            <w:r w:rsidRPr="00966116">
              <w:rPr>
                <w:rFonts w:cstheme="minorHAnsi"/>
                <w:bCs/>
                <w:color w:val="0000E1"/>
              </w:rPr>
              <w:t>Male</w:t>
            </w:r>
            <w:r w:rsidR="003D4D56">
              <w:rPr>
                <w:color w:val="0000E1"/>
                <w:vertAlign w:val="superscript"/>
              </w:rPr>
              <w:t>4,5</w:t>
            </w:r>
          </w:p>
        </w:tc>
      </w:tr>
      <w:tr w:rsidR="006F65B4" w:rsidRPr="00966116" w14:paraId="1C88A097" w14:textId="77777777" w:rsidTr="00753617">
        <w:trPr>
          <w:trHeight w:val="795"/>
        </w:trPr>
        <w:tc>
          <w:tcPr>
            <w:tcW w:w="1793" w:type="dxa"/>
            <w:vMerge/>
          </w:tcPr>
          <w:p w14:paraId="64871AF6" w14:textId="77777777" w:rsidR="006F65B4" w:rsidRPr="00966116" w:rsidRDefault="006F65B4" w:rsidP="002350B1">
            <w:pPr>
              <w:contextualSpacing/>
              <w:rPr>
                <w:rFonts w:cstheme="minorHAnsi"/>
                <w:bCs/>
                <w:color w:val="0000E1"/>
              </w:rPr>
            </w:pPr>
          </w:p>
        </w:tc>
        <w:tc>
          <w:tcPr>
            <w:tcW w:w="2993" w:type="dxa"/>
          </w:tcPr>
          <w:p w14:paraId="2E223C04" w14:textId="77777777" w:rsidR="006F65B4" w:rsidRPr="00966116" w:rsidRDefault="006F65B4" w:rsidP="002350B1">
            <w:pPr>
              <w:contextualSpacing/>
              <w:rPr>
                <w:rFonts w:cstheme="minorHAnsi"/>
                <w:bCs/>
                <w:color w:val="0000E1"/>
              </w:rPr>
            </w:pPr>
            <w:r w:rsidRPr="00966116">
              <w:rPr>
                <w:rFonts w:cstheme="minorHAnsi"/>
                <w:bCs/>
                <w:color w:val="0000E1"/>
              </w:rPr>
              <w:t>Low-income subsidy status or dual eligibility status</w:t>
            </w:r>
          </w:p>
        </w:tc>
        <w:tc>
          <w:tcPr>
            <w:tcW w:w="4559" w:type="dxa"/>
          </w:tcPr>
          <w:p w14:paraId="72652776" w14:textId="77777777" w:rsidR="006F65B4" w:rsidRPr="00966116" w:rsidRDefault="006F65B4" w:rsidP="002350B1">
            <w:pPr>
              <w:pStyle w:val="ListParagraph"/>
              <w:numPr>
                <w:ilvl w:val="0"/>
                <w:numId w:val="7"/>
              </w:numPr>
              <w:rPr>
                <w:rFonts w:cstheme="minorHAnsi"/>
                <w:color w:val="0000E1"/>
              </w:rPr>
            </w:pPr>
            <w:r w:rsidRPr="00966116">
              <w:rPr>
                <w:rFonts w:cstheme="minorHAnsi"/>
                <w:color w:val="0000E1"/>
              </w:rPr>
              <w:t>Low income</w:t>
            </w:r>
            <w:r w:rsidR="003D4D56">
              <w:rPr>
                <w:rFonts w:cstheme="minorHAnsi"/>
                <w:color w:val="0000E1"/>
                <w:vertAlign w:val="superscript"/>
              </w:rPr>
              <w:t>4,6</w:t>
            </w:r>
          </w:p>
          <w:p w14:paraId="2DA7DB0C" w14:textId="77777777" w:rsidR="006F65B4" w:rsidRPr="00966116" w:rsidRDefault="006F65B4" w:rsidP="002350B1">
            <w:pPr>
              <w:pStyle w:val="ListParagraph"/>
              <w:numPr>
                <w:ilvl w:val="0"/>
                <w:numId w:val="7"/>
              </w:numPr>
              <w:rPr>
                <w:rFonts w:cstheme="minorHAnsi"/>
                <w:color w:val="0000E1"/>
              </w:rPr>
            </w:pPr>
            <w:r w:rsidRPr="00966116">
              <w:rPr>
                <w:rFonts w:cstheme="minorHAnsi"/>
                <w:color w:val="0000E1"/>
              </w:rPr>
              <w:t>Poverty</w:t>
            </w:r>
            <w:r w:rsidR="003D4D56">
              <w:rPr>
                <w:rFonts w:cstheme="minorHAnsi"/>
                <w:color w:val="0000E1"/>
                <w:vertAlign w:val="superscript"/>
              </w:rPr>
              <w:t>7,</w:t>
            </w:r>
            <w:r>
              <w:rPr>
                <w:rFonts w:cstheme="minorHAnsi"/>
                <w:color w:val="0000E1"/>
                <w:vertAlign w:val="superscript"/>
              </w:rPr>
              <w:t>8</w:t>
            </w:r>
          </w:p>
          <w:p w14:paraId="1B8B1488" w14:textId="77777777" w:rsidR="006F65B4" w:rsidRPr="00966116" w:rsidRDefault="006F65B4" w:rsidP="002350B1">
            <w:pPr>
              <w:pStyle w:val="ListParagraph"/>
              <w:numPr>
                <w:ilvl w:val="0"/>
                <w:numId w:val="7"/>
              </w:numPr>
              <w:rPr>
                <w:rFonts w:cstheme="minorHAnsi"/>
                <w:color w:val="0000E1"/>
              </w:rPr>
            </w:pPr>
            <w:r w:rsidRPr="00966116">
              <w:rPr>
                <w:rFonts w:cstheme="minorHAnsi"/>
                <w:color w:val="0000E1"/>
              </w:rPr>
              <w:t xml:space="preserve">Lower socioeconomic </w:t>
            </w:r>
            <w:r w:rsidRPr="003D4D56">
              <w:rPr>
                <w:rFonts w:cstheme="minorHAnsi"/>
                <w:color w:val="0000E1"/>
              </w:rPr>
              <w:t>status</w:t>
            </w:r>
            <w:r w:rsidR="003D4D56" w:rsidRPr="003D4D56">
              <w:rPr>
                <w:rFonts w:cstheme="minorHAnsi"/>
                <w:color w:val="0000E1"/>
                <w:vertAlign w:val="superscript"/>
              </w:rPr>
              <w:t>9,10</w:t>
            </w:r>
          </w:p>
          <w:p w14:paraId="419F6F96" w14:textId="77777777" w:rsidR="006F65B4" w:rsidRPr="00966116" w:rsidRDefault="006F65B4" w:rsidP="002350B1">
            <w:pPr>
              <w:pStyle w:val="ListParagraph"/>
              <w:numPr>
                <w:ilvl w:val="0"/>
                <w:numId w:val="7"/>
              </w:numPr>
              <w:rPr>
                <w:rFonts w:cstheme="minorHAnsi"/>
                <w:color w:val="0000E1"/>
              </w:rPr>
            </w:pPr>
            <w:r w:rsidRPr="00966116">
              <w:rPr>
                <w:rFonts w:cstheme="minorHAnsi"/>
                <w:color w:val="0000E1"/>
              </w:rPr>
              <w:t>Financial constraints</w:t>
            </w:r>
            <w:r w:rsidR="003E3F96">
              <w:rPr>
                <w:rFonts w:cstheme="minorHAnsi"/>
                <w:color w:val="0000E1"/>
                <w:vertAlign w:val="superscript"/>
              </w:rPr>
              <w:t>11,12</w:t>
            </w:r>
          </w:p>
        </w:tc>
      </w:tr>
      <w:tr w:rsidR="006F65B4" w:rsidRPr="00966116" w14:paraId="1FCC66E3" w14:textId="77777777" w:rsidTr="00753617">
        <w:trPr>
          <w:trHeight w:val="452"/>
        </w:trPr>
        <w:tc>
          <w:tcPr>
            <w:tcW w:w="1793" w:type="dxa"/>
            <w:vMerge/>
          </w:tcPr>
          <w:p w14:paraId="40858531" w14:textId="77777777" w:rsidR="006F65B4" w:rsidRPr="00966116" w:rsidRDefault="006F65B4" w:rsidP="002350B1">
            <w:pPr>
              <w:contextualSpacing/>
              <w:rPr>
                <w:rFonts w:cstheme="minorHAnsi"/>
                <w:bCs/>
                <w:color w:val="0000E1"/>
              </w:rPr>
            </w:pPr>
          </w:p>
        </w:tc>
        <w:tc>
          <w:tcPr>
            <w:tcW w:w="2993" w:type="dxa"/>
          </w:tcPr>
          <w:p w14:paraId="5D537573" w14:textId="77777777" w:rsidR="006F65B4" w:rsidRPr="00966116" w:rsidRDefault="006F65B4" w:rsidP="002350B1">
            <w:pPr>
              <w:contextualSpacing/>
              <w:rPr>
                <w:rFonts w:cstheme="minorHAnsi"/>
                <w:bCs/>
                <w:color w:val="0000E1"/>
              </w:rPr>
            </w:pPr>
            <w:r w:rsidRPr="00966116">
              <w:rPr>
                <w:rFonts w:cstheme="minorHAnsi"/>
                <w:bCs/>
                <w:color w:val="0000E1"/>
              </w:rPr>
              <w:t>Disability as original reason for Medicare entitlement</w:t>
            </w:r>
          </w:p>
        </w:tc>
        <w:tc>
          <w:tcPr>
            <w:tcW w:w="4559" w:type="dxa"/>
          </w:tcPr>
          <w:p w14:paraId="65CDB602" w14:textId="77777777" w:rsidR="006F65B4" w:rsidRPr="00966116" w:rsidRDefault="006F65B4" w:rsidP="002350B1">
            <w:pPr>
              <w:pStyle w:val="ListParagraph"/>
              <w:numPr>
                <w:ilvl w:val="0"/>
                <w:numId w:val="7"/>
              </w:numPr>
              <w:rPr>
                <w:rFonts w:cstheme="minorHAnsi"/>
                <w:bCs/>
                <w:color w:val="0000E1"/>
              </w:rPr>
            </w:pPr>
            <w:r w:rsidRPr="00966116">
              <w:rPr>
                <w:rFonts w:cstheme="minorHAnsi"/>
                <w:bCs/>
                <w:color w:val="0000E1"/>
              </w:rPr>
              <w:t>Disability</w:t>
            </w:r>
            <w:r w:rsidR="003E3F96">
              <w:rPr>
                <w:rFonts w:cstheme="minorHAnsi"/>
                <w:bCs/>
                <w:color w:val="0000E1"/>
                <w:vertAlign w:val="superscript"/>
              </w:rPr>
              <w:t>13,14</w:t>
            </w:r>
          </w:p>
        </w:tc>
      </w:tr>
      <w:tr w:rsidR="006F65B4" w:rsidRPr="00966116" w14:paraId="5106C273" w14:textId="77777777" w:rsidTr="00753617">
        <w:trPr>
          <w:trHeight w:val="917"/>
        </w:trPr>
        <w:tc>
          <w:tcPr>
            <w:tcW w:w="1793" w:type="dxa"/>
            <w:vMerge/>
          </w:tcPr>
          <w:p w14:paraId="7F93C51D" w14:textId="77777777" w:rsidR="006F65B4" w:rsidRPr="00966116" w:rsidRDefault="006F65B4" w:rsidP="002350B1">
            <w:pPr>
              <w:contextualSpacing/>
              <w:rPr>
                <w:rFonts w:cstheme="minorHAnsi"/>
                <w:bCs/>
                <w:color w:val="0000E1"/>
              </w:rPr>
            </w:pPr>
          </w:p>
        </w:tc>
        <w:tc>
          <w:tcPr>
            <w:tcW w:w="2993" w:type="dxa"/>
          </w:tcPr>
          <w:p w14:paraId="62FDE1A5" w14:textId="77777777" w:rsidR="006F65B4" w:rsidRPr="00966116" w:rsidRDefault="006F65B4" w:rsidP="002350B1">
            <w:pPr>
              <w:contextualSpacing/>
              <w:rPr>
                <w:rFonts w:cstheme="minorHAnsi"/>
                <w:bCs/>
                <w:color w:val="0000E1"/>
              </w:rPr>
            </w:pPr>
            <w:r w:rsidRPr="00966116">
              <w:rPr>
                <w:rFonts w:cstheme="minorHAnsi"/>
                <w:bCs/>
                <w:color w:val="0000E1"/>
              </w:rPr>
              <w:t>Race</w:t>
            </w:r>
          </w:p>
        </w:tc>
        <w:tc>
          <w:tcPr>
            <w:tcW w:w="4559" w:type="dxa"/>
          </w:tcPr>
          <w:p w14:paraId="40C65760" w14:textId="77777777" w:rsidR="006F65B4" w:rsidRPr="00966116" w:rsidRDefault="006F65B4" w:rsidP="002350B1">
            <w:pPr>
              <w:pStyle w:val="ListParagraph"/>
              <w:numPr>
                <w:ilvl w:val="0"/>
                <w:numId w:val="7"/>
              </w:numPr>
              <w:rPr>
                <w:rFonts w:cstheme="minorHAnsi"/>
                <w:color w:val="0000E1"/>
              </w:rPr>
            </w:pPr>
            <w:r w:rsidRPr="00966116">
              <w:rPr>
                <w:rFonts w:cstheme="minorHAnsi"/>
                <w:color w:val="0000E1"/>
              </w:rPr>
              <w:t>Latinos (vs. Euro-Americans)</w:t>
            </w:r>
            <w:r w:rsidR="003E3F96">
              <w:rPr>
                <w:rFonts w:cstheme="minorHAnsi"/>
                <w:color w:val="0000E1"/>
                <w:vertAlign w:val="superscript"/>
              </w:rPr>
              <w:t>10</w:t>
            </w:r>
          </w:p>
          <w:p w14:paraId="1412CEF3" w14:textId="77777777" w:rsidR="006F65B4" w:rsidRPr="00966116" w:rsidRDefault="006F65B4" w:rsidP="002350B1">
            <w:pPr>
              <w:pStyle w:val="ListParagraph"/>
              <w:numPr>
                <w:ilvl w:val="0"/>
                <w:numId w:val="7"/>
              </w:numPr>
              <w:rPr>
                <w:rFonts w:cstheme="minorHAnsi"/>
                <w:color w:val="0000E1"/>
              </w:rPr>
            </w:pPr>
            <w:r w:rsidRPr="00966116">
              <w:rPr>
                <w:rFonts w:cstheme="minorHAnsi"/>
                <w:color w:val="0000E1"/>
              </w:rPr>
              <w:t>Hispanic patients (in the US, in TB)</w:t>
            </w:r>
            <w:r w:rsidR="003E3F96">
              <w:rPr>
                <w:rFonts w:cstheme="minorHAnsi"/>
                <w:color w:val="0000E1"/>
                <w:vertAlign w:val="superscript"/>
              </w:rPr>
              <w:t>4</w:t>
            </w:r>
          </w:p>
          <w:p w14:paraId="309A0849" w14:textId="77777777" w:rsidR="006F65B4" w:rsidRPr="00966116" w:rsidRDefault="006F65B4" w:rsidP="002350B1">
            <w:pPr>
              <w:pStyle w:val="ListParagraph"/>
              <w:numPr>
                <w:ilvl w:val="0"/>
                <w:numId w:val="7"/>
              </w:numPr>
              <w:rPr>
                <w:rFonts w:cstheme="minorHAnsi"/>
                <w:color w:val="0000E1"/>
              </w:rPr>
            </w:pPr>
            <w:r w:rsidRPr="00966116">
              <w:rPr>
                <w:rFonts w:cstheme="minorHAnsi"/>
                <w:color w:val="0000E1"/>
              </w:rPr>
              <w:t>Monolingual Spanish speakers</w:t>
            </w:r>
            <w:r w:rsidR="003E3F96">
              <w:rPr>
                <w:rFonts w:cstheme="minorHAnsi"/>
                <w:color w:val="0000E1"/>
                <w:vertAlign w:val="superscript"/>
              </w:rPr>
              <w:t>10</w:t>
            </w:r>
          </w:p>
          <w:p w14:paraId="203CA15A" w14:textId="77777777" w:rsidR="006F65B4" w:rsidRPr="00966116" w:rsidRDefault="006F65B4" w:rsidP="002350B1">
            <w:pPr>
              <w:pStyle w:val="ListParagraph"/>
              <w:numPr>
                <w:ilvl w:val="0"/>
                <w:numId w:val="7"/>
              </w:numPr>
              <w:rPr>
                <w:rFonts w:cstheme="minorHAnsi"/>
                <w:color w:val="0000E1"/>
              </w:rPr>
            </w:pPr>
            <w:r w:rsidRPr="00966116">
              <w:rPr>
                <w:rFonts w:cstheme="minorHAnsi"/>
                <w:color w:val="0000E1"/>
              </w:rPr>
              <w:t>Non-white women</w:t>
            </w:r>
            <w:r w:rsidR="003E3F96">
              <w:rPr>
                <w:rFonts w:cstheme="minorHAnsi"/>
                <w:color w:val="0000E1"/>
                <w:vertAlign w:val="superscript"/>
              </w:rPr>
              <w:t>5</w:t>
            </w:r>
          </w:p>
        </w:tc>
      </w:tr>
      <w:tr w:rsidR="006F65B4" w:rsidRPr="00966116" w14:paraId="150EDD69" w14:textId="77777777" w:rsidTr="00753617">
        <w:trPr>
          <w:trHeight w:val="890"/>
        </w:trPr>
        <w:tc>
          <w:tcPr>
            <w:tcW w:w="1793" w:type="dxa"/>
            <w:vMerge w:val="restart"/>
          </w:tcPr>
          <w:p w14:paraId="0B5E9DEE" w14:textId="77777777" w:rsidR="006F65B4" w:rsidRPr="00966116" w:rsidRDefault="006F65B4" w:rsidP="002350B1">
            <w:pPr>
              <w:contextualSpacing/>
              <w:rPr>
                <w:rFonts w:cstheme="minorHAnsi"/>
                <w:bCs/>
                <w:color w:val="0000E1"/>
              </w:rPr>
            </w:pPr>
            <w:r w:rsidRPr="00966116">
              <w:rPr>
                <w:rFonts w:cstheme="minorHAnsi"/>
                <w:bCs/>
                <w:color w:val="0000E1"/>
              </w:rPr>
              <w:t>Community-level</w:t>
            </w:r>
          </w:p>
        </w:tc>
        <w:tc>
          <w:tcPr>
            <w:tcW w:w="2993" w:type="dxa"/>
          </w:tcPr>
          <w:p w14:paraId="47DD795E" w14:textId="77777777" w:rsidR="006F65B4" w:rsidRPr="00966116" w:rsidRDefault="006F65B4" w:rsidP="002350B1">
            <w:pPr>
              <w:contextualSpacing/>
              <w:rPr>
                <w:rFonts w:cstheme="minorHAnsi"/>
                <w:bCs/>
                <w:color w:val="0000E1"/>
              </w:rPr>
            </w:pPr>
            <w:r w:rsidRPr="00966116">
              <w:rPr>
                <w:rFonts w:cstheme="minorHAnsi"/>
                <w:bCs/>
                <w:color w:val="0000E1"/>
              </w:rPr>
              <w:t>Median income</w:t>
            </w:r>
          </w:p>
        </w:tc>
        <w:tc>
          <w:tcPr>
            <w:tcW w:w="4559" w:type="dxa"/>
          </w:tcPr>
          <w:p w14:paraId="1685F70C" w14:textId="77777777" w:rsidR="006F65B4" w:rsidRPr="00966116" w:rsidRDefault="006F65B4" w:rsidP="002350B1">
            <w:pPr>
              <w:pStyle w:val="ListParagraph"/>
              <w:numPr>
                <w:ilvl w:val="0"/>
                <w:numId w:val="7"/>
              </w:numPr>
              <w:rPr>
                <w:rFonts w:cstheme="minorHAnsi"/>
                <w:color w:val="0000E1"/>
              </w:rPr>
            </w:pPr>
            <w:r w:rsidRPr="00966116">
              <w:rPr>
                <w:rFonts w:cstheme="minorHAnsi"/>
                <w:color w:val="0000E1"/>
              </w:rPr>
              <w:t>Financial constraints</w:t>
            </w:r>
            <w:r w:rsidR="003E3F96">
              <w:rPr>
                <w:rFonts w:cstheme="minorHAnsi"/>
                <w:color w:val="0000E1"/>
                <w:vertAlign w:val="superscript"/>
              </w:rPr>
              <w:t>11,12</w:t>
            </w:r>
          </w:p>
          <w:p w14:paraId="2C63506A" w14:textId="77777777" w:rsidR="006F65B4" w:rsidRPr="00966116" w:rsidRDefault="006F65B4" w:rsidP="002350B1">
            <w:pPr>
              <w:pStyle w:val="ListParagraph"/>
              <w:numPr>
                <w:ilvl w:val="0"/>
                <w:numId w:val="7"/>
              </w:numPr>
              <w:rPr>
                <w:rFonts w:cstheme="minorHAnsi"/>
                <w:color w:val="0000E1"/>
              </w:rPr>
            </w:pPr>
            <w:r w:rsidRPr="00966116">
              <w:rPr>
                <w:rFonts w:cstheme="minorHAnsi"/>
                <w:color w:val="0000E1"/>
              </w:rPr>
              <w:t>Poverty</w:t>
            </w:r>
            <w:r w:rsidR="003E3F96">
              <w:rPr>
                <w:rFonts w:cstheme="minorHAnsi"/>
                <w:color w:val="0000E1"/>
                <w:vertAlign w:val="superscript"/>
              </w:rPr>
              <w:t>7,8</w:t>
            </w:r>
          </w:p>
          <w:p w14:paraId="7910D02A" w14:textId="77777777" w:rsidR="006F65B4" w:rsidRPr="006275CB" w:rsidRDefault="006F65B4" w:rsidP="002350B1">
            <w:pPr>
              <w:pStyle w:val="ListParagraph"/>
              <w:numPr>
                <w:ilvl w:val="0"/>
                <w:numId w:val="7"/>
              </w:numPr>
              <w:rPr>
                <w:rFonts w:cstheme="minorHAnsi"/>
                <w:color w:val="0000E1"/>
              </w:rPr>
            </w:pPr>
            <w:r w:rsidRPr="00966116">
              <w:rPr>
                <w:rFonts w:cstheme="minorHAnsi"/>
                <w:color w:val="0000E1"/>
              </w:rPr>
              <w:t>Lower socioeconomic status</w:t>
            </w:r>
            <w:r w:rsidR="003E3F96">
              <w:rPr>
                <w:rFonts w:cstheme="minorHAnsi"/>
                <w:color w:val="0000E1"/>
                <w:vertAlign w:val="superscript"/>
              </w:rPr>
              <w:t>4,</w:t>
            </w:r>
            <w:r>
              <w:rPr>
                <w:rFonts w:cstheme="minorHAnsi"/>
                <w:color w:val="0000E1"/>
                <w:vertAlign w:val="superscript"/>
              </w:rPr>
              <w:t>1</w:t>
            </w:r>
            <w:r w:rsidR="003E3F96">
              <w:rPr>
                <w:rFonts w:cstheme="minorHAnsi"/>
                <w:color w:val="0000E1"/>
                <w:vertAlign w:val="superscript"/>
              </w:rPr>
              <w:t>0</w:t>
            </w:r>
            <w:r w:rsidRPr="00966116">
              <w:rPr>
                <w:rFonts w:cstheme="minorHAnsi"/>
                <w:color w:val="0000E1"/>
                <w:vertAlign w:val="superscript"/>
              </w:rPr>
              <w:t xml:space="preserve"> </w:t>
            </w:r>
          </w:p>
        </w:tc>
      </w:tr>
      <w:tr w:rsidR="006F65B4" w:rsidRPr="00966116" w14:paraId="352423D5" w14:textId="77777777" w:rsidTr="00753617">
        <w:trPr>
          <w:trHeight w:val="452"/>
        </w:trPr>
        <w:tc>
          <w:tcPr>
            <w:tcW w:w="1793" w:type="dxa"/>
            <w:vMerge/>
          </w:tcPr>
          <w:p w14:paraId="7650CC40" w14:textId="77777777" w:rsidR="006F65B4" w:rsidRPr="00966116" w:rsidRDefault="006F65B4" w:rsidP="002350B1">
            <w:pPr>
              <w:contextualSpacing/>
              <w:rPr>
                <w:rFonts w:cstheme="minorHAnsi"/>
                <w:bCs/>
                <w:color w:val="0000E1"/>
              </w:rPr>
            </w:pPr>
          </w:p>
        </w:tc>
        <w:tc>
          <w:tcPr>
            <w:tcW w:w="2993" w:type="dxa"/>
          </w:tcPr>
          <w:p w14:paraId="14B89B8E" w14:textId="77777777" w:rsidR="006F65B4" w:rsidRPr="00966116" w:rsidRDefault="006F65B4" w:rsidP="002350B1">
            <w:pPr>
              <w:contextualSpacing/>
              <w:rPr>
                <w:rFonts w:cstheme="minorHAnsi"/>
                <w:bCs/>
                <w:color w:val="0000E1"/>
              </w:rPr>
            </w:pPr>
            <w:r w:rsidRPr="00966116">
              <w:rPr>
                <w:rFonts w:cstheme="minorHAnsi"/>
                <w:bCs/>
                <w:color w:val="0000E1"/>
              </w:rPr>
              <w:t>Percent of households where residents are married</w:t>
            </w:r>
          </w:p>
        </w:tc>
        <w:tc>
          <w:tcPr>
            <w:tcW w:w="4559" w:type="dxa"/>
          </w:tcPr>
          <w:p w14:paraId="09344412" w14:textId="77777777" w:rsidR="006F65B4" w:rsidRPr="00966116" w:rsidRDefault="006F65B4" w:rsidP="002350B1">
            <w:pPr>
              <w:pStyle w:val="ListParagraph"/>
              <w:numPr>
                <w:ilvl w:val="0"/>
                <w:numId w:val="7"/>
              </w:numPr>
              <w:rPr>
                <w:rFonts w:cstheme="minorHAnsi"/>
                <w:bCs/>
                <w:color w:val="0000E1"/>
              </w:rPr>
            </w:pPr>
            <w:r w:rsidRPr="00966116">
              <w:rPr>
                <w:rFonts w:cstheme="minorHAnsi"/>
                <w:color w:val="0000E1"/>
              </w:rPr>
              <w:t>Single or divorced (vs. married)</w:t>
            </w:r>
            <w:r w:rsidR="003E3F96">
              <w:rPr>
                <w:rFonts w:cstheme="minorHAnsi"/>
                <w:color w:val="0000E1"/>
                <w:vertAlign w:val="superscript"/>
              </w:rPr>
              <w:t>6</w:t>
            </w:r>
            <w:r w:rsidRPr="00966116">
              <w:rPr>
                <w:rFonts w:cstheme="minorHAnsi"/>
                <w:color w:val="0000E1"/>
                <w:vertAlign w:val="superscript"/>
              </w:rPr>
              <w:t>,1</w:t>
            </w:r>
            <w:r>
              <w:rPr>
                <w:rFonts w:cstheme="minorHAnsi"/>
                <w:color w:val="0000E1"/>
                <w:vertAlign w:val="superscript"/>
              </w:rPr>
              <w:t>5</w:t>
            </w:r>
            <w:r w:rsidRPr="00966116">
              <w:rPr>
                <w:rFonts w:cstheme="minorHAnsi"/>
                <w:color w:val="0000E1"/>
                <w:vertAlign w:val="superscript"/>
              </w:rPr>
              <w:t xml:space="preserve"> </w:t>
            </w:r>
          </w:p>
        </w:tc>
      </w:tr>
      <w:tr w:rsidR="006F65B4" w:rsidRPr="00966116" w14:paraId="51EF3773" w14:textId="77777777" w:rsidTr="00753617">
        <w:trPr>
          <w:trHeight w:val="462"/>
        </w:trPr>
        <w:tc>
          <w:tcPr>
            <w:tcW w:w="1793" w:type="dxa"/>
            <w:vMerge/>
          </w:tcPr>
          <w:p w14:paraId="467F6C2F" w14:textId="77777777" w:rsidR="006F65B4" w:rsidRPr="00966116" w:rsidRDefault="006F65B4" w:rsidP="002350B1">
            <w:pPr>
              <w:contextualSpacing/>
              <w:rPr>
                <w:rFonts w:cstheme="minorHAnsi"/>
                <w:bCs/>
                <w:color w:val="0000E1"/>
              </w:rPr>
            </w:pPr>
          </w:p>
        </w:tc>
        <w:tc>
          <w:tcPr>
            <w:tcW w:w="2993" w:type="dxa"/>
          </w:tcPr>
          <w:p w14:paraId="21661DB2" w14:textId="77777777" w:rsidR="006F65B4" w:rsidRPr="00966116" w:rsidRDefault="006F65B4" w:rsidP="002350B1">
            <w:pPr>
              <w:contextualSpacing/>
              <w:rPr>
                <w:rFonts w:cstheme="minorHAnsi"/>
                <w:bCs/>
                <w:color w:val="0000E1"/>
              </w:rPr>
            </w:pPr>
            <w:r w:rsidRPr="00966116">
              <w:rPr>
                <w:rFonts w:cstheme="minorHAnsi"/>
                <w:bCs/>
                <w:color w:val="0000E1"/>
              </w:rPr>
              <w:t>Percent of households where residents completed college</w:t>
            </w:r>
          </w:p>
        </w:tc>
        <w:tc>
          <w:tcPr>
            <w:tcW w:w="4559" w:type="dxa"/>
          </w:tcPr>
          <w:p w14:paraId="658DE83D" w14:textId="77777777" w:rsidR="006F65B4" w:rsidRPr="00966116" w:rsidRDefault="006F65B4" w:rsidP="002350B1">
            <w:pPr>
              <w:pStyle w:val="ListParagraph"/>
              <w:numPr>
                <w:ilvl w:val="0"/>
                <w:numId w:val="7"/>
              </w:numPr>
              <w:rPr>
                <w:rFonts w:cstheme="minorHAnsi"/>
                <w:color w:val="0000E1"/>
              </w:rPr>
            </w:pPr>
            <w:r w:rsidRPr="00966116">
              <w:rPr>
                <w:rFonts w:cstheme="minorHAnsi"/>
                <w:color w:val="0000E1"/>
              </w:rPr>
              <w:t>Illiteracy</w:t>
            </w:r>
            <w:r w:rsidR="003E3F96">
              <w:rPr>
                <w:rFonts w:cstheme="minorHAnsi"/>
                <w:color w:val="0000E1"/>
                <w:vertAlign w:val="superscript"/>
              </w:rPr>
              <w:t>4</w:t>
            </w:r>
            <w:r w:rsidRPr="00966116">
              <w:rPr>
                <w:rFonts w:cstheme="minorHAnsi"/>
                <w:color w:val="0000E1"/>
              </w:rPr>
              <w:t xml:space="preserve"> </w:t>
            </w:r>
          </w:p>
          <w:p w14:paraId="10135D4E" w14:textId="77777777" w:rsidR="006F65B4" w:rsidRPr="00966116" w:rsidRDefault="003E3F96" w:rsidP="002350B1">
            <w:pPr>
              <w:pStyle w:val="ListParagraph"/>
              <w:numPr>
                <w:ilvl w:val="0"/>
                <w:numId w:val="7"/>
              </w:numPr>
              <w:rPr>
                <w:rFonts w:cstheme="minorHAnsi"/>
                <w:bCs/>
                <w:color w:val="0000E1"/>
              </w:rPr>
            </w:pPr>
            <w:r>
              <w:rPr>
                <w:rFonts w:cstheme="minorHAnsi"/>
                <w:bCs/>
                <w:color w:val="0000E1"/>
              </w:rPr>
              <w:t>(inverse) education</w:t>
            </w:r>
            <w:r>
              <w:rPr>
                <w:rFonts w:cstheme="minorHAnsi"/>
                <w:bCs/>
                <w:color w:val="0000E1"/>
                <w:vertAlign w:val="superscript"/>
              </w:rPr>
              <w:t>9, 11</w:t>
            </w:r>
          </w:p>
        </w:tc>
      </w:tr>
      <w:tr w:rsidR="006F65B4" w:rsidRPr="00966116" w14:paraId="6ED70AE8" w14:textId="77777777" w:rsidTr="00753617">
        <w:trPr>
          <w:trHeight w:val="442"/>
        </w:trPr>
        <w:tc>
          <w:tcPr>
            <w:tcW w:w="1793" w:type="dxa"/>
            <w:vMerge/>
            <w:tcBorders>
              <w:bottom w:val="single" w:sz="4" w:space="0" w:color="auto"/>
            </w:tcBorders>
          </w:tcPr>
          <w:p w14:paraId="612F26DE" w14:textId="77777777" w:rsidR="006F65B4" w:rsidRPr="00966116" w:rsidRDefault="006F65B4" w:rsidP="002350B1">
            <w:pPr>
              <w:contextualSpacing/>
              <w:rPr>
                <w:rFonts w:cstheme="minorHAnsi"/>
                <w:bCs/>
                <w:color w:val="0000E1"/>
              </w:rPr>
            </w:pPr>
          </w:p>
        </w:tc>
        <w:tc>
          <w:tcPr>
            <w:tcW w:w="2993" w:type="dxa"/>
            <w:tcBorders>
              <w:bottom w:val="single" w:sz="4" w:space="0" w:color="auto"/>
            </w:tcBorders>
          </w:tcPr>
          <w:p w14:paraId="68F308A9" w14:textId="77777777" w:rsidR="006F65B4" w:rsidRPr="00966116" w:rsidRDefault="006F65B4" w:rsidP="002350B1">
            <w:pPr>
              <w:contextualSpacing/>
              <w:rPr>
                <w:rFonts w:cstheme="minorHAnsi"/>
                <w:bCs/>
                <w:color w:val="0000E1"/>
              </w:rPr>
            </w:pPr>
            <w:r w:rsidRPr="00966116">
              <w:rPr>
                <w:rFonts w:cstheme="minorHAnsi"/>
                <w:bCs/>
                <w:color w:val="0000E1"/>
              </w:rPr>
              <w:t>Percent of households where residents own their home</w:t>
            </w:r>
          </w:p>
        </w:tc>
        <w:tc>
          <w:tcPr>
            <w:tcW w:w="4559" w:type="dxa"/>
            <w:tcBorders>
              <w:bottom w:val="single" w:sz="4" w:space="0" w:color="auto"/>
            </w:tcBorders>
          </w:tcPr>
          <w:p w14:paraId="4EA01874" w14:textId="77777777" w:rsidR="006F65B4" w:rsidRPr="00966116" w:rsidRDefault="006F65B4" w:rsidP="002350B1">
            <w:pPr>
              <w:pStyle w:val="ListParagraph"/>
              <w:numPr>
                <w:ilvl w:val="0"/>
                <w:numId w:val="7"/>
              </w:numPr>
              <w:rPr>
                <w:rFonts w:cstheme="minorHAnsi"/>
                <w:bCs/>
                <w:color w:val="0000E1"/>
              </w:rPr>
            </w:pPr>
            <w:r w:rsidRPr="00966116">
              <w:rPr>
                <w:rFonts w:cstheme="minorHAnsi"/>
                <w:color w:val="0000E1"/>
              </w:rPr>
              <w:t>Unstable housing</w:t>
            </w:r>
            <w:r w:rsidR="003E3F96">
              <w:rPr>
                <w:rFonts w:cstheme="minorHAnsi"/>
                <w:color w:val="0000E1"/>
                <w:vertAlign w:val="superscript"/>
              </w:rPr>
              <w:t>16,17</w:t>
            </w:r>
          </w:p>
        </w:tc>
      </w:tr>
      <w:tr w:rsidR="006F65B4" w:rsidRPr="00966116" w14:paraId="57668B49" w14:textId="77777777" w:rsidTr="00753617">
        <w:trPr>
          <w:trHeight w:val="1457"/>
        </w:trPr>
        <w:tc>
          <w:tcPr>
            <w:tcW w:w="1793" w:type="dxa"/>
            <w:tcBorders>
              <w:bottom w:val="single" w:sz="4" w:space="0" w:color="auto"/>
            </w:tcBorders>
          </w:tcPr>
          <w:p w14:paraId="4ACA4E48" w14:textId="77777777" w:rsidR="006F65B4" w:rsidRPr="00966116" w:rsidRDefault="006F65B4" w:rsidP="004421D2">
            <w:pPr>
              <w:rPr>
                <w:rFonts w:cstheme="minorHAnsi"/>
                <w:bCs/>
                <w:color w:val="0000E1"/>
              </w:rPr>
            </w:pPr>
            <w:r w:rsidRPr="00966116">
              <w:rPr>
                <w:rFonts w:cstheme="minorHAnsi"/>
                <w:bCs/>
                <w:color w:val="0000E1"/>
              </w:rPr>
              <w:t>County-level</w:t>
            </w:r>
          </w:p>
        </w:tc>
        <w:tc>
          <w:tcPr>
            <w:tcW w:w="2993" w:type="dxa"/>
            <w:tcBorders>
              <w:bottom w:val="single" w:sz="4" w:space="0" w:color="auto"/>
            </w:tcBorders>
          </w:tcPr>
          <w:p w14:paraId="4E29FE7E" w14:textId="77777777" w:rsidR="006F65B4" w:rsidRPr="00966116" w:rsidRDefault="006F65B4" w:rsidP="004421D2">
            <w:pPr>
              <w:rPr>
                <w:rFonts w:cstheme="minorHAnsi"/>
                <w:bCs/>
                <w:color w:val="0000E1"/>
              </w:rPr>
            </w:pPr>
            <w:r w:rsidRPr="00966116">
              <w:rPr>
                <w:rFonts w:cstheme="minorHAnsi"/>
                <w:bCs/>
                <w:color w:val="0000E1"/>
              </w:rPr>
              <w:t>Federal designated healthcare provider shortage area</w:t>
            </w:r>
          </w:p>
        </w:tc>
        <w:tc>
          <w:tcPr>
            <w:tcW w:w="4559" w:type="dxa"/>
            <w:tcBorders>
              <w:bottom w:val="single" w:sz="4" w:space="0" w:color="auto"/>
            </w:tcBorders>
          </w:tcPr>
          <w:p w14:paraId="3C14F58D" w14:textId="77777777" w:rsidR="006F65B4" w:rsidRPr="00966116" w:rsidRDefault="006F65B4" w:rsidP="004421D2">
            <w:pPr>
              <w:pStyle w:val="ListParagraph"/>
              <w:numPr>
                <w:ilvl w:val="0"/>
                <w:numId w:val="7"/>
              </w:numPr>
              <w:contextualSpacing w:val="0"/>
              <w:rPr>
                <w:rFonts w:cstheme="minorHAnsi"/>
                <w:color w:val="0000E1"/>
              </w:rPr>
            </w:pPr>
            <w:r w:rsidRPr="00966116">
              <w:rPr>
                <w:rFonts w:cstheme="minorHAnsi"/>
                <w:color w:val="0000E1"/>
              </w:rPr>
              <w:t>Barriers to high-quality care</w:t>
            </w:r>
            <w:r>
              <w:rPr>
                <w:rFonts w:cstheme="minorHAnsi"/>
                <w:color w:val="0000E1"/>
                <w:vertAlign w:val="superscript"/>
              </w:rPr>
              <w:t>1</w:t>
            </w:r>
            <w:r w:rsidR="003E3F96">
              <w:rPr>
                <w:rFonts w:cstheme="minorHAnsi"/>
                <w:color w:val="0000E1"/>
                <w:vertAlign w:val="superscript"/>
              </w:rPr>
              <w:t>0</w:t>
            </w:r>
            <w:r w:rsidRPr="00966116">
              <w:rPr>
                <w:rFonts w:cstheme="minorHAnsi"/>
                <w:color w:val="0000E1"/>
              </w:rPr>
              <w:t xml:space="preserve"> </w:t>
            </w:r>
          </w:p>
          <w:p w14:paraId="0B1CEA88" w14:textId="77777777" w:rsidR="006F65B4" w:rsidRPr="00966116" w:rsidRDefault="006F65B4" w:rsidP="004421D2">
            <w:pPr>
              <w:pStyle w:val="ListParagraph"/>
              <w:numPr>
                <w:ilvl w:val="0"/>
                <w:numId w:val="7"/>
              </w:numPr>
              <w:contextualSpacing w:val="0"/>
              <w:rPr>
                <w:rFonts w:cstheme="minorHAnsi"/>
                <w:color w:val="0000E1"/>
              </w:rPr>
            </w:pPr>
            <w:r w:rsidRPr="00966116">
              <w:rPr>
                <w:rFonts w:cstheme="minorHAnsi"/>
                <w:color w:val="0000E1"/>
              </w:rPr>
              <w:t>Lack of providers /caregiver availability</w:t>
            </w:r>
            <w:r w:rsidR="004421D2">
              <w:rPr>
                <w:rFonts w:cstheme="minorHAnsi"/>
                <w:color w:val="0000E1"/>
                <w:vertAlign w:val="superscript"/>
              </w:rPr>
              <w:t>8</w:t>
            </w:r>
            <w:r w:rsidRPr="00966116">
              <w:rPr>
                <w:rFonts w:cstheme="minorHAnsi"/>
                <w:color w:val="0000E1"/>
              </w:rPr>
              <w:t xml:space="preserve"> </w:t>
            </w:r>
          </w:p>
          <w:p w14:paraId="6F5E21BE" w14:textId="77777777" w:rsidR="006F65B4" w:rsidRPr="00966116" w:rsidRDefault="006F65B4" w:rsidP="004421D2">
            <w:pPr>
              <w:pStyle w:val="ListParagraph"/>
              <w:numPr>
                <w:ilvl w:val="0"/>
                <w:numId w:val="7"/>
              </w:numPr>
              <w:contextualSpacing w:val="0"/>
              <w:rPr>
                <w:rFonts w:cstheme="minorHAnsi"/>
                <w:color w:val="0000E1"/>
              </w:rPr>
            </w:pPr>
            <w:r w:rsidRPr="00966116">
              <w:rPr>
                <w:rFonts w:cstheme="minorHAnsi"/>
                <w:color w:val="0000E1"/>
              </w:rPr>
              <w:t>Rural settings</w:t>
            </w:r>
            <w:r>
              <w:rPr>
                <w:rFonts w:cstheme="minorHAnsi"/>
                <w:color w:val="0000E1"/>
                <w:vertAlign w:val="superscript"/>
              </w:rPr>
              <w:t>8</w:t>
            </w:r>
            <w:r w:rsidRPr="00966116">
              <w:rPr>
                <w:rFonts w:cstheme="minorHAnsi"/>
                <w:color w:val="0000E1"/>
                <w:vertAlign w:val="superscript"/>
              </w:rPr>
              <w:t xml:space="preserve"> </w:t>
            </w:r>
          </w:p>
          <w:p w14:paraId="09417B06" w14:textId="77777777" w:rsidR="006F65B4" w:rsidRPr="00966116" w:rsidRDefault="006F65B4" w:rsidP="004421D2">
            <w:pPr>
              <w:pStyle w:val="ListParagraph"/>
              <w:numPr>
                <w:ilvl w:val="0"/>
                <w:numId w:val="7"/>
              </w:numPr>
              <w:contextualSpacing w:val="0"/>
              <w:rPr>
                <w:rFonts w:cstheme="minorHAnsi"/>
                <w:color w:val="0000E1"/>
              </w:rPr>
            </w:pPr>
            <w:r w:rsidRPr="00966116">
              <w:rPr>
                <w:rFonts w:cstheme="minorHAnsi"/>
                <w:color w:val="0000E1"/>
              </w:rPr>
              <w:t>Poor access to a healthcare faci</w:t>
            </w:r>
            <w:r w:rsidR="004421D2">
              <w:rPr>
                <w:rFonts w:cstheme="minorHAnsi"/>
                <w:color w:val="0000E1"/>
              </w:rPr>
              <w:t xml:space="preserve">lity (e.g., long waiting times, </w:t>
            </w:r>
            <w:r w:rsidRPr="00966116">
              <w:rPr>
                <w:rFonts w:cstheme="minorHAnsi"/>
                <w:color w:val="0000E1"/>
              </w:rPr>
              <w:t>inconvenient opening hours)</w:t>
            </w:r>
            <w:r>
              <w:rPr>
                <w:rFonts w:cstheme="minorHAnsi"/>
                <w:color w:val="0000E1"/>
                <w:vertAlign w:val="superscript"/>
              </w:rPr>
              <w:t>6</w:t>
            </w:r>
            <w:r w:rsidRPr="00966116">
              <w:rPr>
                <w:rFonts w:cstheme="minorHAnsi"/>
                <w:color w:val="0000E1"/>
              </w:rPr>
              <w:t xml:space="preserve"> </w:t>
            </w:r>
          </w:p>
          <w:p w14:paraId="3019588B" w14:textId="77777777" w:rsidR="006F65B4" w:rsidRPr="00966116" w:rsidRDefault="006F65B4" w:rsidP="004421D2">
            <w:pPr>
              <w:pStyle w:val="ListParagraph"/>
              <w:numPr>
                <w:ilvl w:val="0"/>
                <w:numId w:val="7"/>
              </w:numPr>
              <w:contextualSpacing w:val="0"/>
              <w:rPr>
                <w:rFonts w:cstheme="minorHAnsi"/>
                <w:bCs/>
                <w:color w:val="0000E1"/>
              </w:rPr>
            </w:pPr>
            <w:r w:rsidRPr="00966116">
              <w:rPr>
                <w:rFonts w:cstheme="minorHAnsi"/>
                <w:color w:val="0000E1"/>
              </w:rPr>
              <w:t>Poor follow-up by providers</w:t>
            </w:r>
            <w:r w:rsidR="004421D2">
              <w:rPr>
                <w:rFonts w:cstheme="minorHAnsi"/>
                <w:color w:val="0000E1"/>
                <w:vertAlign w:val="superscript"/>
              </w:rPr>
              <w:t>17,18</w:t>
            </w:r>
          </w:p>
        </w:tc>
      </w:tr>
      <w:tr w:rsidR="006F65B4" w:rsidRPr="002350B1" w14:paraId="051951DF" w14:textId="77777777" w:rsidTr="00753617">
        <w:trPr>
          <w:trHeight w:val="64"/>
        </w:trPr>
        <w:tc>
          <w:tcPr>
            <w:tcW w:w="9347" w:type="dxa"/>
            <w:gridSpan w:val="3"/>
            <w:tcBorders>
              <w:top w:val="single" w:sz="4" w:space="0" w:color="auto"/>
              <w:left w:val="nil"/>
              <w:bottom w:val="nil"/>
              <w:right w:val="nil"/>
            </w:tcBorders>
          </w:tcPr>
          <w:p w14:paraId="13FA519B" w14:textId="77777777" w:rsidR="006F65B4" w:rsidRPr="002350B1" w:rsidRDefault="006F65B4" w:rsidP="006F65B4">
            <w:pPr>
              <w:rPr>
                <w:rFonts w:cstheme="minorHAnsi"/>
                <w:i/>
                <w:color w:val="0000E1"/>
              </w:rPr>
            </w:pPr>
            <w:r w:rsidRPr="002350B1">
              <w:rPr>
                <w:rFonts w:cstheme="minorHAnsi"/>
                <w:i/>
                <w:color w:val="0000E1"/>
              </w:rPr>
              <w:t>SDS: sociodemographic status</w:t>
            </w:r>
          </w:p>
        </w:tc>
      </w:tr>
    </w:tbl>
    <w:p w14:paraId="74FF00B3" w14:textId="77777777" w:rsidR="005C3425" w:rsidRPr="005C3425" w:rsidRDefault="005C3425" w:rsidP="006F65B4">
      <w:pPr>
        <w:spacing w:after="0" w:line="240" w:lineRule="auto"/>
        <w:rPr>
          <w:rFonts w:cs="Calibri"/>
          <w:bCs/>
          <w:color w:val="0000E1"/>
          <w:u w:val="single"/>
        </w:rPr>
      </w:pPr>
      <w:r w:rsidRPr="005C3425">
        <w:rPr>
          <w:rFonts w:cs="Calibri"/>
          <w:bCs/>
          <w:color w:val="0000E1"/>
          <w:u w:val="single"/>
        </w:rPr>
        <w:lastRenderedPageBreak/>
        <w:t xml:space="preserve">Statistical </w:t>
      </w:r>
      <w:r>
        <w:rPr>
          <w:rFonts w:cs="Calibri"/>
          <w:bCs/>
          <w:color w:val="0000E1"/>
          <w:u w:val="single"/>
        </w:rPr>
        <w:t>Methods</w:t>
      </w:r>
    </w:p>
    <w:p w14:paraId="75CAC165" w14:textId="16E16494" w:rsidR="003F6DC5" w:rsidRDefault="003F6DC5" w:rsidP="006F65B4">
      <w:pPr>
        <w:spacing w:after="0" w:line="240" w:lineRule="auto"/>
        <w:rPr>
          <w:rFonts w:cs="Calibri"/>
          <w:bCs/>
          <w:color w:val="0000E1"/>
        </w:rPr>
      </w:pPr>
      <w:r w:rsidRPr="00966116">
        <w:rPr>
          <w:rFonts w:cs="Calibri"/>
          <w:bCs/>
          <w:color w:val="0000E1"/>
        </w:rPr>
        <w:t xml:space="preserve">Univariate regression models were used to explore the association between the measure outcomes and single covariates. Variables that were statistically significant at alpha = 0.05 for any of the therapeutic categories were subsequently included in the multivariable regression model.  The multivariable regression model was used to explore the association between the measure outcomes adjusted for all covariates that were statically significant based on the univariate models. </w:t>
      </w:r>
      <w:r w:rsidR="008E48D2">
        <w:rPr>
          <w:rFonts w:cs="Calibri"/>
          <w:bCs/>
          <w:color w:val="0000E1"/>
        </w:rPr>
        <w:t>Multicollinearity was not observed (VIF &lt;10 for all variables)</w:t>
      </w:r>
      <w:r w:rsidR="004D403E">
        <w:rPr>
          <w:rFonts w:cs="Calibri"/>
          <w:bCs/>
          <w:color w:val="0000E1"/>
        </w:rPr>
        <w:t>, and no interaction terms were included in any of the models</w:t>
      </w:r>
      <w:r w:rsidR="008E48D2">
        <w:rPr>
          <w:rFonts w:cs="Calibri"/>
          <w:bCs/>
          <w:color w:val="0000E1"/>
        </w:rPr>
        <w:t>.</w:t>
      </w:r>
    </w:p>
    <w:p w14:paraId="7E6A2EF5" w14:textId="77777777" w:rsidR="006F65B4" w:rsidRPr="00966116" w:rsidRDefault="006F65B4" w:rsidP="006F65B4">
      <w:pPr>
        <w:spacing w:after="0" w:line="240" w:lineRule="auto"/>
        <w:rPr>
          <w:rFonts w:cs="Calibri"/>
          <w:bCs/>
          <w:color w:val="0000E1"/>
        </w:rPr>
      </w:pPr>
    </w:p>
    <w:p w14:paraId="4A98632A" w14:textId="77777777" w:rsidR="006F65B4" w:rsidRPr="009C2ABF" w:rsidRDefault="006F65B4" w:rsidP="006F65B4">
      <w:pPr>
        <w:spacing w:after="0" w:line="240" w:lineRule="auto"/>
        <w:rPr>
          <w:rFonts w:cs="Calibri"/>
          <w:b/>
          <w:bCs/>
          <w:color w:val="0000E1"/>
        </w:rPr>
      </w:pPr>
      <w:r w:rsidRPr="009C2ABF">
        <w:rPr>
          <w:rFonts w:cs="Calibri"/>
          <w:b/>
          <w:bCs/>
          <w:color w:val="0000E1"/>
        </w:rPr>
        <w:t>References:</w:t>
      </w:r>
    </w:p>
    <w:p w14:paraId="53212D54" w14:textId="57DD750B" w:rsidR="006F65B4" w:rsidRPr="009C2ABF" w:rsidRDefault="000E110B" w:rsidP="006F65B4">
      <w:pPr>
        <w:pStyle w:val="ListParagraph"/>
        <w:numPr>
          <w:ilvl w:val="0"/>
          <w:numId w:val="14"/>
        </w:numPr>
        <w:spacing w:after="0" w:line="240" w:lineRule="auto"/>
        <w:ind w:left="360"/>
        <w:rPr>
          <w:rFonts w:cstheme="minorHAnsi"/>
          <w:bCs/>
          <w:color w:val="0000E1"/>
        </w:rPr>
      </w:pPr>
      <w:r w:rsidRPr="009C2ABF">
        <w:rPr>
          <w:rFonts w:cstheme="minorHAnsi"/>
          <w:bCs/>
          <w:color w:val="0000E1"/>
        </w:rPr>
        <w:t>National Quality Forum</w:t>
      </w:r>
      <w:r>
        <w:rPr>
          <w:rFonts w:cstheme="minorHAnsi"/>
          <w:bCs/>
          <w:color w:val="0000E1"/>
        </w:rPr>
        <w:t>.</w:t>
      </w:r>
      <w:r w:rsidRPr="009C2ABF">
        <w:rPr>
          <w:rFonts w:cstheme="minorHAnsi"/>
          <w:bCs/>
          <w:color w:val="0000E1"/>
        </w:rPr>
        <w:t xml:space="preserve"> </w:t>
      </w:r>
      <w:r w:rsidR="006F65B4" w:rsidRPr="009C2ABF">
        <w:rPr>
          <w:rFonts w:cstheme="minorHAnsi"/>
          <w:bCs/>
          <w:color w:val="0000E1"/>
        </w:rPr>
        <w:t>Risk adjustment for socioeconomic status or</w:t>
      </w:r>
      <w:r w:rsidR="002350B1">
        <w:rPr>
          <w:rFonts w:cstheme="minorHAnsi"/>
          <w:bCs/>
          <w:color w:val="0000E1"/>
        </w:rPr>
        <w:t xml:space="preserve"> other sociodemographic factors</w:t>
      </w:r>
      <w:r w:rsidR="006F65B4" w:rsidRPr="009C2ABF">
        <w:rPr>
          <w:rFonts w:cstheme="minorHAnsi"/>
          <w:bCs/>
          <w:color w:val="0000E1"/>
        </w:rPr>
        <w:t>. 2014. Available at:</w:t>
      </w:r>
      <w:r w:rsidR="004A4119">
        <w:rPr>
          <w:rFonts w:cstheme="minorHAnsi"/>
          <w:bCs/>
          <w:color w:val="0000E1"/>
        </w:rPr>
        <w:t xml:space="preserve"> </w:t>
      </w:r>
      <w:r w:rsidR="006F65B4" w:rsidRPr="009C2ABF">
        <w:rPr>
          <w:rFonts w:cstheme="minorHAnsi"/>
          <w:bCs/>
          <w:color w:val="0000E1"/>
        </w:rPr>
        <w:t>http://www.qualityforum.org/WorkArea/linkit.aspx?LinkIdentifier=id&amp;Item</w:t>
      </w:r>
      <w:r>
        <w:rPr>
          <w:rFonts w:cstheme="minorHAnsi"/>
          <w:bCs/>
          <w:color w:val="0000E1"/>
        </w:rPr>
        <w:t>ID=77474.</w:t>
      </w:r>
    </w:p>
    <w:p w14:paraId="3AD4DF02" w14:textId="77777777" w:rsidR="006F65B4" w:rsidRDefault="006F65B4" w:rsidP="006F65B4">
      <w:pPr>
        <w:pStyle w:val="HTMLPreformatted"/>
        <w:numPr>
          <w:ilvl w:val="0"/>
          <w:numId w:val="14"/>
        </w:numPr>
        <w:ind w:left="360"/>
        <w:rPr>
          <w:rFonts w:asciiTheme="minorHAnsi" w:hAnsiTheme="minorHAnsi" w:cstheme="minorHAnsi"/>
          <w:color w:val="0000E1"/>
          <w:sz w:val="22"/>
          <w:szCs w:val="22"/>
        </w:rPr>
      </w:pPr>
      <w:r w:rsidRPr="009739BD">
        <w:rPr>
          <w:rFonts w:asciiTheme="minorHAnsi" w:hAnsiTheme="minorHAnsi" w:cstheme="minorHAnsi"/>
          <w:color w:val="0000E1"/>
          <w:sz w:val="22"/>
          <w:szCs w:val="22"/>
        </w:rPr>
        <w:t xml:space="preserve">Murray MD, Morrow DG, Weiner M, et al. A conceptual framework to study medication adherence in older adults. Am J </w:t>
      </w:r>
      <w:proofErr w:type="spellStart"/>
      <w:r w:rsidRPr="009739BD">
        <w:rPr>
          <w:rFonts w:asciiTheme="minorHAnsi" w:hAnsiTheme="minorHAnsi" w:cstheme="minorHAnsi"/>
          <w:color w:val="0000E1"/>
          <w:sz w:val="22"/>
          <w:szCs w:val="22"/>
        </w:rPr>
        <w:t>Geriatr</w:t>
      </w:r>
      <w:proofErr w:type="spellEnd"/>
      <w:r w:rsidRPr="009739BD">
        <w:rPr>
          <w:rFonts w:asciiTheme="minorHAnsi" w:hAnsiTheme="minorHAnsi" w:cstheme="minorHAnsi"/>
          <w:color w:val="0000E1"/>
          <w:sz w:val="22"/>
          <w:szCs w:val="22"/>
        </w:rPr>
        <w:t xml:space="preserve"> </w:t>
      </w:r>
      <w:proofErr w:type="spellStart"/>
      <w:r w:rsidRPr="009739BD">
        <w:rPr>
          <w:rFonts w:asciiTheme="minorHAnsi" w:hAnsiTheme="minorHAnsi" w:cstheme="minorHAnsi"/>
          <w:color w:val="0000E1"/>
          <w:sz w:val="22"/>
          <w:szCs w:val="22"/>
        </w:rPr>
        <w:t>Pharmacother</w:t>
      </w:r>
      <w:proofErr w:type="spellEnd"/>
      <w:r w:rsidRPr="009739BD">
        <w:rPr>
          <w:rFonts w:asciiTheme="minorHAnsi" w:hAnsiTheme="minorHAnsi" w:cstheme="minorHAnsi"/>
          <w:color w:val="0000E1"/>
          <w:sz w:val="22"/>
          <w:szCs w:val="22"/>
        </w:rPr>
        <w:t xml:space="preserve">. 2004;2(1):36-43. </w:t>
      </w:r>
      <w:hyperlink r:id="rId38" w:history="1">
        <w:r w:rsidRPr="009739BD">
          <w:rPr>
            <w:rStyle w:val="Hyperlink"/>
            <w:rFonts w:asciiTheme="minorHAnsi" w:hAnsiTheme="minorHAnsi" w:cstheme="minorHAnsi"/>
            <w:color w:val="0000E1"/>
            <w:sz w:val="22"/>
            <w:szCs w:val="22"/>
          </w:rPr>
          <w:t>PMID: 15555477</w:t>
        </w:r>
      </w:hyperlink>
      <w:r w:rsidRPr="009739BD">
        <w:rPr>
          <w:rFonts w:asciiTheme="minorHAnsi" w:hAnsiTheme="minorHAnsi" w:cstheme="minorHAnsi"/>
          <w:color w:val="0000E1"/>
          <w:sz w:val="22"/>
          <w:szCs w:val="22"/>
        </w:rPr>
        <w:t>.</w:t>
      </w:r>
    </w:p>
    <w:p w14:paraId="137C345C" w14:textId="77777777" w:rsidR="006F65B4" w:rsidRPr="009C2ABF" w:rsidRDefault="006F65B4" w:rsidP="006F65B4">
      <w:pPr>
        <w:pStyle w:val="HTMLPreformatted"/>
        <w:numPr>
          <w:ilvl w:val="0"/>
          <w:numId w:val="14"/>
        </w:numPr>
        <w:ind w:left="360"/>
        <w:rPr>
          <w:rFonts w:asciiTheme="minorHAnsi" w:hAnsiTheme="minorHAnsi" w:cstheme="minorHAnsi"/>
          <w:color w:val="0000E1"/>
          <w:sz w:val="22"/>
          <w:szCs w:val="22"/>
        </w:rPr>
      </w:pPr>
      <w:proofErr w:type="spellStart"/>
      <w:r w:rsidRPr="009C2ABF">
        <w:rPr>
          <w:rFonts w:asciiTheme="minorHAnsi" w:hAnsiTheme="minorHAnsi" w:cstheme="minorHAnsi"/>
          <w:color w:val="0000E1"/>
          <w:sz w:val="22"/>
          <w:szCs w:val="22"/>
        </w:rPr>
        <w:t>Kardas</w:t>
      </w:r>
      <w:proofErr w:type="spellEnd"/>
      <w:r w:rsidRPr="009C2ABF">
        <w:rPr>
          <w:rFonts w:asciiTheme="minorHAnsi" w:hAnsiTheme="minorHAnsi" w:cstheme="minorHAnsi"/>
          <w:color w:val="0000E1"/>
          <w:sz w:val="22"/>
          <w:szCs w:val="22"/>
        </w:rPr>
        <w:t xml:space="preserve"> P, </w:t>
      </w:r>
      <w:proofErr w:type="spellStart"/>
      <w:r w:rsidRPr="009C2ABF">
        <w:rPr>
          <w:rFonts w:asciiTheme="minorHAnsi" w:hAnsiTheme="minorHAnsi" w:cstheme="minorHAnsi"/>
          <w:color w:val="0000E1"/>
          <w:sz w:val="22"/>
          <w:szCs w:val="22"/>
        </w:rPr>
        <w:t>Lewek</w:t>
      </w:r>
      <w:proofErr w:type="spellEnd"/>
      <w:r w:rsidRPr="009C2ABF">
        <w:rPr>
          <w:rFonts w:asciiTheme="minorHAnsi" w:hAnsiTheme="minorHAnsi" w:cstheme="minorHAnsi"/>
          <w:color w:val="0000E1"/>
          <w:sz w:val="22"/>
          <w:szCs w:val="22"/>
        </w:rPr>
        <w:t xml:space="preserve"> P, </w:t>
      </w:r>
      <w:proofErr w:type="spellStart"/>
      <w:r w:rsidRPr="009C2ABF">
        <w:rPr>
          <w:rFonts w:asciiTheme="minorHAnsi" w:hAnsiTheme="minorHAnsi" w:cstheme="minorHAnsi"/>
          <w:color w:val="0000E1"/>
          <w:sz w:val="22"/>
          <w:szCs w:val="22"/>
        </w:rPr>
        <w:t>Matyjaszczyk</w:t>
      </w:r>
      <w:proofErr w:type="spellEnd"/>
      <w:r w:rsidRPr="009C2ABF">
        <w:rPr>
          <w:rFonts w:asciiTheme="minorHAnsi" w:hAnsiTheme="minorHAnsi" w:cstheme="minorHAnsi"/>
          <w:color w:val="0000E1"/>
          <w:sz w:val="22"/>
          <w:szCs w:val="22"/>
        </w:rPr>
        <w:t xml:space="preserve"> M. Determinants of patient adherence: a review of systematic reviews. Front </w:t>
      </w:r>
      <w:proofErr w:type="spellStart"/>
      <w:r w:rsidRPr="009C2ABF">
        <w:rPr>
          <w:rFonts w:asciiTheme="minorHAnsi" w:hAnsiTheme="minorHAnsi" w:cstheme="minorHAnsi"/>
          <w:color w:val="0000E1"/>
          <w:sz w:val="22"/>
          <w:szCs w:val="22"/>
        </w:rPr>
        <w:t>Pharmacol</w:t>
      </w:r>
      <w:proofErr w:type="spellEnd"/>
      <w:r w:rsidRPr="009C2ABF">
        <w:rPr>
          <w:rFonts w:asciiTheme="minorHAnsi" w:hAnsiTheme="minorHAnsi" w:cstheme="minorHAnsi"/>
          <w:color w:val="0000E1"/>
          <w:sz w:val="22"/>
          <w:szCs w:val="22"/>
        </w:rPr>
        <w:t>. 2013;</w:t>
      </w:r>
      <w:proofErr w:type="gramStart"/>
      <w:r w:rsidRPr="009C2ABF">
        <w:rPr>
          <w:rFonts w:asciiTheme="minorHAnsi" w:hAnsiTheme="minorHAnsi" w:cstheme="minorHAnsi"/>
          <w:color w:val="0000E1"/>
          <w:sz w:val="22"/>
          <w:szCs w:val="22"/>
        </w:rPr>
        <w:t>25;4:91</w:t>
      </w:r>
      <w:proofErr w:type="gramEnd"/>
      <w:r w:rsidRPr="009C2ABF">
        <w:rPr>
          <w:rFonts w:asciiTheme="minorHAnsi" w:hAnsiTheme="minorHAnsi" w:cstheme="minorHAnsi"/>
          <w:color w:val="0000E1"/>
          <w:sz w:val="22"/>
          <w:szCs w:val="22"/>
        </w:rPr>
        <w:t xml:space="preserve">. PubMed </w:t>
      </w:r>
      <w:hyperlink r:id="rId39" w:history="1">
        <w:r w:rsidRPr="009C2ABF">
          <w:rPr>
            <w:rStyle w:val="Hyperlink"/>
            <w:rFonts w:asciiTheme="minorHAnsi" w:hAnsiTheme="minorHAnsi" w:cstheme="minorHAnsi"/>
            <w:color w:val="0000E1"/>
            <w:sz w:val="22"/>
            <w:szCs w:val="22"/>
          </w:rPr>
          <w:t>PMID: 23898295</w:t>
        </w:r>
      </w:hyperlink>
      <w:r w:rsidRPr="009C2ABF">
        <w:rPr>
          <w:rFonts w:asciiTheme="minorHAnsi" w:hAnsiTheme="minorHAnsi" w:cstheme="minorHAnsi"/>
          <w:color w:val="0000E1"/>
          <w:sz w:val="22"/>
          <w:szCs w:val="22"/>
        </w:rPr>
        <w:t>.</w:t>
      </w:r>
    </w:p>
    <w:p w14:paraId="1EF15EBA" w14:textId="77777777" w:rsidR="006F65B4" w:rsidRPr="009C2ABF" w:rsidRDefault="006F65B4" w:rsidP="006F65B4">
      <w:pPr>
        <w:pStyle w:val="HTMLPreformatted"/>
        <w:numPr>
          <w:ilvl w:val="0"/>
          <w:numId w:val="14"/>
        </w:numPr>
        <w:ind w:left="360"/>
        <w:rPr>
          <w:rFonts w:asciiTheme="minorHAnsi" w:hAnsiTheme="minorHAnsi" w:cstheme="minorHAnsi"/>
          <w:color w:val="0000E1"/>
          <w:sz w:val="22"/>
          <w:szCs w:val="22"/>
        </w:rPr>
      </w:pPr>
      <w:r w:rsidRPr="009C2ABF">
        <w:rPr>
          <w:rFonts w:asciiTheme="minorHAnsi" w:hAnsiTheme="minorHAnsi" w:cstheme="minorHAnsi"/>
          <w:color w:val="0000E1"/>
          <w:sz w:val="22"/>
          <w:szCs w:val="22"/>
        </w:rPr>
        <w:t xml:space="preserve">Munro SA, Lewin SA, Smith HJ, Engel ME, Fretheim A, Volmink J. Patient adherence to tuberculosis treatment: a systematic review of qualitative research. </w:t>
      </w:r>
      <w:proofErr w:type="spellStart"/>
      <w:r w:rsidRPr="009C2ABF">
        <w:rPr>
          <w:rFonts w:asciiTheme="minorHAnsi" w:hAnsiTheme="minorHAnsi" w:cstheme="minorHAnsi"/>
          <w:color w:val="0000E1"/>
          <w:sz w:val="22"/>
          <w:szCs w:val="22"/>
        </w:rPr>
        <w:t>PLoS</w:t>
      </w:r>
      <w:proofErr w:type="spellEnd"/>
      <w:r w:rsidRPr="009C2ABF">
        <w:rPr>
          <w:rFonts w:asciiTheme="minorHAnsi" w:hAnsiTheme="minorHAnsi" w:cstheme="minorHAnsi"/>
          <w:color w:val="0000E1"/>
          <w:sz w:val="22"/>
          <w:szCs w:val="22"/>
        </w:rPr>
        <w:t xml:space="preserve"> Med. 2007;</w:t>
      </w:r>
      <w:r>
        <w:rPr>
          <w:rFonts w:asciiTheme="minorHAnsi" w:hAnsiTheme="minorHAnsi" w:cstheme="minorHAnsi"/>
          <w:color w:val="0000E1"/>
          <w:sz w:val="22"/>
          <w:szCs w:val="22"/>
        </w:rPr>
        <w:t xml:space="preserve"> </w:t>
      </w:r>
      <w:r w:rsidRPr="009C2ABF">
        <w:rPr>
          <w:rFonts w:asciiTheme="minorHAnsi" w:hAnsiTheme="minorHAnsi" w:cstheme="minorHAnsi"/>
          <w:color w:val="0000E1"/>
          <w:sz w:val="22"/>
          <w:szCs w:val="22"/>
        </w:rPr>
        <w:t>24;4(7</w:t>
      </w:r>
      <w:proofErr w:type="gramStart"/>
      <w:r w:rsidRPr="009C2ABF">
        <w:rPr>
          <w:rFonts w:asciiTheme="minorHAnsi" w:hAnsiTheme="minorHAnsi" w:cstheme="minorHAnsi"/>
          <w:color w:val="0000E1"/>
          <w:sz w:val="22"/>
          <w:szCs w:val="22"/>
        </w:rPr>
        <w:t>):e</w:t>
      </w:r>
      <w:proofErr w:type="gramEnd"/>
      <w:r w:rsidRPr="009C2ABF">
        <w:rPr>
          <w:rFonts w:asciiTheme="minorHAnsi" w:hAnsiTheme="minorHAnsi" w:cstheme="minorHAnsi"/>
          <w:color w:val="0000E1"/>
          <w:sz w:val="22"/>
          <w:szCs w:val="22"/>
        </w:rPr>
        <w:t xml:space="preserve">238. </w:t>
      </w:r>
      <w:hyperlink r:id="rId40" w:history="1">
        <w:r w:rsidRPr="009C2ABF">
          <w:rPr>
            <w:rStyle w:val="Hyperlink"/>
            <w:rFonts w:asciiTheme="minorHAnsi" w:hAnsiTheme="minorHAnsi" w:cstheme="minorHAnsi"/>
            <w:color w:val="0000E1"/>
            <w:sz w:val="22"/>
            <w:szCs w:val="22"/>
          </w:rPr>
          <w:t>PMID: 17676945</w:t>
        </w:r>
      </w:hyperlink>
      <w:r w:rsidRPr="009C2ABF">
        <w:rPr>
          <w:rFonts w:asciiTheme="minorHAnsi" w:hAnsiTheme="minorHAnsi" w:cstheme="minorHAnsi"/>
          <w:color w:val="0000E1"/>
          <w:sz w:val="22"/>
          <w:szCs w:val="22"/>
        </w:rPr>
        <w:t>.</w:t>
      </w:r>
    </w:p>
    <w:p w14:paraId="2CCBCCFA" w14:textId="77777777" w:rsidR="006F65B4" w:rsidRPr="009C2ABF" w:rsidRDefault="006F65B4" w:rsidP="006F65B4">
      <w:pPr>
        <w:pStyle w:val="HTMLPreformatted"/>
        <w:numPr>
          <w:ilvl w:val="0"/>
          <w:numId w:val="14"/>
        </w:numPr>
        <w:ind w:left="360"/>
        <w:rPr>
          <w:rFonts w:asciiTheme="minorHAnsi" w:hAnsiTheme="minorHAnsi" w:cstheme="minorHAnsi"/>
          <w:color w:val="0000E1"/>
          <w:sz w:val="22"/>
          <w:szCs w:val="22"/>
        </w:rPr>
      </w:pPr>
      <w:r w:rsidRPr="009C2ABF">
        <w:rPr>
          <w:rFonts w:asciiTheme="minorHAnsi" w:hAnsiTheme="minorHAnsi" w:cstheme="minorHAnsi"/>
          <w:color w:val="0000E1"/>
          <w:sz w:val="22"/>
          <w:szCs w:val="22"/>
        </w:rPr>
        <w:t>Ruddy K, Mayer E, Partridge A. Patient adherence and persistence with oral anticancer treatment. CA Cancer J Clin. 2009;</w:t>
      </w:r>
      <w:r>
        <w:rPr>
          <w:rFonts w:asciiTheme="minorHAnsi" w:hAnsiTheme="minorHAnsi" w:cstheme="minorHAnsi"/>
          <w:color w:val="0000E1"/>
          <w:sz w:val="22"/>
          <w:szCs w:val="22"/>
        </w:rPr>
        <w:t xml:space="preserve"> </w:t>
      </w:r>
      <w:r w:rsidRPr="009C2ABF">
        <w:rPr>
          <w:rFonts w:asciiTheme="minorHAnsi" w:hAnsiTheme="minorHAnsi" w:cstheme="minorHAnsi"/>
          <w:color w:val="0000E1"/>
          <w:sz w:val="22"/>
          <w:szCs w:val="22"/>
        </w:rPr>
        <w:t xml:space="preserve">59(1):56-66. </w:t>
      </w:r>
      <w:hyperlink r:id="rId41" w:history="1">
        <w:r w:rsidRPr="009C2ABF">
          <w:rPr>
            <w:rStyle w:val="Hyperlink"/>
            <w:rFonts w:asciiTheme="minorHAnsi" w:hAnsiTheme="minorHAnsi" w:cstheme="minorHAnsi"/>
            <w:color w:val="0000E1"/>
            <w:sz w:val="22"/>
            <w:szCs w:val="22"/>
          </w:rPr>
          <w:t>PMID: 19147869</w:t>
        </w:r>
      </w:hyperlink>
      <w:r w:rsidRPr="009C2ABF">
        <w:rPr>
          <w:rFonts w:asciiTheme="minorHAnsi" w:hAnsiTheme="minorHAnsi" w:cstheme="minorHAnsi"/>
          <w:color w:val="0000E1"/>
          <w:sz w:val="22"/>
          <w:szCs w:val="22"/>
        </w:rPr>
        <w:t>.</w:t>
      </w:r>
    </w:p>
    <w:p w14:paraId="218370A2" w14:textId="77777777" w:rsidR="003D4D56" w:rsidRPr="003D4D56" w:rsidRDefault="003D4D56" w:rsidP="003D4D56">
      <w:pPr>
        <w:pStyle w:val="HTMLPreformatted"/>
        <w:numPr>
          <w:ilvl w:val="0"/>
          <w:numId w:val="14"/>
        </w:numPr>
        <w:ind w:left="360"/>
        <w:rPr>
          <w:rFonts w:asciiTheme="minorHAnsi" w:hAnsiTheme="minorHAnsi" w:cstheme="minorHAnsi"/>
          <w:color w:val="0000E1"/>
          <w:sz w:val="22"/>
          <w:szCs w:val="22"/>
        </w:rPr>
      </w:pPr>
      <w:r w:rsidRPr="009C2ABF">
        <w:rPr>
          <w:rFonts w:asciiTheme="minorHAnsi" w:hAnsiTheme="minorHAnsi" w:cstheme="minorHAnsi"/>
          <w:color w:val="0000E1"/>
          <w:sz w:val="22"/>
          <w:szCs w:val="22"/>
        </w:rPr>
        <w:t xml:space="preserve">Jindal RM, Joseph JT, Morris MC, </w:t>
      </w:r>
      <w:proofErr w:type="spellStart"/>
      <w:r w:rsidRPr="009C2ABF">
        <w:rPr>
          <w:rFonts w:asciiTheme="minorHAnsi" w:hAnsiTheme="minorHAnsi" w:cstheme="minorHAnsi"/>
          <w:color w:val="0000E1"/>
          <w:sz w:val="22"/>
          <w:szCs w:val="22"/>
        </w:rPr>
        <w:t>Santella</w:t>
      </w:r>
      <w:proofErr w:type="spellEnd"/>
      <w:r w:rsidRPr="009C2ABF">
        <w:rPr>
          <w:rFonts w:asciiTheme="minorHAnsi" w:hAnsiTheme="minorHAnsi" w:cstheme="minorHAnsi"/>
          <w:color w:val="0000E1"/>
          <w:sz w:val="22"/>
          <w:szCs w:val="22"/>
        </w:rPr>
        <w:t xml:space="preserve"> RN, Baines LS. Noncompliance after kidney transplantation: a systematic review. Transplant Proc. 2003;</w:t>
      </w:r>
      <w:r>
        <w:rPr>
          <w:rFonts w:asciiTheme="minorHAnsi" w:hAnsiTheme="minorHAnsi" w:cstheme="minorHAnsi"/>
          <w:color w:val="0000E1"/>
          <w:sz w:val="22"/>
          <w:szCs w:val="22"/>
        </w:rPr>
        <w:t xml:space="preserve"> </w:t>
      </w:r>
      <w:r w:rsidRPr="009C2ABF">
        <w:rPr>
          <w:rFonts w:asciiTheme="minorHAnsi" w:hAnsiTheme="minorHAnsi" w:cstheme="minorHAnsi"/>
          <w:color w:val="0000E1"/>
          <w:sz w:val="22"/>
          <w:szCs w:val="22"/>
        </w:rPr>
        <w:t xml:space="preserve">35(8):2868-72. PMID: </w:t>
      </w:r>
      <w:hyperlink r:id="rId42" w:history="1">
        <w:r w:rsidRPr="009C2ABF">
          <w:rPr>
            <w:rStyle w:val="Hyperlink"/>
            <w:rFonts w:asciiTheme="minorHAnsi" w:hAnsiTheme="minorHAnsi" w:cstheme="minorHAnsi"/>
            <w:color w:val="0000E1"/>
            <w:sz w:val="22"/>
            <w:szCs w:val="22"/>
          </w:rPr>
          <w:t>14697924</w:t>
        </w:r>
      </w:hyperlink>
      <w:r w:rsidRPr="009C2ABF">
        <w:rPr>
          <w:rFonts w:asciiTheme="minorHAnsi" w:hAnsiTheme="minorHAnsi" w:cstheme="minorHAnsi"/>
          <w:color w:val="0000E1"/>
          <w:sz w:val="22"/>
          <w:szCs w:val="22"/>
        </w:rPr>
        <w:t>.</w:t>
      </w:r>
    </w:p>
    <w:p w14:paraId="4A84BA36" w14:textId="77777777" w:rsidR="003D4D56" w:rsidRPr="009C2ABF" w:rsidRDefault="003D4D56" w:rsidP="003D4D56">
      <w:pPr>
        <w:pStyle w:val="HTMLPreformatted"/>
        <w:numPr>
          <w:ilvl w:val="0"/>
          <w:numId w:val="14"/>
        </w:numPr>
        <w:ind w:left="360"/>
        <w:rPr>
          <w:rFonts w:asciiTheme="minorHAnsi" w:hAnsiTheme="minorHAnsi"/>
          <w:color w:val="0000E1"/>
          <w:sz w:val="22"/>
          <w:szCs w:val="22"/>
        </w:rPr>
      </w:pPr>
      <w:r w:rsidRPr="009C2ABF">
        <w:rPr>
          <w:rFonts w:asciiTheme="minorHAnsi" w:hAnsiTheme="minorHAnsi"/>
          <w:color w:val="0000E1"/>
          <w:sz w:val="22"/>
          <w:szCs w:val="22"/>
        </w:rPr>
        <w:t xml:space="preserve">Costello K, Kennedy P, </w:t>
      </w:r>
      <w:proofErr w:type="spellStart"/>
      <w:r w:rsidRPr="009C2ABF">
        <w:rPr>
          <w:rFonts w:asciiTheme="minorHAnsi" w:hAnsiTheme="minorHAnsi"/>
          <w:color w:val="0000E1"/>
          <w:sz w:val="22"/>
          <w:szCs w:val="22"/>
        </w:rPr>
        <w:t>Scanzillo</w:t>
      </w:r>
      <w:proofErr w:type="spellEnd"/>
      <w:r w:rsidRPr="009C2ABF">
        <w:rPr>
          <w:rFonts w:asciiTheme="minorHAnsi" w:hAnsiTheme="minorHAnsi"/>
          <w:color w:val="0000E1"/>
          <w:sz w:val="22"/>
          <w:szCs w:val="22"/>
        </w:rPr>
        <w:t xml:space="preserve"> J. Recognizing nonadherence in patients with </w:t>
      </w:r>
    </w:p>
    <w:p w14:paraId="60E88EC5" w14:textId="77777777" w:rsidR="003D4D56" w:rsidRPr="009C2ABF" w:rsidRDefault="003D4D56" w:rsidP="003D4D56">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eastAsia="Times New Roman" w:cs="Courier New"/>
          <w:color w:val="0000E1"/>
        </w:rPr>
      </w:pPr>
      <w:r w:rsidRPr="009C2ABF">
        <w:rPr>
          <w:rFonts w:eastAsia="Times New Roman" w:cs="Courier New"/>
          <w:color w:val="0000E1"/>
        </w:rPr>
        <w:t>multiple sclerosis and maintaining treatment adherence in the long term. Medscape</w:t>
      </w:r>
    </w:p>
    <w:p w14:paraId="54B9FDA6" w14:textId="77777777" w:rsidR="003D4D56" w:rsidRPr="009C2ABF" w:rsidRDefault="003D4D56" w:rsidP="003D4D56">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eastAsia="Times New Roman" w:cs="Courier New"/>
          <w:color w:val="0000E1"/>
        </w:rPr>
      </w:pPr>
      <w:r w:rsidRPr="009C2ABF">
        <w:rPr>
          <w:rFonts w:eastAsia="Times New Roman" w:cs="Courier New"/>
          <w:color w:val="0000E1"/>
        </w:rPr>
        <w:t>J Med. 2008;</w:t>
      </w:r>
      <w:r>
        <w:rPr>
          <w:rFonts w:eastAsia="Times New Roman" w:cs="Courier New"/>
          <w:color w:val="0000E1"/>
        </w:rPr>
        <w:t xml:space="preserve"> </w:t>
      </w:r>
      <w:r w:rsidRPr="009C2ABF">
        <w:rPr>
          <w:rFonts w:eastAsia="Times New Roman" w:cs="Courier New"/>
          <w:color w:val="0000E1"/>
        </w:rPr>
        <w:t xml:space="preserve">10(9):225. </w:t>
      </w:r>
      <w:hyperlink r:id="rId43" w:history="1">
        <w:r w:rsidRPr="009C2ABF">
          <w:rPr>
            <w:rStyle w:val="Hyperlink"/>
            <w:rFonts w:eastAsia="Times New Roman" w:cs="Courier New"/>
            <w:color w:val="0000E1"/>
          </w:rPr>
          <w:t>PMID: 19008986</w:t>
        </w:r>
      </w:hyperlink>
      <w:r w:rsidRPr="009C2ABF">
        <w:rPr>
          <w:rFonts w:eastAsia="Times New Roman" w:cs="Courier New"/>
          <w:color w:val="0000E1"/>
        </w:rPr>
        <w:t>.</w:t>
      </w:r>
    </w:p>
    <w:p w14:paraId="7E449A39" w14:textId="77777777" w:rsidR="003D4D56" w:rsidRPr="009C2ABF" w:rsidRDefault="003D4D56" w:rsidP="003D4D56">
      <w:pPr>
        <w:pStyle w:val="ListParagraph"/>
        <w:numPr>
          <w:ilvl w:val="0"/>
          <w:numId w:val="14"/>
        </w:numPr>
        <w:spacing w:after="0" w:line="240" w:lineRule="auto"/>
        <w:ind w:left="360"/>
        <w:rPr>
          <w:rFonts w:cstheme="minorHAnsi"/>
          <w:color w:val="0000E1"/>
        </w:rPr>
      </w:pPr>
      <w:proofErr w:type="spellStart"/>
      <w:r w:rsidRPr="009C2ABF">
        <w:rPr>
          <w:color w:val="0000E1"/>
        </w:rPr>
        <w:t>Vreeman</w:t>
      </w:r>
      <w:proofErr w:type="spellEnd"/>
      <w:r w:rsidRPr="009C2ABF">
        <w:rPr>
          <w:color w:val="0000E1"/>
        </w:rPr>
        <w:t xml:space="preserve"> RC, </w:t>
      </w:r>
      <w:proofErr w:type="spellStart"/>
      <w:r w:rsidRPr="009C2ABF">
        <w:rPr>
          <w:color w:val="0000E1"/>
        </w:rPr>
        <w:t>Wiehe</w:t>
      </w:r>
      <w:proofErr w:type="spellEnd"/>
      <w:r w:rsidRPr="009C2ABF">
        <w:rPr>
          <w:color w:val="0000E1"/>
        </w:rPr>
        <w:t xml:space="preserve"> SE, Pearce EC, </w:t>
      </w:r>
      <w:proofErr w:type="spellStart"/>
      <w:r w:rsidRPr="009C2ABF">
        <w:rPr>
          <w:color w:val="0000E1"/>
        </w:rPr>
        <w:t>Nyandiko</w:t>
      </w:r>
      <w:proofErr w:type="spellEnd"/>
      <w:r w:rsidRPr="009C2ABF">
        <w:rPr>
          <w:color w:val="0000E1"/>
        </w:rPr>
        <w:t xml:space="preserve"> WM. A systematic review of pediatric </w:t>
      </w:r>
      <w:r w:rsidRPr="009C2ABF">
        <w:rPr>
          <w:rFonts w:eastAsia="Times New Roman" w:cs="Courier New"/>
          <w:color w:val="0000E1"/>
        </w:rPr>
        <w:t xml:space="preserve">adherence to antiretroviral therapy in low- and middle-income countries. </w:t>
      </w:r>
      <w:proofErr w:type="spellStart"/>
      <w:r w:rsidRPr="009C2ABF">
        <w:rPr>
          <w:rFonts w:eastAsia="Times New Roman" w:cs="Courier New"/>
          <w:color w:val="0000E1"/>
        </w:rPr>
        <w:t>Pediatr</w:t>
      </w:r>
      <w:proofErr w:type="spellEnd"/>
      <w:r w:rsidRPr="009C2ABF">
        <w:rPr>
          <w:color w:val="0000E1"/>
        </w:rPr>
        <w:t xml:space="preserve"> Infect Dis J. 2008</w:t>
      </w:r>
      <w:r>
        <w:rPr>
          <w:color w:val="0000E1"/>
        </w:rPr>
        <w:t xml:space="preserve"> </w:t>
      </w:r>
      <w:r w:rsidRPr="009C2ABF">
        <w:rPr>
          <w:rFonts w:eastAsia="Times New Roman" w:cs="Courier New"/>
          <w:color w:val="0000E1"/>
        </w:rPr>
        <w:t xml:space="preserve">;27(8):686-91. </w:t>
      </w:r>
      <w:hyperlink r:id="rId44" w:history="1">
        <w:r w:rsidRPr="009C2ABF">
          <w:rPr>
            <w:rStyle w:val="Hyperlink"/>
            <w:color w:val="0000E1"/>
          </w:rPr>
          <w:t>PMID: 18574439</w:t>
        </w:r>
      </w:hyperlink>
      <w:r w:rsidRPr="009C2ABF">
        <w:rPr>
          <w:rFonts w:eastAsia="Times New Roman" w:cs="Courier New"/>
          <w:color w:val="0000E1"/>
        </w:rPr>
        <w:t>.</w:t>
      </w:r>
    </w:p>
    <w:p w14:paraId="28DD8381" w14:textId="77777777" w:rsidR="003D4D56" w:rsidRPr="009C2ABF" w:rsidRDefault="003D4D56" w:rsidP="003D4D56">
      <w:pPr>
        <w:pStyle w:val="HTMLPreformatted"/>
        <w:numPr>
          <w:ilvl w:val="0"/>
          <w:numId w:val="14"/>
        </w:numPr>
        <w:ind w:left="360"/>
        <w:rPr>
          <w:rFonts w:asciiTheme="minorHAnsi" w:hAnsiTheme="minorHAnsi" w:cstheme="minorHAnsi"/>
          <w:color w:val="0000E1"/>
          <w:sz w:val="22"/>
          <w:szCs w:val="22"/>
        </w:rPr>
      </w:pPr>
      <w:r w:rsidRPr="009C2ABF">
        <w:rPr>
          <w:rFonts w:asciiTheme="minorHAnsi" w:hAnsiTheme="minorHAnsi" w:cstheme="minorHAnsi"/>
          <w:color w:val="0000E1"/>
          <w:sz w:val="22"/>
          <w:szCs w:val="22"/>
        </w:rPr>
        <w:t xml:space="preserve">Young GJ, Rickles NM, Chou CH, Raver E. Socioeconomic characteristics of enrollees appear to influence performance scores for Medicare part D contractors. Health </w:t>
      </w:r>
      <w:proofErr w:type="spellStart"/>
      <w:r w:rsidRPr="009C2ABF">
        <w:rPr>
          <w:rFonts w:asciiTheme="minorHAnsi" w:hAnsiTheme="minorHAnsi" w:cstheme="minorHAnsi"/>
          <w:color w:val="0000E1"/>
          <w:sz w:val="22"/>
          <w:szCs w:val="22"/>
        </w:rPr>
        <w:t>Aff</w:t>
      </w:r>
      <w:proofErr w:type="spellEnd"/>
      <w:r w:rsidRPr="009C2ABF">
        <w:rPr>
          <w:rFonts w:asciiTheme="minorHAnsi" w:hAnsiTheme="minorHAnsi" w:cstheme="minorHAnsi"/>
          <w:color w:val="0000E1"/>
          <w:sz w:val="22"/>
          <w:szCs w:val="22"/>
        </w:rPr>
        <w:t>. 2014;</w:t>
      </w:r>
      <w:r>
        <w:rPr>
          <w:rFonts w:asciiTheme="minorHAnsi" w:hAnsiTheme="minorHAnsi" w:cstheme="minorHAnsi"/>
          <w:color w:val="0000E1"/>
          <w:sz w:val="22"/>
          <w:szCs w:val="22"/>
        </w:rPr>
        <w:t xml:space="preserve"> </w:t>
      </w:r>
      <w:r w:rsidRPr="009C2ABF">
        <w:rPr>
          <w:rFonts w:asciiTheme="minorHAnsi" w:hAnsiTheme="minorHAnsi" w:cstheme="minorHAnsi"/>
          <w:color w:val="0000E1"/>
          <w:sz w:val="22"/>
          <w:szCs w:val="22"/>
        </w:rPr>
        <w:t xml:space="preserve">33(1):140-6. </w:t>
      </w:r>
      <w:hyperlink r:id="rId45" w:history="1">
        <w:r w:rsidRPr="009C2ABF">
          <w:rPr>
            <w:rStyle w:val="Hyperlink"/>
            <w:rFonts w:asciiTheme="minorHAnsi" w:hAnsiTheme="minorHAnsi" w:cstheme="minorHAnsi"/>
            <w:color w:val="0000E1"/>
            <w:sz w:val="22"/>
            <w:szCs w:val="22"/>
          </w:rPr>
          <w:t>PMID: 24395946</w:t>
        </w:r>
      </w:hyperlink>
      <w:r w:rsidRPr="009C2ABF">
        <w:rPr>
          <w:rFonts w:asciiTheme="minorHAnsi" w:hAnsiTheme="minorHAnsi" w:cstheme="minorHAnsi"/>
          <w:color w:val="0000E1"/>
          <w:sz w:val="22"/>
          <w:szCs w:val="22"/>
        </w:rPr>
        <w:t>.</w:t>
      </w:r>
    </w:p>
    <w:p w14:paraId="550ABD02" w14:textId="77777777" w:rsidR="003D4D56" w:rsidRPr="003D4D56" w:rsidRDefault="003D4D56" w:rsidP="003D4D56">
      <w:pPr>
        <w:pStyle w:val="HTMLPreformatted"/>
        <w:numPr>
          <w:ilvl w:val="0"/>
          <w:numId w:val="14"/>
        </w:numPr>
        <w:ind w:left="360"/>
        <w:rPr>
          <w:rFonts w:asciiTheme="minorHAnsi" w:hAnsiTheme="minorHAnsi"/>
          <w:color w:val="0000E1"/>
          <w:sz w:val="22"/>
          <w:szCs w:val="22"/>
        </w:rPr>
      </w:pPr>
      <w:proofErr w:type="spellStart"/>
      <w:r w:rsidRPr="009C2ABF">
        <w:rPr>
          <w:rFonts w:asciiTheme="minorHAnsi" w:hAnsiTheme="minorHAnsi"/>
          <w:color w:val="0000E1"/>
          <w:sz w:val="22"/>
          <w:szCs w:val="22"/>
        </w:rPr>
        <w:t>Lanouette</w:t>
      </w:r>
      <w:proofErr w:type="spellEnd"/>
      <w:r w:rsidRPr="009C2ABF">
        <w:rPr>
          <w:rFonts w:asciiTheme="minorHAnsi" w:hAnsiTheme="minorHAnsi"/>
          <w:color w:val="0000E1"/>
          <w:sz w:val="22"/>
          <w:szCs w:val="22"/>
        </w:rPr>
        <w:t xml:space="preserve"> NM, Folsom DP, </w:t>
      </w:r>
      <w:proofErr w:type="spellStart"/>
      <w:r w:rsidRPr="009C2ABF">
        <w:rPr>
          <w:rFonts w:asciiTheme="minorHAnsi" w:hAnsiTheme="minorHAnsi"/>
          <w:color w:val="0000E1"/>
          <w:sz w:val="22"/>
          <w:szCs w:val="22"/>
        </w:rPr>
        <w:t>Sciolla</w:t>
      </w:r>
      <w:proofErr w:type="spellEnd"/>
      <w:r w:rsidRPr="009C2ABF">
        <w:rPr>
          <w:rFonts w:asciiTheme="minorHAnsi" w:hAnsiTheme="minorHAnsi"/>
          <w:color w:val="0000E1"/>
          <w:sz w:val="22"/>
          <w:szCs w:val="22"/>
        </w:rPr>
        <w:t xml:space="preserve"> A, </w:t>
      </w:r>
      <w:proofErr w:type="spellStart"/>
      <w:r w:rsidRPr="009C2ABF">
        <w:rPr>
          <w:rFonts w:asciiTheme="minorHAnsi" w:hAnsiTheme="minorHAnsi"/>
          <w:color w:val="0000E1"/>
          <w:sz w:val="22"/>
          <w:szCs w:val="22"/>
        </w:rPr>
        <w:t>Jeste</w:t>
      </w:r>
      <w:proofErr w:type="spellEnd"/>
      <w:r w:rsidRPr="009C2ABF">
        <w:rPr>
          <w:rFonts w:asciiTheme="minorHAnsi" w:hAnsiTheme="minorHAnsi"/>
          <w:color w:val="0000E1"/>
          <w:sz w:val="22"/>
          <w:szCs w:val="22"/>
        </w:rPr>
        <w:t xml:space="preserve"> DV. Psychotropic medication nonadherence among United States Latinos: a comprehensive literature review. </w:t>
      </w:r>
      <w:proofErr w:type="spellStart"/>
      <w:r w:rsidRPr="009C2ABF">
        <w:rPr>
          <w:rFonts w:asciiTheme="minorHAnsi" w:hAnsiTheme="minorHAnsi"/>
          <w:color w:val="0000E1"/>
          <w:sz w:val="22"/>
          <w:szCs w:val="22"/>
        </w:rPr>
        <w:t>Psychiatr</w:t>
      </w:r>
      <w:proofErr w:type="spellEnd"/>
      <w:r w:rsidRPr="009C2ABF">
        <w:rPr>
          <w:rFonts w:asciiTheme="minorHAnsi" w:hAnsiTheme="minorHAnsi"/>
          <w:color w:val="0000E1"/>
          <w:sz w:val="22"/>
          <w:szCs w:val="22"/>
        </w:rPr>
        <w:t xml:space="preserve"> Serv. 2009</w:t>
      </w:r>
      <w:r>
        <w:rPr>
          <w:rFonts w:asciiTheme="minorHAnsi" w:hAnsiTheme="minorHAnsi"/>
          <w:color w:val="0000E1"/>
          <w:sz w:val="22"/>
          <w:szCs w:val="22"/>
        </w:rPr>
        <w:t xml:space="preserve"> </w:t>
      </w:r>
      <w:r w:rsidRPr="009C2ABF">
        <w:rPr>
          <w:rFonts w:asciiTheme="minorHAnsi" w:hAnsiTheme="minorHAnsi"/>
          <w:color w:val="0000E1"/>
          <w:sz w:val="22"/>
          <w:szCs w:val="22"/>
        </w:rPr>
        <w:t xml:space="preserve">;60(2):157-74. </w:t>
      </w:r>
      <w:hyperlink r:id="rId46" w:history="1">
        <w:r w:rsidRPr="009C2ABF">
          <w:rPr>
            <w:rStyle w:val="Hyperlink"/>
            <w:rFonts w:asciiTheme="minorHAnsi" w:hAnsiTheme="minorHAnsi"/>
            <w:color w:val="0000E1"/>
            <w:sz w:val="22"/>
            <w:szCs w:val="22"/>
          </w:rPr>
          <w:t>PMID: 19176409</w:t>
        </w:r>
      </w:hyperlink>
      <w:r w:rsidRPr="009C2ABF">
        <w:rPr>
          <w:rFonts w:asciiTheme="minorHAnsi" w:hAnsiTheme="minorHAnsi"/>
          <w:color w:val="0000E1"/>
          <w:sz w:val="22"/>
          <w:szCs w:val="22"/>
        </w:rPr>
        <w:t>.</w:t>
      </w:r>
    </w:p>
    <w:p w14:paraId="1801EB11" w14:textId="77777777" w:rsidR="006F65B4" w:rsidRPr="009C2ABF" w:rsidRDefault="006F65B4" w:rsidP="006F65B4">
      <w:pPr>
        <w:pStyle w:val="HTMLPreformatted"/>
        <w:numPr>
          <w:ilvl w:val="0"/>
          <w:numId w:val="14"/>
        </w:numPr>
        <w:ind w:left="360"/>
        <w:rPr>
          <w:rFonts w:asciiTheme="minorHAnsi" w:hAnsiTheme="minorHAnsi" w:cstheme="minorHAnsi"/>
          <w:color w:val="0000E1"/>
          <w:sz w:val="22"/>
          <w:szCs w:val="22"/>
        </w:rPr>
      </w:pPr>
      <w:proofErr w:type="spellStart"/>
      <w:r w:rsidRPr="009C2ABF">
        <w:rPr>
          <w:rFonts w:asciiTheme="minorHAnsi" w:hAnsiTheme="minorHAnsi" w:cstheme="minorHAnsi"/>
          <w:color w:val="0000E1"/>
          <w:sz w:val="22"/>
          <w:szCs w:val="22"/>
        </w:rPr>
        <w:t>Oehl</w:t>
      </w:r>
      <w:proofErr w:type="spellEnd"/>
      <w:r w:rsidRPr="009C2ABF">
        <w:rPr>
          <w:rFonts w:asciiTheme="minorHAnsi" w:hAnsiTheme="minorHAnsi" w:cstheme="minorHAnsi"/>
          <w:color w:val="0000E1"/>
          <w:sz w:val="22"/>
          <w:szCs w:val="22"/>
        </w:rPr>
        <w:t xml:space="preserve"> M, Hummer M, </w:t>
      </w:r>
      <w:proofErr w:type="spellStart"/>
      <w:r w:rsidRPr="009C2ABF">
        <w:rPr>
          <w:rFonts w:asciiTheme="minorHAnsi" w:hAnsiTheme="minorHAnsi" w:cstheme="minorHAnsi"/>
          <w:color w:val="0000E1"/>
          <w:sz w:val="22"/>
          <w:szCs w:val="22"/>
        </w:rPr>
        <w:t>Fleischhacker</w:t>
      </w:r>
      <w:proofErr w:type="spellEnd"/>
      <w:r w:rsidRPr="009C2ABF">
        <w:rPr>
          <w:rFonts w:asciiTheme="minorHAnsi" w:hAnsiTheme="minorHAnsi" w:cstheme="minorHAnsi"/>
          <w:color w:val="0000E1"/>
          <w:sz w:val="22"/>
          <w:szCs w:val="22"/>
        </w:rPr>
        <w:t xml:space="preserve"> WW. Compliance with antipsychotic treatment. Acta </w:t>
      </w:r>
      <w:proofErr w:type="spellStart"/>
      <w:r w:rsidRPr="009C2ABF">
        <w:rPr>
          <w:rFonts w:asciiTheme="minorHAnsi" w:hAnsiTheme="minorHAnsi" w:cstheme="minorHAnsi"/>
          <w:color w:val="0000E1"/>
          <w:sz w:val="22"/>
          <w:szCs w:val="22"/>
        </w:rPr>
        <w:t>Psychiatr</w:t>
      </w:r>
      <w:proofErr w:type="spellEnd"/>
      <w:r w:rsidRPr="009C2ABF">
        <w:rPr>
          <w:rFonts w:asciiTheme="minorHAnsi" w:hAnsiTheme="minorHAnsi" w:cstheme="minorHAnsi"/>
          <w:color w:val="0000E1"/>
          <w:sz w:val="22"/>
          <w:szCs w:val="22"/>
        </w:rPr>
        <w:t xml:space="preserve"> </w:t>
      </w:r>
      <w:proofErr w:type="spellStart"/>
      <w:r w:rsidRPr="009C2ABF">
        <w:rPr>
          <w:rFonts w:asciiTheme="minorHAnsi" w:hAnsiTheme="minorHAnsi" w:cstheme="minorHAnsi"/>
          <w:color w:val="0000E1"/>
          <w:sz w:val="22"/>
          <w:szCs w:val="22"/>
        </w:rPr>
        <w:t>Scand</w:t>
      </w:r>
      <w:proofErr w:type="spellEnd"/>
      <w:r w:rsidRPr="009C2ABF">
        <w:rPr>
          <w:rFonts w:asciiTheme="minorHAnsi" w:hAnsiTheme="minorHAnsi" w:cstheme="minorHAnsi"/>
          <w:color w:val="0000E1"/>
          <w:sz w:val="22"/>
          <w:szCs w:val="22"/>
        </w:rPr>
        <w:t xml:space="preserve"> Suppl. 2000;</w:t>
      </w:r>
      <w:r>
        <w:rPr>
          <w:rFonts w:asciiTheme="minorHAnsi" w:hAnsiTheme="minorHAnsi" w:cstheme="minorHAnsi"/>
          <w:color w:val="0000E1"/>
          <w:sz w:val="22"/>
          <w:szCs w:val="22"/>
        </w:rPr>
        <w:t xml:space="preserve"> </w:t>
      </w:r>
      <w:r w:rsidRPr="009C2ABF">
        <w:rPr>
          <w:rFonts w:asciiTheme="minorHAnsi" w:hAnsiTheme="minorHAnsi" w:cstheme="minorHAnsi"/>
          <w:color w:val="0000E1"/>
          <w:sz w:val="22"/>
          <w:szCs w:val="22"/>
        </w:rPr>
        <w:t xml:space="preserve">(407):83-6. </w:t>
      </w:r>
      <w:hyperlink r:id="rId47" w:history="1">
        <w:r w:rsidRPr="009C2ABF">
          <w:rPr>
            <w:rStyle w:val="Hyperlink"/>
            <w:rFonts w:asciiTheme="minorHAnsi" w:hAnsiTheme="minorHAnsi" w:cstheme="minorHAnsi"/>
            <w:color w:val="0000E1"/>
            <w:sz w:val="22"/>
            <w:szCs w:val="22"/>
          </w:rPr>
          <w:t>PMID: 11261648</w:t>
        </w:r>
      </w:hyperlink>
      <w:r w:rsidRPr="009C2ABF">
        <w:rPr>
          <w:rFonts w:asciiTheme="minorHAnsi" w:hAnsiTheme="minorHAnsi" w:cstheme="minorHAnsi"/>
          <w:color w:val="0000E1"/>
          <w:sz w:val="22"/>
          <w:szCs w:val="22"/>
        </w:rPr>
        <w:t>.</w:t>
      </w:r>
    </w:p>
    <w:p w14:paraId="1CA3AFE3" w14:textId="77777777" w:rsidR="003D4D56" w:rsidRPr="009C2ABF" w:rsidRDefault="003D4D56" w:rsidP="003D4D56">
      <w:pPr>
        <w:pStyle w:val="HTMLPreformatted"/>
        <w:numPr>
          <w:ilvl w:val="0"/>
          <w:numId w:val="14"/>
        </w:numPr>
        <w:ind w:left="360"/>
        <w:rPr>
          <w:rFonts w:asciiTheme="minorHAnsi" w:hAnsiTheme="minorHAnsi" w:cstheme="minorHAnsi"/>
          <w:color w:val="0000E1"/>
          <w:sz w:val="22"/>
          <w:szCs w:val="22"/>
        </w:rPr>
      </w:pPr>
      <w:r w:rsidRPr="009C2ABF">
        <w:rPr>
          <w:rFonts w:asciiTheme="minorHAnsi" w:hAnsiTheme="minorHAnsi"/>
          <w:color w:val="0000E1"/>
          <w:sz w:val="22"/>
          <w:szCs w:val="22"/>
        </w:rPr>
        <w:t xml:space="preserve">Mills EJ, </w:t>
      </w:r>
      <w:proofErr w:type="spellStart"/>
      <w:r w:rsidRPr="009C2ABF">
        <w:rPr>
          <w:rFonts w:asciiTheme="minorHAnsi" w:hAnsiTheme="minorHAnsi"/>
          <w:color w:val="0000E1"/>
          <w:sz w:val="22"/>
          <w:szCs w:val="22"/>
        </w:rPr>
        <w:t>Nachega</w:t>
      </w:r>
      <w:proofErr w:type="spellEnd"/>
      <w:r w:rsidRPr="009C2ABF">
        <w:rPr>
          <w:rFonts w:asciiTheme="minorHAnsi" w:hAnsiTheme="minorHAnsi"/>
          <w:color w:val="0000E1"/>
          <w:sz w:val="22"/>
          <w:szCs w:val="22"/>
        </w:rPr>
        <w:t xml:space="preserve"> JB, </w:t>
      </w:r>
      <w:proofErr w:type="spellStart"/>
      <w:r w:rsidRPr="009C2ABF">
        <w:rPr>
          <w:rFonts w:asciiTheme="minorHAnsi" w:hAnsiTheme="minorHAnsi"/>
          <w:color w:val="0000E1"/>
          <w:sz w:val="22"/>
          <w:szCs w:val="22"/>
        </w:rPr>
        <w:t>Bangsberg</w:t>
      </w:r>
      <w:proofErr w:type="spellEnd"/>
      <w:r w:rsidRPr="009C2ABF">
        <w:rPr>
          <w:rFonts w:asciiTheme="minorHAnsi" w:hAnsiTheme="minorHAnsi"/>
          <w:color w:val="0000E1"/>
          <w:sz w:val="22"/>
          <w:szCs w:val="22"/>
        </w:rPr>
        <w:t xml:space="preserve"> DR, et al. Adherence to HAART: a systematic review of developed and developing nation patient-reported barriers and facilitators. </w:t>
      </w:r>
      <w:proofErr w:type="spellStart"/>
      <w:r w:rsidRPr="009C2ABF">
        <w:rPr>
          <w:rFonts w:asciiTheme="minorHAnsi" w:hAnsiTheme="minorHAnsi"/>
          <w:color w:val="0000E1"/>
          <w:sz w:val="22"/>
          <w:szCs w:val="22"/>
        </w:rPr>
        <w:t>PLoS</w:t>
      </w:r>
      <w:proofErr w:type="spellEnd"/>
      <w:r w:rsidRPr="009C2ABF">
        <w:rPr>
          <w:rFonts w:asciiTheme="minorHAnsi" w:hAnsiTheme="minorHAnsi"/>
          <w:color w:val="0000E1"/>
          <w:sz w:val="22"/>
          <w:szCs w:val="22"/>
        </w:rPr>
        <w:t xml:space="preserve"> Med. 2006</w:t>
      </w:r>
      <w:r>
        <w:rPr>
          <w:rFonts w:asciiTheme="minorHAnsi" w:hAnsiTheme="minorHAnsi"/>
          <w:color w:val="0000E1"/>
          <w:sz w:val="22"/>
          <w:szCs w:val="22"/>
        </w:rPr>
        <w:t xml:space="preserve"> </w:t>
      </w:r>
      <w:r w:rsidRPr="009C2ABF">
        <w:rPr>
          <w:rFonts w:asciiTheme="minorHAnsi" w:hAnsiTheme="minorHAnsi"/>
          <w:color w:val="0000E1"/>
          <w:sz w:val="22"/>
          <w:szCs w:val="22"/>
        </w:rPr>
        <w:t>;3(11</w:t>
      </w:r>
      <w:proofErr w:type="gramStart"/>
      <w:r w:rsidRPr="009C2ABF">
        <w:rPr>
          <w:rFonts w:asciiTheme="minorHAnsi" w:hAnsiTheme="minorHAnsi"/>
          <w:color w:val="0000E1"/>
          <w:sz w:val="22"/>
          <w:szCs w:val="22"/>
        </w:rPr>
        <w:t>):e</w:t>
      </w:r>
      <w:proofErr w:type="gramEnd"/>
      <w:r w:rsidRPr="009C2ABF">
        <w:rPr>
          <w:rFonts w:asciiTheme="minorHAnsi" w:hAnsiTheme="minorHAnsi"/>
          <w:color w:val="0000E1"/>
          <w:sz w:val="22"/>
          <w:szCs w:val="22"/>
        </w:rPr>
        <w:t xml:space="preserve">438. </w:t>
      </w:r>
      <w:hyperlink r:id="rId48" w:history="1">
        <w:r w:rsidRPr="009C2ABF">
          <w:rPr>
            <w:rStyle w:val="Hyperlink"/>
            <w:rFonts w:asciiTheme="minorHAnsi" w:hAnsiTheme="minorHAnsi"/>
            <w:color w:val="0000E1"/>
            <w:sz w:val="22"/>
            <w:szCs w:val="22"/>
          </w:rPr>
          <w:t>PMID: 17121449</w:t>
        </w:r>
      </w:hyperlink>
      <w:r w:rsidRPr="009C2ABF">
        <w:rPr>
          <w:rFonts w:asciiTheme="minorHAnsi" w:hAnsiTheme="minorHAnsi"/>
          <w:color w:val="0000E1"/>
          <w:sz w:val="22"/>
          <w:szCs w:val="22"/>
        </w:rPr>
        <w:t>.</w:t>
      </w:r>
    </w:p>
    <w:p w14:paraId="4E9F6098" w14:textId="77777777" w:rsidR="003E3F96" w:rsidRPr="009C2ABF" w:rsidRDefault="003E3F96" w:rsidP="003E3F96">
      <w:pPr>
        <w:pStyle w:val="ListParagraph"/>
        <w:numPr>
          <w:ilvl w:val="0"/>
          <w:numId w:val="14"/>
        </w:numPr>
        <w:spacing w:after="0" w:line="240" w:lineRule="auto"/>
        <w:ind w:left="360"/>
        <w:rPr>
          <w:rFonts w:cstheme="minorHAnsi"/>
          <w:color w:val="0000E1"/>
        </w:rPr>
      </w:pPr>
      <w:proofErr w:type="spellStart"/>
      <w:r w:rsidRPr="009C2ABF">
        <w:rPr>
          <w:color w:val="0000E1"/>
        </w:rPr>
        <w:t>Inovalon</w:t>
      </w:r>
      <w:proofErr w:type="spellEnd"/>
      <w:r w:rsidRPr="009C2ABF">
        <w:rPr>
          <w:color w:val="0000E1"/>
        </w:rPr>
        <w:t xml:space="preserve">. An investigation of Medicare Advantage dual-eligible member level performance on CMS Five Star quality measures. Available at: </w:t>
      </w:r>
      <w:hyperlink r:id="rId49" w:history="1">
        <w:r w:rsidRPr="009C2ABF">
          <w:rPr>
            <w:rStyle w:val="Hyperlink"/>
            <w:color w:val="0000E1"/>
          </w:rPr>
          <w:t>http://resources.inovalon.com/papers/an-investigation-of-medicare-advantage-dual-eligible-member-level-performance-on-cms-five-star-quality-measures</w:t>
        </w:r>
      </w:hyperlink>
      <w:r w:rsidRPr="009C2ABF">
        <w:rPr>
          <w:color w:val="0000E1"/>
        </w:rPr>
        <w:t>.  Accessed April 2017.</w:t>
      </w:r>
    </w:p>
    <w:p w14:paraId="53498BD9" w14:textId="5AF7F626" w:rsidR="003E3F96" w:rsidRPr="009C2ABF" w:rsidRDefault="003E3F96" w:rsidP="003E3F96">
      <w:pPr>
        <w:pStyle w:val="ListParagraph"/>
        <w:numPr>
          <w:ilvl w:val="0"/>
          <w:numId w:val="14"/>
        </w:numPr>
        <w:spacing w:after="0" w:line="240" w:lineRule="auto"/>
        <w:ind w:left="360"/>
        <w:rPr>
          <w:rFonts w:cstheme="minorHAnsi"/>
          <w:color w:val="0000E1"/>
        </w:rPr>
      </w:pPr>
      <w:r w:rsidRPr="009C2ABF">
        <w:rPr>
          <w:rFonts w:cstheme="minorHAnsi"/>
          <w:color w:val="0000E1"/>
        </w:rPr>
        <w:t>National Academies Press</w:t>
      </w:r>
      <w:r>
        <w:rPr>
          <w:rFonts w:cstheme="minorHAnsi"/>
          <w:color w:val="0000E1"/>
        </w:rPr>
        <w:t>.</w:t>
      </w:r>
      <w:r w:rsidRPr="009C2ABF">
        <w:rPr>
          <w:rFonts w:cstheme="minorHAnsi"/>
          <w:color w:val="0000E1"/>
        </w:rPr>
        <w:t xml:space="preserve"> Accounting for Social Risk Factors in Medicare Payment: Identifying Social Risk Factors. 2016. Available at </w:t>
      </w:r>
      <w:hyperlink r:id="rId50" w:history="1">
        <w:r w:rsidRPr="009C2ABF">
          <w:rPr>
            <w:rStyle w:val="Hyperlink"/>
            <w:rFonts w:eastAsiaTheme="minorHAnsi" w:cstheme="minorHAnsi"/>
            <w:color w:val="0000E1"/>
          </w:rPr>
          <w:t>http://www.nap.edu/21858</w:t>
        </w:r>
      </w:hyperlink>
      <w:r w:rsidRPr="009C2ABF">
        <w:rPr>
          <w:rFonts w:eastAsiaTheme="minorHAnsi" w:cstheme="minorHAnsi"/>
          <w:color w:val="0000E1"/>
        </w:rPr>
        <w:t xml:space="preserve">. </w:t>
      </w:r>
    </w:p>
    <w:p w14:paraId="4786DB7F" w14:textId="77777777" w:rsidR="003D4D56" w:rsidRPr="003E3F96" w:rsidRDefault="003E3F96" w:rsidP="003E3F96">
      <w:pPr>
        <w:pStyle w:val="HTMLPreformatted"/>
        <w:numPr>
          <w:ilvl w:val="0"/>
          <w:numId w:val="14"/>
        </w:numPr>
        <w:ind w:left="360"/>
        <w:rPr>
          <w:rFonts w:asciiTheme="minorHAnsi" w:hAnsiTheme="minorHAnsi" w:cstheme="minorHAnsi"/>
          <w:color w:val="0000E1"/>
          <w:sz w:val="22"/>
          <w:szCs w:val="22"/>
        </w:rPr>
      </w:pPr>
      <w:r w:rsidRPr="009C2ABF">
        <w:rPr>
          <w:rFonts w:asciiTheme="minorHAnsi" w:hAnsiTheme="minorHAnsi" w:cstheme="minorHAnsi"/>
          <w:color w:val="0000E1"/>
          <w:sz w:val="22"/>
          <w:szCs w:val="22"/>
        </w:rPr>
        <w:t xml:space="preserve">Julius RJ, </w:t>
      </w:r>
      <w:proofErr w:type="spellStart"/>
      <w:r w:rsidRPr="009C2ABF">
        <w:rPr>
          <w:rFonts w:asciiTheme="minorHAnsi" w:hAnsiTheme="minorHAnsi" w:cstheme="minorHAnsi"/>
          <w:color w:val="0000E1"/>
          <w:sz w:val="22"/>
          <w:szCs w:val="22"/>
        </w:rPr>
        <w:t>Novitsky</w:t>
      </w:r>
      <w:proofErr w:type="spellEnd"/>
      <w:r w:rsidRPr="009C2ABF">
        <w:rPr>
          <w:rFonts w:asciiTheme="minorHAnsi" w:hAnsiTheme="minorHAnsi" w:cstheme="minorHAnsi"/>
          <w:color w:val="0000E1"/>
          <w:sz w:val="22"/>
          <w:szCs w:val="22"/>
        </w:rPr>
        <w:t xml:space="preserve"> MA Jr, </w:t>
      </w:r>
      <w:proofErr w:type="spellStart"/>
      <w:r w:rsidRPr="009C2ABF">
        <w:rPr>
          <w:rFonts w:asciiTheme="minorHAnsi" w:hAnsiTheme="minorHAnsi" w:cstheme="minorHAnsi"/>
          <w:color w:val="0000E1"/>
          <w:sz w:val="22"/>
          <w:szCs w:val="22"/>
        </w:rPr>
        <w:t>Dubin</w:t>
      </w:r>
      <w:proofErr w:type="spellEnd"/>
      <w:r w:rsidRPr="009C2ABF">
        <w:rPr>
          <w:rFonts w:asciiTheme="minorHAnsi" w:hAnsiTheme="minorHAnsi" w:cstheme="minorHAnsi"/>
          <w:color w:val="0000E1"/>
          <w:sz w:val="22"/>
          <w:szCs w:val="22"/>
        </w:rPr>
        <w:t xml:space="preserve"> WR. Medication adherence: a review of the literature and implications for clinical practice. J </w:t>
      </w:r>
      <w:proofErr w:type="spellStart"/>
      <w:r w:rsidRPr="009C2ABF">
        <w:rPr>
          <w:rFonts w:asciiTheme="minorHAnsi" w:hAnsiTheme="minorHAnsi" w:cstheme="minorHAnsi"/>
          <w:color w:val="0000E1"/>
          <w:sz w:val="22"/>
          <w:szCs w:val="22"/>
        </w:rPr>
        <w:t>Psychiatr</w:t>
      </w:r>
      <w:proofErr w:type="spellEnd"/>
      <w:r w:rsidRPr="009C2ABF">
        <w:rPr>
          <w:rFonts w:asciiTheme="minorHAnsi" w:hAnsiTheme="minorHAnsi" w:cstheme="minorHAnsi"/>
          <w:color w:val="0000E1"/>
          <w:sz w:val="22"/>
          <w:szCs w:val="22"/>
        </w:rPr>
        <w:t xml:space="preserve"> </w:t>
      </w:r>
      <w:proofErr w:type="spellStart"/>
      <w:r w:rsidRPr="009C2ABF">
        <w:rPr>
          <w:rFonts w:asciiTheme="minorHAnsi" w:hAnsiTheme="minorHAnsi" w:cstheme="minorHAnsi"/>
          <w:color w:val="0000E1"/>
          <w:sz w:val="22"/>
          <w:szCs w:val="22"/>
        </w:rPr>
        <w:t>Pract</w:t>
      </w:r>
      <w:proofErr w:type="spellEnd"/>
      <w:r w:rsidRPr="009C2ABF">
        <w:rPr>
          <w:rFonts w:asciiTheme="minorHAnsi" w:hAnsiTheme="minorHAnsi" w:cstheme="minorHAnsi"/>
          <w:color w:val="0000E1"/>
          <w:sz w:val="22"/>
          <w:szCs w:val="22"/>
        </w:rPr>
        <w:t>. 2009;</w:t>
      </w:r>
      <w:r>
        <w:rPr>
          <w:rFonts w:asciiTheme="minorHAnsi" w:hAnsiTheme="minorHAnsi" w:cstheme="minorHAnsi"/>
          <w:color w:val="0000E1"/>
          <w:sz w:val="22"/>
          <w:szCs w:val="22"/>
        </w:rPr>
        <w:t xml:space="preserve"> </w:t>
      </w:r>
      <w:r w:rsidRPr="009C2ABF">
        <w:rPr>
          <w:rFonts w:asciiTheme="minorHAnsi" w:hAnsiTheme="minorHAnsi" w:cstheme="minorHAnsi"/>
          <w:color w:val="0000E1"/>
          <w:sz w:val="22"/>
          <w:szCs w:val="22"/>
        </w:rPr>
        <w:t xml:space="preserve">15(1):34-44. </w:t>
      </w:r>
      <w:hyperlink r:id="rId51" w:history="1">
        <w:r w:rsidRPr="009C2ABF">
          <w:rPr>
            <w:rStyle w:val="Hyperlink"/>
            <w:rFonts w:asciiTheme="minorHAnsi" w:hAnsiTheme="minorHAnsi" w:cstheme="minorHAnsi"/>
            <w:color w:val="0000E1"/>
            <w:sz w:val="22"/>
            <w:szCs w:val="22"/>
          </w:rPr>
          <w:t>PMID: 19182563</w:t>
        </w:r>
      </w:hyperlink>
      <w:r w:rsidRPr="009C2ABF">
        <w:rPr>
          <w:rFonts w:asciiTheme="minorHAnsi" w:hAnsiTheme="minorHAnsi" w:cstheme="minorHAnsi"/>
          <w:color w:val="0000E1"/>
          <w:sz w:val="22"/>
          <w:szCs w:val="22"/>
        </w:rPr>
        <w:t>.</w:t>
      </w:r>
    </w:p>
    <w:p w14:paraId="1B9F84E9" w14:textId="77777777" w:rsidR="003E3F96" w:rsidRPr="009C2ABF" w:rsidRDefault="003E3F96" w:rsidP="003E3F96">
      <w:pPr>
        <w:pStyle w:val="HTMLPreformatted"/>
        <w:numPr>
          <w:ilvl w:val="0"/>
          <w:numId w:val="14"/>
        </w:numPr>
        <w:ind w:left="360"/>
        <w:rPr>
          <w:rFonts w:asciiTheme="minorHAnsi" w:hAnsiTheme="minorHAnsi"/>
          <w:color w:val="0000E1"/>
          <w:sz w:val="22"/>
          <w:szCs w:val="22"/>
        </w:rPr>
      </w:pPr>
      <w:r w:rsidRPr="009C2ABF">
        <w:rPr>
          <w:rFonts w:asciiTheme="minorHAnsi" w:hAnsiTheme="minorHAnsi"/>
          <w:color w:val="0000E1"/>
          <w:sz w:val="22"/>
          <w:szCs w:val="22"/>
        </w:rPr>
        <w:lastRenderedPageBreak/>
        <w:t>Hirsch-</w:t>
      </w:r>
      <w:proofErr w:type="spellStart"/>
      <w:r w:rsidRPr="009C2ABF">
        <w:rPr>
          <w:rFonts w:asciiTheme="minorHAnsi" w:hAnsiTheme="minorHAnsi"/>
          <w:color w:val="0000E1"/>
          <w:sz w:val="22"/>
          <w:szCs w:val="22"/>
        </w:rPr>
        <w:t>Moverman</w:t>
      </w:r>
      <w:proofErr w:type="spellEnd"/>
      <w:r w:rsidRPr="009C2ABF">
        <w:rPr>
          <w:rFonts w:asciiTheme="minorHAnsi" w:hAnsiTheme="minorHAnsi"/>
          <w:color w:val="0000E1"/>
          <w:sz w:val="22"/>
          <w:szCs w:val="22"/>
        </w:rPr>
        <w:t xml:space="preserve"> Y, </w:t>
      </w:r>
      <w:proofErr w:type="spellStart"/>
      <w:r w:rsidRPr="009C2ABF">
        <w:rPr>
          <w:rFonts w:asciiTheme="minorHAnsi" w:hAnsiTheme="minorHAnsi"/>
          <w:color w:val="0000E1"/>
          <w:sz w:val="22"/>
          <w:szCs w:val="22"/>
        </w:rPr>
        <w:t>Daftary</w:t>
      </w:r>
      <w:proofErr w:type="spellEnd"/>
      <w:r w:rsidRPr="009C2ABF">
        <w:rPr>
          <w:rFonts w:asciiTheme="minorHAnsi" w:hAnsiTheme="minorHAnsi"/>
          <w:color w:val="0000E1"/>
          <w:sz w:val="22"/>
          <w:szCs w:val="22"/>
        </w:rPr>
        <w:t xml:space="preserve"> A, Franks J, Colson PW. Adherence to treatment for latent tuberculosis infection: systematic review of studies in the US and Canada. Int J </w:t>
      </w:r>
      <w:proofErr w:type="spellStart"/>
      <w:r w:rsidRPr="009C2ABF">
        <w:rPr>
          <w:rFonts w:asciiTheme="minorHAnsi" w:hAnsiTheme="minorHAnsi"/>
          <w:color w:val="0000E1"/>
          <w:sz w:val="22"/>
          <w:szCs w:val="22"/>
        </w:rPr>
        <w:t>Tuberc</w:t>
      </w:r>
      <w:proofErr w:type="spellEnd"/>
      <w:r w:rsidRPr="009C2ABF">
        <w:rPr>
          <w:rFonts w:asciiTheme="minorHAnsi" w:hAnsiTheme="minorHAnsi"/>
          <w:color w:val="0000E1"/>
          <w:sz w:val="22"/>
          <w:szCs w:val="22"/>
        </w:rPr>
        <w:t xml:space="preserve"> Lung Dis. 2008;</w:t>
      </w:r>
      <w:r>
        <w:rPr>
          <w:rFonts w:asciiTheme="minorHAnsi" w:hAnsiTheme="minorHAnsi"/>
          <w:color w:val="0000E1"/>
          <w:sz w:val="22"/>
          <w:szCs w:val="22"/>
        </w:rPr>
        <w:t xml:space="preserve"> </w:t>
      </w:r>
      <w:r w:rsidRPr="009C2ABF">
        <w:rPr>
          <w:rFonts w:asciiTheme="minorHAnsi" w:hAnsiTheme="minorHAnsi"/>
          <w:color w:val="0000E1"/>
          <w:sz w:val="22"/>
          <w:szCs w:val="22"/>
        </w:rPr>
        <w:t xml:space="preserve">12(11):1235-54. </w:t>
      </w:r>
      <w:hyperlink r:id="rId52" w:history="1">
        <w:r w:rsidRPr="009C2ABF">
          <w:rPr>
            <w:rStyle w:val="Hyperlink"/>
            <w:rFonts w:asciiTheme="minorHAnsi" w:hAnsiTheme="minorHAnsi"/>
            <w:color w:val="0000E1"/>
            <w:sz w:val="22"/>
            <w:szCs w:val="22"/>
          </w:rPr>
          <w:t>PMID: 18926033</w:t>
        </w:r>
      </w:hyperlink>
      <w:r w:rsidRPr="009C2ABF">
        <w:rPr>
          <w:rFonts w:asciiTheme="minorHAnsi" w:hAnsiTheme="minorHAnsi"/>
          <w:color w:val="0000E1"/>
          <w:sz w:val="22"/>
          <w:szCs w:val="22"/>
        </w:rPr>
        <w:t>.</w:t>
      </w:r>
    </w:p>
    <w:p w14:paraId="51BA9617" w14:textId="77777777" w:rsidR="003E3F96" w:rsidRPr="009C2ABF" w:rsidRDefault="003E3F96" w:rsidP="003E3F96">
      <w:pPr>
        <w:pStyle w:val="HTMLPreformatted"/>
        <w:numPr>
          <w:ilvl w:val="0"/>
          <w:numId w:val="14"/>
        </w:numPr>
        <w:ind w:left="360"/>
        <w:rPr>
          <w:rFonts w:asciiTheme="minorHAnsi" w:hAnsiTheme="minorHAnsi"/>
          <w:color w:val="0000E1"/>
          <w:sz w:val="22"/>
          <w:szCs w:val="22"/>
        </w:rPr>
      </w:pPr>
      <w:r w:rsidRPr="009C2ABF">
        <w:rPr>
          <w:rFonts w:asciiTheme="minorHAnsi" w:hAnsiTheme="minorHAnsi"/>
          <w:color w:val="0000E1"/>
          <w:sz w:val="22"/>
          <w:szCs w:val="22"/>
        </w:rPr>
        <w:t xml:space="preserve">Reisner SL, </w:t>
      </w:r>
      <w:proofErr w:type="spellStart"/>
      <w:r w:rsidRPr="009C2ABF">
        <w:rPr>
          <w:rFonts w:asciiTheme="minorHAnsi" w:hAnsiTheme="minorHAnsi"/>
          <w:color w:val="0000E1"/>
          <w:sz w:val="22"/>
          <w:szCs w:val="22"/>
        </w:rPr>
        <w:t>Mimiaga</w:t>
      </w:r>
      <w:proofErr w:type="spellEnd"/>
      <w:r w:rsidRPr="009C2ABF">
        <w:rPr>
          <w:rFonts w:asciiTheme="minorHAnsi" w:hAnsiTheme="minorHAnsi"/>
          <w:color w:val="0000E1"/>
          <w:sz w:val="22"/>
          <w:szCs w:val="22"/>
        </w:rPr>
        <w:t xml:space="preserve"> MJ, </w:t>
      </w:r>
      <w:proofErr w:type="spellStart"/>
      <w:r w:rsidRPr="009C2ABF">
        <w:rPr>
          <w:rFonts w:asciiTheme="minorHAnsi" w:hAnsiTheme="minorHAnsi"/>
          <w:color w:val="0000E1"/>
          <w:sz w:val="22"/>
          <w:szCs w:val="22"/>
        </w:rPr>
        <w:t>Skeer</w:t>
      </w:r>
      <w:proofErr w:type="spellEnd"/>
      <w:r w:rsidRPr="009C2ABF">
        <w:rPr>
          <w:rFonts w:asciiTheme="minorHAnsi" w:hAnsiTheme="minorHAnsi"/>
          <w:color w:val="0000E1"/>
          <w:sz w:val="22"/>
          <w:szCs w:val="22"/>
        </w:rPr>
        <w:t xml:space="preserve"> M, Perkovich B, Johnson CV, </w:t>
      </w:r>
      <w:proofErr w:type="spellStart"/>
      <w:r w:rsidRPr="009C2ABF">
        <w:rPr>
          <w:rFonts w:asciiTheme="minorHAnsi" w:hAnsiTheme="minorHAnsi"/>
          <w:color w:val="0000E1"/>
          <w:sz w:val="22"/>
          <w:szCs w:val="22"/>
        </w:rPr>
        <w:t>Safren</w:t>
      </w:r>
      <w:proofErr w:type="spellEnd"/>
      <w:r w:rsidRPr="009C2ABF">
        <w:rPr>
          <w:rFonts w:asciiTheme="minorHAnsi" w:hAnsiTheme="minorHAnsi"/>
          <w:color w:val="0000E1"/>
          <w:sz w:val="22"/>
          <w:szCs w:val="22"/>
        </w:rPr>
        <w:t xml:space="preserve"> SA. A review of HIV antiretroviral adherence and intervention studies among HIV-infected youth. Top HIV Med. 2009;</w:t>
      </w:r>
      <w:r>
        <w:rPr>
          <w:rFonts w:asciiTheme="minorHAnsi" w:hAnsiTheme="minorHAnsi"/>
          <w:color w:val="0000E1"/>
          <w:sz w:val="22"/>
          <w:szCs w:val="22"/>
        </w:rPr>
        <w:t xml:space="preserve"> </w:t>
      </w:r>
      <w:r w:rsidRPr="009C2ABF">
        <w:rPr>
          <w:rFonts w:asciiTheme="minorHAnsi" w:hAnsiTheme="minorHAnsi"/>
          <w:color w:val="0000E1"/>
          <w:sz w:val="22"/>
          <w:szCs w:val="22"/>
        </w:rPr>
        <w:t xml:space="preserve">17(1):14-25. </w:t>
      </w:r>
      <w:hyperlink r:id="rId53" w:history="1">
        <w:r w:rsidRPr="009C2ABF">
          <w:rPr>
            <w:rStyle w:val="Hyperlink"/>
            <w:rFonts w:asciiTheme="minorHAnsi" w:hAnsiTheme="minorHAnsi"/>
            <w:color w:val="0000E1"/>
            <w:sz w:val="22"/>
            <w:szCs w:val="22"/>
          </w:rPr>
          <w:t>PMID: 19270345</w:t>
        </w:r>
      </w:hyperlink>
      <w:r w:rsidRPr="009C2ABF">
        <w:rPr>
          <w:rFonts w:asciiTheme="minorHAnsi" w:hAnsiTheme="minorHAnsi"/>
          <w:color w:val="0000E1"/>
          <w:sz w:val="22"/>
          <w:szCs w:val="22"/>
        </w:rPr>
        <w:t>.</w:t>
      </w:r>
    </w:p>
    <w:p w14:paraId="7E1CDA13" w14:textId="77777777" w:rsidR="004421D2" w:rsidRPr="009C2ABF" w:rsidRDefault="004421D2" w:rsidP="004421D2">
      <w:pPr>
        <w:pStyle w:val="HTMLPreformatted"/>
        <w:numPr>
          <w:ilvl w:val="0"/>
          <w:numId w:val="14"/>
        </w:numPr>
        <w:ind w:left="360"/>
        <w:rPr>
          <w:rFonts w:asciiTheme="minorHAnsi" w:hAnsiTheme="minorHAnsi"/>
          <w:color w:val="0000E1"/>
          <w:sz w:val="22"/>
          <w:szCs w:val="22"/>
        </w:rPr>
      </w:pPr>
      <w:r w:rsidRPr="009C2ABF">
        <w:rPr>
          <w:rFonts w:asciiTheme="minorHAnsi" w:hAnsiTheme="minorHAnsi"/>
          <w:color w:val="0000E1"/>
          <w:sz w:val="22"/>
          <w:szCs w:val="22"/>
        </w:rPr>
        <w:t xml:space="preserve">Gold DT, Alexander IM, Ettinger MP. How can osteoporosis patients benefit more from their therapy? Adherence issues with bisphosphonate therapy. Ann </w:t>
      </w:r>
      <w:proofErr w:type="spellStart"/>
      <w:r w:rsidRPr="009C2ABF">
        <w:rPr>
          <w:rFonts w:asciiTheme="minorHAnsi" w:hAnsiTheme="minorHAnsi"/>
          <w:color w:val="0000E1"/>
          <w:sz w:val="22"/>
          <w:szCs w:val="22"/>
        </w:rPr>
        <w:t>Pharmacother</w:t>
      </w:r>
      <w:proofErr w:type="spellEnd"/>
      <w:r w:rsidRPr="009C2ABF">
        <w:rPr>
          <w:rFonts w:asciiTheme="minorHAnsi" w:hAnsiTheme="minorHAnsi"/>
          <w:color w:val="0000E1"/>
          <w:sz w:val="22"/>
          <w:szCs w:val="22"/>
        </w:rPr>
        <w:t>. 2006;</w:t>
      </w:r>
      <w:r>
        <w:rPr>
          <w:rFonts w:asciiTheme="minorHAnsi" w:hAnsiTheme="minorHAnsi"/>
          <w:color w:val="0000E1"/>
          <w:sz w:val="22"/>
          <w:szCs w:val="22"/>
        </w:rPr>
        <w:t xml:space="preserve"> </w:t>
      </w:r>
      <w:r w:rsidRPr="009C2ABF">
        <w:rPr>
          <w:rFonts w:asciiTheme="minorHAnsi" w:hAnsiTheme="minorHAnsi"/>
          <w:color w:val="0000E1"/>
          <w:sz w:val="22"/>
          <w:szCs w:val="22"/>
        </w:rPr>
        <w:t xml:space="preserve">40(6):1143-50. </w:t>
      </w:r>
      <w:hyperlink r:id="rId54" w:history="1">
        <w:r w:rsidRPr="009C2ABF">
          <w:rPr>
            <w:rStyle w:val="Hyperlink"/>
            <w:rFonts w:asciiTheme="minorHAnsi" w:hAnsiTheme="minorHAnsi"/>
            <w:color w:val="0000E1"/>
            <w:sz w:val="22"/>
            <w:szCs w:val="22"/>
          </w:rPr>
          <w:t>PMID: 16735667</w:t>
        </w:r>
      </w:hyperlink>
      <w:r w:rsidRPr="009C2ABF">
        <w:rPr>
          <w:rFonts w:asciiTheme="minorHAnsi" w:hAnsiTheme="minorHAnsi"/>
          <w:color w:val="0000E1"/>
          <w:sz w:val="22"/>
          <w:szCs w:val="22"/>
        </w:rPr>
        <w:t>.</w:t>
      </w:r>
    </w:p>
    <w:p w14:paraId="1BC92B1A" w14:textId="77777777" w:rsidR="000A3CD9" w:rsidRDefault="000A3CD9" w:rsidP="00001D73">
      <w:pPr>
        <w:autoSpaceDE w:val="0"/>
        <w:autoSpaceDN w:val="0"/>
        <w:adjustRightInd w:val="0"/>
        <w:spacing w:after="0" w:line="240" w:lineRule="auto"/>
        <w:rPr>
          <w:rFonts w:cstheme="minorHAnsi"/>
          <w:b/>
          <w:bCs/>
        </w:rPr>
      </w:pPr>
    </w:p>
    <w:p w14:paraId="4353E91A" w14:textId="07D5451D"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0522694F" w14:textId="77777777" w:rsidR="00275563" w:rsidRPr="005232D6" w:rsidRDefault="00C87E2A"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1"/>
            <w14:checkedState w14:val="2612" w14:font="MS Gothic"/>
            <w14:uncheckedState w14:val="2610" w14:font="MS Gothic"/>
          </w14:checkbox>
        </w:sdtPr>
        <w:sdtEndPr/>
        <w:sdtContent>
          <w:r w:rsidR="00D90A81">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142EAD88" w14:textId="77777777" w:rsidR="00275563" w:rsidRPr="005232D6" w:rsidRDefault="00C87E2A"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5DC3E5DD" w14:textId="77777777" w:rsidR="00275563" w:rsidRDefault="00C87E2A" w:rsidP="00832E61">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1"/>
            <w14:checkedState w14:val="2612" w14:font="MS Gothic"/>
            <w14:uncheckedState w14:val="2610" w14:font="MS Gothic"/>
          </w14:checkbox>
        </w:sdtPr>
        <w:sdtEndPr/>
        <w:sdtContent>
          <w:r w:rsidR="00E17A71">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 xml:space="preserve">Other (please </w:t>
      </w:r>
      <w:r w:rsidR="00E17A71">
        <w:rPr>
          <w:rFonts w:cstheme="minorHAnsi"/>
          <w:b/>
          <w:bCs/>
        </w:rPr>
        <w:t>describe</w:t>
      </w:r>
      <w:r w:rsidR="00E17A71" w:rsidRPr="00E17A71">
        <w:rPr>
          <w:rFonts w:cstheme="minorHAnsi"/>
          <w:bCs/>
        </w:rPr>
        <w:t xml:space="preserve">) </w:t>
      </w:r>
      <w:r w:rsidR="00E17A71" w:rsidRPr="007C0FC0">
        <w:rPr>
          <w:rFonts w:cstheme="minorHAnsi"/>
          <w:bCs/>
          <w:color w:val="0000E1"/>
        </w:rPr>
        <w:t>– subject matter experts consensus</w:t>
      </w:r>
    </w:p>
    <w:p w14:paraId="3F56369D" w14:textId="77777777" w:rsidR="00E17A71" w:rsidRDefault="00E17A71" w:rsidP="00832E61">
      <w:pPr>
        <w:tabs>
          <w:tab w:val="left" w:pos="180"/>
        </w:tabs>
        <w:autoSpaceDE w:val="0"/>
        <w:autoSpaceDN w:val="0"/>
        <w:adjustRightInd w:val="0"/>
        <w:spacing w:after="0" w:line="240" w:lineRule="auto"/>
        <w:ind w:left="180"/>
        <w:rPr>
          <w:rFonts w:cstheme="minorHAnsi"/>
          <w:b/>
          <w:bCs/>
        </w:rPr>
      </w:pPr>
    </w:p>
    <w:p w14:paraId="6979EB04" w14:textId="77777777" w:rsidR="00092566" w:rsidRDefault="009C7513" w:rsidP="00001D73">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r w:rsidR="00001D73">
        <w:rPr>
          <w:rFonts w:cstheme="minorHAnsi"/>
          <w:b/>
          <w:bCs/>
        </w:rPr>
        <w:br/>
      </w:r>
    </w:p>
    <w:p w14:paraId="1A056DBA" w14:textId="0A61BCC8" w:rsidR="002C1ABE" w:rsidRDefault="00CF7C98" w:rsidP="00CF7C98">
      <w:pPr>
        <w:autoSpaceDE w:val="0"/>
        <w:autoSpaceDN w:val="0"/>
        <w:adjustRightInd w:val="0"/>
        <w:spacing w:after="0" w:line="240" w:lineRule="auto"/>
        <w:rPr>
          <w:rFonts w:cs="Calibri"/>
          <w:bCs/>
          <w:color w:val="0000E1"/>
        </w:rPr>
      </w:pPr>
      <w:r w:rsidRPr="007C0FC0">
        <w:rPr>
          <w:rFonts w:cs="Calibri"/>
          <w:bCs/>
          <w:color w:val="0000E1"/>
        </w:rPr>
        <w:t xml:space="preserve">Univariate random effects logistic regression models were used to explore the association between the measure outcomes and single covariates to determine which risk factors were associated with adherence. Variables that were statistically significant at alpha = 0.05 </w:t>
      </w:r>
      <w:r w:rsidR="00B01794" w:rsidRPr="007C0FC0">
        <w:rPr>
          <w:rFonts w:cs="Calibri"/>
          <w:bCs/>
          <w:color w:val="0000E1"/>
        </w:rPr>
        <w:t xml:space="preserve">for any of the therapeutic categories </w:t>
      </w:r>
      <w:r w:rsidRPr="007C0FC0">
        <w:rPr>
          <w:rFonts w:cs="Calibri"/>
          <w:bCs/>
          <w:color w:val="0000E1"/>
        </w:rPr>
        <w:t>were included in the multivariable random effects logistic regression models</w:t>
      </w:r>
      <w:r w:rsidR="00E57C81">
        <w:rPr>
          <w:rFonts w:cs="Calibri"/>
          <w:bCs/>
          <w:color w:val="0000E1"/>
        </w:rPr>
        <w:t xml:space="preserve">. </w:t>
      </w:r>
      <w:r w:rsidR="00292C33">
        <w:rPr>
          <w:rFonts w:cs="Calibri"/>
          <w:bCs/>
          <w:color w:val="0000E1"/>
        </w:rPr>
        <w:t>Tables 11-</w:t>
      </w:r>
      <w:r w:rsidR="000711C0" w:rsidRPr="007C0FC0">
        <w:rPr>
          <w:rFonts w:cs="Calibri"/>
          <w:bCs/>
          <w:color w:val="0000E1"/>
        </w:rPr>
        <w:t>13</w:t>
      </w:r>
      <w:r w:rsidRPr="007C0FC0">
        <w:rPr>
          <w:rFonts w:cs="Calibri"/>
          <w:bCs/>
          <w:color w:val="0000E1"/>
        </w:rPr>
        <w:t xml:space="preserve"> show the coefficients, </w:t>
      </w:r>
      <w:r w:rsidR="000A5FE4">
        <w:rPr>
          <w:rFonts w:cs="Calibri"/>
          <w:bCs/>
          <w:color w:val="0000E1"/>
        </w:rPr>
        <w:t>odds ratios (</w:t>
      </w:r>
      <w:r w:rsidRPr="007C0FC0">
        <w:rPr>
          <w:rFonts w:cs="Calibri"/>
          <w:bCs/>
          <w:color w:val="0000E1"/>
        </w:rPr>
        <w:t>ORs</w:t>
      </w:r>
      <w:r w:rsidR="000A5FE4">
        <w:rPr>
          <w:rFonts w:cs="Calibri"/>
          <w:bCs/>
          <w:color w:val="0000E1"/>
        </w:rPr>
        <w:t>)</w:t>
      </w:r>
      <w:r w:rsidRPr="007C0FC0">
        <w:rPr>
          <w:rFonts w:cs="Calibri"/>
          <w:bCs/>
          <w:color w:val="0000E1"/>
        </w:rPr>
        <w:t xml:space="preserve">, </w:t>
      </w:r>
      <w:r w:rsidR="00E122BE" w:rsidRPr="007C0FC0">
        <w:rPr>
          <w:rFonts w:cs="Calibri"/>
          <w:bCs/>
          <w:color w:val="0000E1"/>
        </w:rPr>
        <w:t xml:space="preserve">and </w:t>
      </w:r>
      <w:r w:rsidRPr="007C0FC0">
        <w:rPr>
          <w:rFonts w:cs="Calibri"/>
          <w:bCs/>
          <w:color w:val="0000E1"/>
        </w:rPr>
        <w:t xml:space="preserve">95% </w:t>
      </w:r>
      <w:r w:rsidR="000A5FE4">
        <w:rPr>
          <w:rFonts w:cs="Calibri"/>
          <w:bCs/>
          <w:color w:val="0000E1"/>
        </w:rPr>
        <w:t>confidence interval (</w:t>
      </w:r>
      <w:r w:rsidRPr="007C0FC0">
        <w:rPr>
          <w:rFonts w:cs="Calibri"/>
          <w:bCs/>
          <w:color w:val="0000E1"/>
        </w:rPr>
        <w:t>CI</w:t>
      </w:r>
      <w:r w:rsidR="000A5FE4">
        <w:rPr>
          <w:rFonts w:cs="Calibri"/>
          <w:bCs/>
          <w:color w:val="0000E1"/>
        </w:rPr>
        <w:t>)</w:t>
      </w:r>
      <w:r w:rsidRPr="007C0FC0">
        <w:rPr>
          <w:rFonts w:cs="Calibri"/>
          <w:bCs/>
          <w:color w:val="0000E1"/>
        </w:rPr>
        <w:t xml:space="preserve"> for the </w:t>
      </w:r>
      <w:r w:rsidR="00EB7292">
        <w:rPr>
          <w:rFonts w:cs="Calibri"/>
          <w:bCs/>
          <w:color w:val="0000E1"/>
        </w:rPr>
        <w:t xml:space="preserve">final </w:t>
      </w:r>
      <w:r w:rsidRPr="007C0FC0">
        <w:rPr>
          <w:rFonts w:cs="Calibri"/>
          <w:bCs/>
          <w:color w:val="0000E1"/>
        </w:rPr>
        <w:t>univariate and multivariable regression models</w:t>
      </w:r>
      <w:r w:rsidR="00E57C81">
        <w:rPr>
          <w:rFonts w:cs="Calibri"/>
          <w:bCs/>
          <w:color w:val="0000E1"/>
        </w:rPr>
        <w:t xml:space="preserve">. </w:t>
      </w:r>
    </w:p>
    <w:p w14:paraId="62940A43" w14:textId="77777777" w:rsidR="004A4119" w:rsidRPr="007C0FC0" w:rsidRDefault="004A4119" w:rsidP="00CF7C98">
      <w:pPr>
        <w:autoSpaceDE w:val="0"/>
        <w:autoSpaceDN w:val="0"/>
        <w:adjustRightInd w:val="0"/>
        <w:spacing w:after="0" w:line="240" w:lineRule="auto"/>
        <w:rPr>
          <w:rFonts w:cs="Calibri"/>
          <w:bCs/>
          <w:color w:val="0000E1"/>
        </w:rPr>
      </w:pPr>
    </w:p>
    <w:p w14:paraId="5D4F303E" w14:textId="71976EB5" w:rsidR="00CF7C98" w:rsidRPr="007C0FC0" w:rsidRDefault="00CF7C98" w:rsidP="00CF7C98">
      <w:pPr>
        <w:autoSpaceDE w:val="0"/>
        <w:autoSpaceDN w:val="0"/>
        <w:adjustRightInd w:val="0"/>
        <w:spacing w:after="0" w:line="240" w:lineRule="auto"/>
        <w:rPr>
          <w:rFonts w:cs="Calibri"/>
          <w:bCs/>
          <w:i/>
          <w:color w:val="0000E1"/>
        </w:rPr>
      </w:pPr>
      <w:r w:rsidRPr="007C0FC0">
        <w:rPr>
          <w:rFonts w:cs="Calibri"/>
          <w:bCs/>
          <w:i/>
          <w:color w:val="0000E1"/>
        </w:rPr>
        <w:t xml:space="preserve">Note: The univariate models were run with one variable at </w:t>
      </w:r>
      <w:r w:rsidR="00C66D63">
        <w:rPr>
          <w:rFonts w:cs="Calibri"/>
          <w:bCs/>
          <w:i/>
          <w:color w:val="0000E1"/>
        </w:rPr>
        <w:t xml:space="preserve">a </w:t>
      </w:r>
      <w:r w:rsidRPr="007C0FC0">
        <w:rPr>
          <w:rFonts w:cs="Calibri"/>
          <w:bCs/>
          <w:i/>
          <w:color w:val="0000E1"/>
        </w:rPr>
        <w:t>time but reported together in one table</w:t>
      </w:r>
      <w:r w:rsidR="00E57C81">
        <w:rPr>
          <w:rFonts w:cs="Calibri"/>
          <w:bCs/>
          <w:i/>
          <w:color w:val="0000E1"/>
        </w:rPr>
        <w:t xml:space="preserve">. </w:t>
      </w:r>
      <w:r w:rsidRPr="007C0FC0">
        <w:rPr>
          <w:rFonts w:cs="Calibri"/>
          <w:bCs/>
          <w:i/>
          <w:color w:val="0000E1"/>
        </w:rPr>
        <w:t xml:space="preserve">The multivariable models were run with all variables </w:t>
      </w:r>
      <w:r w:rsidR="00787CA4">
        <w:rPr>
          <w:rFonts w:cs="Calibri"/>
          <w:bCs/>
          <w:i/>
          <w:color w:val="0000E1"/>
        </w:rPr>
        <w:t>at the same time in the model</w:t>
      </w:r>
      <w:r w:rsidR="00E57C81">
        <w:rPr>
          <w:rFonts w:cs="Calibri"/>
          <w:bCs/>
          <w:i/>
          <w:color w:val="0000E1"/>
        </w:rPr>
        <w:t xml:space="preserve">. </w:t>
      </w:r>
      <w:r w:rsidR="0080021F">
        <w:rPr>
          <w:rFonts w:cs="Calibri"/>
          <w:bCs/>
          <w:i/>
          <w:color w:val="0000E1"/>
        </w:rPr>
        <w:t xml:space="preserve">p ≤0.001 for all </w:t>
      </w:r>
      <w:r w:rsidR="00787CA4" w:rsidRPr="007C0FC0">
        <w:rPr>
          <w:rFonts w:cs="Calibri"/>
          <w:bCs/>
          <w:i/>
          <w:color w:val="0000E1"/>
        </w:rPr>
        <w:t>variables</w:t>
      </w:r>
      <w:r w:rsidR="0080021F">
        <w:rPr>
          <w:rFonts w:cs="Calibri"/>
          <w:bCs/>
          <w:i/>
          <w:color w:val="0000E1"/>
        </w:rPr>
        <w:t xml:space="preserve"> in univariate analysis</w:t>
      </w:r>
      <w:r w:rsidR="00787CA4" w:rsidRPr="007C0FC0">
        <w:rPr>
          <w:rFonts w:cs="Calibri"/>
          <w:bCs/>
          <w:i/>
          <w:color w:val="0000E1"/>
        </w:rPr>
        <w:t xml:space="preserve"> unless otherwise specified</w:t>
      </w:r>
      <w:r w:rsidR="00787CA4">
        <w:rPr>
          <w:rFonts w:cs="Calibri"/>
          <w:bCs/>
          <w:i/>
          <w:color w:val="0000E1"/>
        </w:rPr>
        <w:t xml:space="preserve">. </w:t>
      </w:r>
      <w:r w:rsidR="00E84D07" w:rsidRPr="007C0FC0">
        <w:rPr>
          <w:rFonts w:cs="Calibri"/>
          <w:bCs/>
          <w:i/>
          <w:color w:val="0000E1"/>
        </w:rPr>
        <w:t>All analyses were conducted</w:t>
      </w:r>
      <w:r w:rsidR="005124C5" w:rsidRPr="007C0FC0">
        <w:rPr>
          <w:rFonts w:cs="Calibri"/>
          <w:bCs/>
          <w:i/>
          <w:color w:val="0000E1"/>
        </w:rPr>
        <w:t xml:space="preserve"> using SAS </w:t>
      </w:r>
      <w:r w:rsidR="00E1567D" w:rsidRPr="007C0FC0">
        <w:rPr>
          <w:rFonts w:cs="Calibri"/>
          <w:bCs/>
          <w:i/>
          <w:color w:val="0000E1"/>
        </w:rPr>
        <w:t>Foundation 9.4</w:t>
      </w:r>
      <w:r w:rsidR="00E84D07" w:rsidRPr="007C0FC0">
        <w:rPr>
          <w:rFonts w:cs="Calibri"/>
          <w:bCs/>
          <w:i/>
          <w:color w:val="0000E1"/>
        </w:rPr>
        <w:t xml:space="preserve">. </w:t>
      </w:r>
    </w:p>
    <w:p w14:paraId="41FA92CA" w14:textId="77777777" w:rsidR="004E6D45" w:rsidRPr="007C0FC0" w:rsidRDefault="004E6D45" w:rsidP="00001D73">
      <w:pPr>
        <w:autoSpaceDE w:val="0"/>
        <w:autoSpaceDN w:val="0"/>
        <w:adjustRightInd w:val="0"/>
        <w:spacing w:after="0" w:line="240" w:lineRule="auto"/>
        <w:rPr>
          <w:rFonts w:cs="Calibri"/>
          <w:bCs/>
          <w:color w:val="0000E1"/>
        </w:rPr>
      </w:pPr>
    </w:p>
    <w:p w14:paraId="44DE282C" w14:textId="77777777" w:rsidR="004E6D45" w:rsidRPr="007C0FC0" w:rsidRDefault="00047CF3" w:rsidP="00904DB4">
      <w:pPr>
        <w:autoSpaceDE w:val="0"/>
        <w:autoSpaceDN w:val="0"/>
        <w:adjustRightInd w:val="0"/>
        <w:spacing w:after="0" w:line="240" w:lineRule="auto"/>
        <w:rPr>
          <w:rFonts w:cs="Calibri"/>
          <w:b/>
          <w:bCs/>
          <w:color w:val="0000E1"/>
        </w:rPr>
      </w:pPr>
      <w:r w:rsidRPr="007C0FC0">
        <w:rPr>
          <w:rFonts w:cs="Calibri"/>
          <w:b/>
          <w:bCs/>
          <w:color w:val="0000E1"/>
        </w:rPr>
        <w:t>Table 1</w:t>
      </w:r>
      <w:r w:rsidR="000711C0" w:rsidRPr="007C0FC0">
        <w:rPr>
          <w:rFonts w:cs="Calibri"/>
          <w:b/>
          <w:bCs/>
          <w:color w:val="0000E1"/>
        </w:rPr>
        <w:t>1</w:t>
      </w:r>
      <w:r w:rsidR="004E6D45" w:rsidRPr="007C0FC0">
        <w:rPr>
          <w:rFonts w:cs="Calibri"/>
          <w:b/>
          <w:bCs/>
          <w:color w:val="0000E1"/>
        </w:rPr>
        <w:t>. Univariate (Unadjusted) and Multivariable (Adjusted)</w:t>
      </w:r>
      <w:r w:rsidR="00F910A0" w:rsidRPr="007C0FC0">
        <w:rPr>
          <w:rFonts w:cs="Calibri"/>
          <w:b/>
          <w:bCs/>
          <w:color w:val="0000E1"/>
        </w:rPr>
        <w:t xml:space="preserve"> Logistic Regression Results – </w:t>
      </w:r>
      <w:r w:rsidR="004E6D45" w:rsidRPr="007C0FC0">
        <w:rPr>
          <w:rFonts w:cs="Calibri"/>
          <w:b/>
          <w:bCs/>
          <w:color w:val="0000E1"/>
        </w:rPr>
        <w:t xml:space="preserve">Diabetes </w:t>
      </w:r>
    </w:p>
    <w:tbl>
      <w:tblPr>
        <w:tblW w:w="9274" w:type="dxa"/>
        <w:tblInd w:w="85" w:type="dxa"/>
        <w:tblLook w:val="04A0" w:firstRow="1" w:lastRow="0" w:firstColumn="1" w:lastColumn="0" w:noHBand="0" w:noVBand="1"/>
      </w:tblPr>
      <w:tblGrid>
        <w:gridCol w:w="2852"/>
        <w:gridCol w:w="1016"/>
        <w:gridCol w:w="628"/>
        <w:gridCol w:w="1111"/>
        <w:gridCol w:w="1016"/>
        <w:gridCol w:w="710"/>
        <w:gridCol w:w="1111"/>
        <w:gridCol w:w="830"/>
      </w:tblGrid>
      <w:tr w:rsidR="00787CA4" w:rsidRPr="007C0FC0" w14:paraId="7B1E1E10" w14:textId="77777777" w:rsidTr="004A4119">
        <w:trPr>
          <w:trHeight w:val="158"/>
          <w:tblHeader/>
        </w:trPr>
        <w:tc>
          <w:tcPr>
            <w:tcW w:w="29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B80331" w14:textId="77777777" w:rsidR="004E6D45" w:rsidRPr="007C0FC0" w:rsidRDefault="004E6D45" w:rsidP="00DE1E05">
            <w:pPr>
              <w:spacing w:after="0" w:line="240" w:lineRule="auto"/>
              <w:rPr>
                <w:rFonts w:eastAsia="Times New Roman" w:cstheme="minorHAnsi"/>
                <w:b/>
                <w:bCs/>
                <w:color w:val="0000E1"/>
              </w:rPr>
            </w:pPr>
            <w:r w:rsidRPr="007C0FC0">
              <w:rPr>
                <w:rFonts w:eastAsia="Times New Roman" w:cstheme="minorHAnsi"/>
                <w:b/>
                <w:bCs/>
                <w:color w:val="0000E1"/>
              </w:rPr>
              <w:t> </w:t>
            </w:r>
          </w:p>
        </w:tc>
        <w:tc>
          <w:tcPr>
            <w:tcW w:w="2590" w:type="dxa"/>
            <w:gridSpan w:val="3"/>
            <w:tcBorders>
              <w:top w:val="single" w:sz="4" w:space="0" w:color="auto"/>
              <w:left w:val="nil"/>
              <w:bottom w:val="single" w:sz="4" w:space="0" w:color="auto"/>
              <w:right w:val="single" w:sz="4" w:space="0" w:color="auto"/>
            </w:tcBorders>
            <w:shd w:val="clear" w:color="auto" w:fill="auto"/>
            <w:vAlign w:val="center"/>
            <w:hideMark/>
          </w:tcPr>
          <w:p w14:paraId="435F3529" w14:textId="77777777" w:rsidR="004E6D45" w:rsidRPr="007C0FC0" w:rsidRDefault="004E6D45" w:rsidP="00DE1E05">
            <w:pPr>
              <w:spacing w:after="0" w:line="240" w:lineRule="auto"/>
              <w:jc w:val="center"/>
              <w:rPr>
                <w:rFonts w:eastAsia="Times New Roman" w:cstheme="minorHAnsi"/>
                <w:b/>
                <w:bCs/>
                <w:color w:val="0000E1"/>
              </w:rPr>
            </w:pPr>
            <w:r w:rsidRPr="007C0FC0">
              <w:rPr>
                <w:rFonts w:eastAsia="Times New Roman" w:cstheme="minorHAnsi"/>
                <w:b/>
                <w:bCs/>
                <w:color w:val="0000E1"/>
              </w:rPr>
              <w:t>Unadjusted</w:t>
            </w:r>
          </w:p>
        </w:tc>
        <w:tc>
          <w:tcPr>
            <w:tcW w:w="3714" w:type="dxa"/>
            <w:gridSpan w:val="4"/>
            <w:tcBorders>
              <w:top w:val="single" w:sz="4" w:space="0" w:color="auto"/>
              <w:left w:val="nil"/>
              <w:bottom w:val="single" w:sz="4" w:space="0" w:color="auto"/>
              <w:right w:val="single" w:sz="4" w:space="0" w:color="auto"/>
            </w:tcBorders>
            <w:shd w:val="clear" w:color="auto" w:fill="auto"/>
            <w:vAlign w:val="center"/>
            <w:hideMark/>
          </w:tcPr>
          <w:p w14:paraId="36872EE0" w14:textId="77777777" w:rsidR="004E6D45" w:rsidRPr="007C0FC0" w:rsidRDefault="004E6D45" w:rsidP="00DE1E05">
            <w:pPr>
              <w:spacing w:after="0" w:line="240" w:lineRule="auto"/>
              <w:jc w:val="center"/>
              <w:rPr>
                <w:rFonts w:eastAsia="Times New Roman" w:cstheme="minorHAnsi"/>
                <w:b/>
                <w:bCs/>
                <w:color w:val="0000E1"/>
              </w:rPr>
            </w:pPr>
            <w:r w:rsidRPr="007C0FC0">
              <w:rPr>
                <w:rFonts w:eastAsia="Times New Roman" w:cstheme="minorHAnsi"/>
                <w:b/>
                <w:bCs/>
                <w:color w:val="0000E1"/>
              </w:rPr>
              <w:t>Adjusted</w:t>
            </w:r>
          </w:p>
        </w:tc>
      </w:tr>
      <w:tr w:rsidR="00787CA4" w:rsidRPr="007C0FC0" w14:paraId="55FCEED8" w14:textId="77777777" w:rsidTr="004A4119">
        <w:trPr>
          <w:trHeight w:val="331"/>
        </w:trPr>
        <w:tc>
          <w:tcPr>
            <w:tcW w:w="2970" w:type="dxa"/>
            <w:tcBorders>
              <w:top w:val="nil"/>
              <w:left w:val="single" w:sz="4" w:space="0" w:color="auto"/>
              <w:bottom w:val="single" w:sz="4" w:space="0" w:color="auto"/>
              <w:right w:val="single" w:sz="4" w:space="0" w:color="auto"/>
            </w:tcBorders>
            <w:shd w:val="clear" w:color="auto" w:fill="auto"/>
            <w:vAlign w:val="center"/>
            <w:hideMark/>
          </w:tcPr>
          <w:p w14:paraId="4D745215" w14:textId="77777777" w:rsidR="004E6D45" w:rsidRPr="007C0FC0" w:rsidRDefault="004E6D45" w:rsidP="00DE1E05">
            <w:pPr>
              <w:spacing w:after="0" w:line="240" w:lineRule="auto"/>
              <w:rPr>
                <w:rFonts w:eastAsia="Times New Roman" w:cstheme="minorHAnsi"/>
                <w:b/>
                <w:bCs/>
                <w:color w:val="0000E1"/>
              </w:rPr>
            </w:pPr>
            <w:r w:rsidRPr="007C0FC0">
              <w:rPr>
                <w:rFonts w:eastAsia="Times New Roman" w:cstheme="minorHAnsi"/>
                <w:b/>
                <w:bCs/>
                <w:color w:val="0000E1"/>
              </w:rPr>
              <w:t>Characteristic</w:t>
            </w:r>
          </w:p>
        </w:tc>
        <w:tc>
          <w:tcPr>
            <w:tcW w:w="810" w:type="dxa"/>
            <w:tcBorders>
              <w:top w:val="nil"/>
              <w:left w:val="nil"/>
              <w:bottom w:val="single" w:sz="4" w:space="0" w:color="auto"/>
              <w:right w:val="single" w:sz="4" w:space="0" w:color="auto"/>
            </w:tcBorders>
            <w:shd w:val="clear" w:color="auto" w:fill="auto"/>
            <w:vAlign w:val="center"/>
            <w:hideMark/>
          </w:tcPr>
          <w:p w14:paraId="027DDCA7" w14:textId="77777777" w:rsidR="004E6D45" w:rsidRPr="007C0FC0" w:rsidRDefault="004E6D45" w:rsidP="00DE1E05">
            <w:pPr>
              <w:spacing w:after="0" w:line="240" w:lineRule="auto"/>
              <w:jc w:val="center"/>
              <w:rPr>
                <w:rFonts w:eastAsia="Times New Roman" w:cstheme="minorHAnsi"/>
                <w:b/>
                <w:bCs/>
                <w:color w:val="0000E1"/>
              </w:rPr>
            </w:pPr>
            <w:proofErr w:type="spellStart"/>
            <w:r w:rsidRPr="007C0FC0">
              <w:rPr>
                <w:rFonts w:eastAsia="Times New Roman" w:cstheme="minorHAnsi"/>
                <w:b/>
                <w:bCs/>
                <w:color w:val="0000E1"/>
              </w:rPr>
              <w:t>Coeff</w:t>
            </w:r>
            <w:proofErr w:type="spellEnd"/>
            <w:r w:rsidRPr="007C0FC0">
              <w:rPr>
                <w:rFonts w:eastAsia="Times New Roman" w:cstheme="minorHAnsi"/>
                <w:b/>
                <w:bCs/>
                <w:color w:val="0000E1"/>
              </w:rPr>
              <w:t xml:space="preserve"> Estimate</w:t>
            </w:r>
          </w:p>
        </w:tc>
        <w:tc>
          <w:tcPr>
            <w:tcW w:w="630" w:type="dxa"/>
            <w:tcBorders>
              <w:top w:val="nil"/>
              <w:left w:val="nil"/>
              <w:bottom w:val="single" w:sz="4" w:space="0" w:color="auto"/>
              <w:right w:val="single" w:sz="4" w:space="0" w:color="auto"/>
            </w:tcBorders>
            <w:shd w:val="clear" w:color="auto" w:fill="auto"/>
            <w:vAlign w:val="center"/>
            <w:hideMark/>
          </w:tcPr>
          <w:p w14:paraId="3186B129" w14:textId="77777777" w:rsidR="004E6D45" w:rsidRPr="007C0FC0" w:rsidRDefault="004E6D45" w:rsidP="00DE1E05">
            <w:pPr>
              <w:spacing w:after="0" w:line="240" w:lineRule="auto"/>
              <w:jc w:val="center"/>
              <w:rPr>
                <w:rFonts w:eastAsia="Times New Roman" w:cstheme="minorHAnsi"/>
                <w:b/>
                <w:bCs/>
                <w:color w:val="0000E1"/>
              </w:rPr>
            </w:pPr>
            <w:r w:rsidRPr="007C0FC0">
              <w:rPr>
                <w:rFonts w:eastAsia="Times New Roman" w:cstheme="minorHAnsi"/>
                <w:b/>
                <w:bCs/>
                <w:color w:val="0000E1"/>
              </w:rPr>
              <w:t>OR</w:t>
            </w:r>
          </w:p>
        </w:tc>
        <w:tc>
          <w:tcPr>
            <w:tcW w:w="1150" w:type="dxa"/>
            <w:tcBorders>
              <w:top w:val="nil"/>
              <w:left w:val="nil"/>
              <w:bottom w:val="single" w:sz="4" w:space="0" w:color="auto"/>
              <w:right w:val="single" w:sz="4" w:space="0" w:color="auto"/>
            </w:tcBorders>
            <w:shd w:val="clear" w:color="auto" w:fill="auto"/>
            <w:vAlign w:val="center"/>
            <w:hideMark/>
          </w:tcPr>
          <w:p w14:paraId="1747381C" w14:textId="77777777" w:rsidR="004E6D45" w:rsidRPr="007C0FC0" w:rsidRDefault="004E6D45" w:rsidP="00DE1E05">
            <w:pPr>
              <w:spacing w:after="0" w:line="240" w:lineRule="auto"/>
              <w:jc w:val="center"/>
              <w:rPr>
                <w:rFonts w:eastAsia="Times New Roman" w:cstheme="minorHAnsi"/>
                <w:b/>
                <w:bCs/>
                <w:color w:val="0000E1"/>
              </w:rPr>
            </w:pPr>
            <w:r w:rsidRPr="007C0FC0">
              <w:rPr>
                <w:rFonts w:eastAsia="Times New Roman" w:cstheme="minorHAnsi"/>
                <w:b/>
                <w:bCs/>
                <w:color w:val="0000E1"/>
              </w:rPr>
              <w:t>95% CI</w:t>
            </w:r>
          </w:p>
        </w:tc>
        <w:tc>
          <w:tcPr>
            <w:tcW w:w="1016" w:type="dxa"/>
            <w:tcBorders>
              <w:top w:val="nil"/>
              <w:left w:val="nil"/>
              <w:bottom w:val="single" w:sz="4" w:space="0" w:color="auto"/>
              <w:right w:val="single" w:sz="4" w:space="0" w:color="auto"/>
            </w:tcBorders>
            <w:shd w:val="clear" w:color="auto" w:fill="auto"/>
            <w:vAlign w:val="center"/>
            <w:hideMark/>
          </w:tcPr>
          <w:p w14:paraId="224035DB" w14:textId="77777777" w:rsidR="004E6D45" w:rsidRPr="007C0FC0" w:rsidRDefault="004E6D45" w:rsidP="00DE1E05">
            <w:pPr>
              <w:spacing w:after="0" w:line="240" w:lineRule="auto"/>
              <w:jc w:val="center"/>
              <w:rPr>
                <w:rFonts w:eastAsia="Times New Roman" w:cstheme="minorHAnsi"/>
                <w:b/>
                <w:bCs/>
                <w:color w:val="0000E1"/>
              </w:rPr>
            </w:pPr>
            <w:proofErr w:type="spellStart"/>
            <w:r w:rsidRPr="007C0FC0">
              <w:rPr>
                <w:rFonts w:eastAsia="Times New Roman" w:cstheme="minorHAnsi"/>
                <w:b/>
                <w:bCs/>
                <w:color w:val="0000E1"/>
              </w:rPr>
              <w:t>Coeff</w:t>
            </w:r>
            <w:proofErr w:type="spellEnd"/>
            <w:r w:rsidRPr="007C0FC0">
              <w:rPr>
                <w:rFonts w:eastAsia="Times New Roman" w:cstheme="minorHAnsi"/>
                <w:b/>
                <w:bCs/>
                <w:color w:val="0000E1"/>
              </w:rPr>
              <w:t xml:space="preserve"> Estimate</w:t>
            </w:r>
          </w:p>
        </w:tc>
        <w:tc>
          <w:tcPr>
            <w:tcW w:w="719" w:type="dxa"/>
            <w:tcBorders>
              <w:top w:val="nil"/>
              <w:left w:val="nil"/>
              <w:bottom w:val="single" w:sz="4" w:space="0" w:color="auto"/>
              <w:right w:val="single" w:sz="4" w:space="0" w:color="auto"/>
            </w:tcBorders>
            <w:shd w:val="clear" w:color="auto" w:fill="auto"/>
            <w:vAlign w:val="center"/>
            <w:hideMark/>
          </w:tcPr>
          <w:p w14:paraId="145EE86E" w14:textId="77777777" w:rsidR="004E6D45" w:rsidRPr="007C0FC0" w:rsidRDefault="004E6D45" w:rsidP="00DE1E05">
            <w:pPr>
              <w:spacing w:after="0" w:line="240" w:lineRule="auto"/>
              <w:jc w:val="center"/>
              <w:rPr>
                <w:rFonts w:eastAsia="Times New Roman" w:cstheme="minorHAnsi"/>
                <w:b/>
                <w:bCs/>
                <w:color w:val="0000E1"/>
              </w:rPr>
            </w:pPr>
            <w:r w:rsidRPr="007C0FC0">
              <w:rPr>
                <w:rFonts w:eastAsia="Times New Roman" w:cstheme="minorHAnsi"/>
                <w:b/>
                <w:bCs/>
                <w:color w:val="0000E1"/>
              </w:rPr>
              <w:t>OR</w:t>
            </w:r>
          </w:p>
        </w:tc>
        <w:tc>
          <w:tcPr>
            <w:tcW w:w="1149" w:type="dxa"/>
            <w:tcBorders>
              <w:top w:val="nil"/>
              <w:left w:val="nil"/>
              <w:bottom w:val="single" w:sz="4" w:space="0" w:color="auto"/>
              <w:right w:val="single" w:sz="4" w:space="0" w:color="auto"/>
            </w:tcBorders>
            <w:shd w:val="clear" w:color="auto" w:fill="auto"/>
            <w:vAlign w:val="center"/>
            <w:hideMark/>
          </w:tcPr>
          <w:p w14:paraId="18077D95" w14:textId="77777777" w:rsidR="004E6D45" w:rsidRPr="007C0FC0" w:rsidRDefault="004E6D45" w:rsidP="00DE1E05">
            <w:pPr>
              <w:spacing w:after="0" w:line="240" w:lineRule="auto"/>
              <w:jc w:val="center"/>
              <w:rPr>
                <w:rFonts w:eastAsia="Times New Roman" w:cstheme="minorHAnsi"/>
                <w:b/>
                <w:bCs/>
                <w:color w:val="0000E1"/>
              </w:rPr>
            </w:pPr>
            <w:r w:rsidRPr="007C0FC0">
              <w:rPr>
                <w:rFonts w:eastAsia="Times New Roman" w:cstheme="minorHAnsi"/>
                <w:b/>
                <w:bCs/>
                <w:color w:val="0000E1"/>
              </w:rPr>
              <w:t>95% CI</w:t>
            </w:r>
          </w:p>
        </w:tc>
        <w:tc>
          <w:tcPr>
            <w:tcW w:w="830" w:type="dxa"/>
            <w:tcBorders>
              <w:top w:val="nil"/>
              <w:left w:val="nil"/>
              <w:bottom w:val="single" w:sz="4" w:space="0" w:color="auto"/>
              <w:right w:val="single" w:sz="4" w:space="0" w:color="auto"/>
            </w:tcBorders>
            <w:shd w:val="clear" w:color="auto" w:fill="auto"/>
            <w:vAlign w:val="center"/>
            <w:hideMark/>
          </w:tcPr>
          <w:p w14:paraId="72698AC0" w14:textId="77777777" w:rsidR="004E6D45" w:rsidRPr="007C0FC0" w:rsidRDefault="0081359F" w:rsidP="00DE1E05">
            <w:pPr>
              <w:spacing w:after="0" w:line="240" w:lineRule="auto"/>
              <w:jc w:val="center"/>
              <w:rPr>
                <w:rFonts w:eastAsia="Times New Roman" w:cstheme="minorHAnsi"/>
                <w:b/>
                <w:bCs/>
                <w:color w:val="0000E1"/>
              </w:rPr>
            </w:pPr>
            <w:r w:rsidRPr="007C0FC0">
              <w:rPr>
                <w:rFonts w:eastAsia="Times New Roman" w:cstheme="minorHAnsi"/>
                <w:b/>
                <w:bCs/>
                <w:color w:val="0000E1"/>
              </w:rPr>
              <w:t>p-Value</w:t>
            </w:r>
          </w:p>
        </w:tc>
      </w:tr>
      <w:tr w:rsidR="00787CA4" w:rsidRPr="007C0FC0" w14:paraId="122AD85B" w14:textId="77777777" w:rsidTr="004A4119">
        <w:trPr>
          <w:trHeight w:val="158"/>
        </w:trPr>
        <w:tc>
          <w:tcPr>
            <w:tcW w:w="2970" w:type="dxa"/>
            <w:tcBorders>
              <w:top w:val="nil"/>
              <w:left w:val="single" w:sz="4" w:space="0" w:color="auto"/>
              <w:bottom w:val="single" w:sz="4" w:space="0" w:color="auto"/>
              <w:right w:val="single" w:sz="4" w:space="0" w:color="auto"/>
            </w:tcBorders>
            <w:shd w:val="clear" w:color="auto" w:fill="auto"/>
            <w:vAlign w:val="center"/>
            <w:hideMark/>
          </w:tcPr>
          <w:p w14:paraId="6363C17D" w14:textId="77777777" w:rsidR="004E6D45" w:rsidRPr="007C0FC0" w:rsidRDefault="004E6D45" w:rsidP="00DE1E05">
            <w:pPr>
              <w:spacing w:after="0" w:line="240" w:lineRule="auto"/>
              <w:rPr>
                <w:rFonts w:eastAsia="Times New Roman" w:cstheme="minorHAnsi"/>
                <w:bCs/>
                <w:color w:val="0000E1"/>
              </w:rPr>
            </w:pPr>
            <w:r w:rsidRPr="007C0FC0">
              <w:rPr>
                <w:rFonts w:eastAsia="Times New Roman" w:cstheme="minorHAnsi"/>
                <w:bCs/>
                <w:color w:val="0000E1"/>
              </w:rPr>
              <w:t>Age Group (Ref = 80+)</w:t>
            </w:r>
          </w:p>
        </w:tc>
        <w:tc>
          <w:tcPr>
            <w:tcW w:w="810" w:type="dxa"/>
            <w:tcBorders>
              <w:top w:val="nil"/>
              <w:left w:val="nil"/>
              <w:bottom w:val="single" w:sz="4" w:space="0" w:color="auto"/>
              <w:right w:val="single" w:sz="4" w:space="0" w:color="auto"/>
            </w:tcBorders>
            <w:shd w:val="clear" w:color="auto" w:fill="auto"/>
            <w:vAlign w:val="center"/>
            <w:hideMark/>
          </w:tcPr>
          <w:p w14:paraId="0502BD44" w14:textId="77777777" w:rsidR="004E6D45" w:rsidRPr="007C0FC0" w:rsidRDefault="004E6D45" w:rsidP="00DE1E05">
            <w:pPr>
              <w:spacing w:after="0" w:line="240" w:lineRule="auto"/>
              <w:rPr>
                <w:rFonts w:eastAsia="Times New Roman" w:cstheme="minorHAnsi"/>
                <w:color w:val="0000E1"/>
              </w:rPr>
            </w:pPr>
            <w:r w:rsidRPr="007C0FC0">
              <w:rPr>
                <w:rFonts w:eastAsia="Times New Roman" w:cstheme="minorHAnsi"/>
                <w:color w:val="0000E1"/>
              </w:rPr>
              <w:t> </w:t>
            </w:r>
          </w:p>
        </w:tc>
        <w:tc>
          <w:tcPr>
            <w:tcW w:w="630" w:type="dxa"/>
            <w:tcBorders>
              <w:top w:val="nil"/>
              <w:left w:val="nil"/>
              <w:bottom w:val="single" w:sz="4" w:space="0" w:color="auto"/>
              <w:right w:val="single" w:sz="4" w:space="0" w:color="auto"/>
            </w:tcBorders>
            <w:shd w:val="clear" w:color="auto" w:fill="auto"/>
            <w:vAlign w:val="center"/>
            <w:hideMark/>
          </w:tcPr>
          <w:p w14:paraId="55239FE9" w14:textId="77777777" w:rsidR="004E6D45" w:rsidRPr="007C0FC0" w:rsidRDefault="004E6D45" w:rsidP="00DE1E05">
            <w:pPr>
              <w:spacing w:after="0" w:line="240" w:lineRule="auto"/>
              <w:rPr>
                <w:rFonts w:eastAsia="Times New Roman" w:cstheme="minorHAnsi"/>
                <w:color w:val="0000E1"/>
              </w:rPr>
            </w:pPr>
            <w:r w:rsidRPr="007C0FC0">
              <w:rPr>
                <w:rFonts w:eastAsia="Times New Roman" w:cstheme="minorHAnsi"/>
                <w:color w:val="0000E1"/>
              </w:rPr>
              <w:t> </w:t>
            </w:r>
          </w:p>
        </w:tc>
        <w:tc>
          <w:tcPr>
            <w:tcW w:w="1150" w:type="dxa"/>
            <w:tcBorders>
              <w:top w:val="nil"/>
              <w:left w:val="nil"/>
              <w:bottom w:val="single" w:sz="4" w:space="0" w:color="auto"/>
              <w:right w:val="single" w:sz="4" w:space="0" w:color="auto"/>
            </w:tcBorders>
            <w:shd w:val="clear" w:color="auto" w:fill="auto"/>
            <w:vAlign w:val="center"/>
            <w:hideMark/>
          </w:tcPr>
          <w:p w14:paraId="52BA8F0D" w14:textId="77777777" w:rsidR="004E6D45" w:rsidRPr="007C0FC0" w:rsidRDefault="004E6D45" w:rsidP="00DE1E05">
            <w:pPr>
              <w:spacing w:after="0" w:line="240" w:lineRule="auto"/>
              <w:rPr>
                <w:rFonts w:eastAsia="Times New Roman" w:cstheme="minorHAnsi"/>
                <w:color w:val="0000E1"/>
              </w:rPr>
            </w:pPr>
            <w:r w:rsidRPr="007C0FC0">
              <w:rPr>
                <w:rFonts w:eastAsia="Times New Roman" w:cstheme="minorHAnsi"/>
                <w:color w:val="0000E1"/>
              </w:rPr>
              <w:t> </w:t>
            </w:r>
          </w:p>
        </w:tc>
        <w:tc>
          <w:tcPr>
            <w:tcW w:w="1016" w:type="dxa"/>
            <w:tcBorders>
              <w:top w:val="nil"/>
              <w:left w:val="nil"/>
              <w:bottom w:val="single" w:sz="4" w:space="0" w:color="auto"/>
              <w:right w:val="single" w:sz="4" w:space="0" w:color="auto"/>
            </w:tcBorders>
            <w:shd w:val="clear" w:color="auto" w:fill="auto"/>
            <w:vAlign w:val="center"/>
            <w:hideMark/>
          </w:tcPr>
          <w:p w14:paraId="5A0EC4A8" w14:textId="77777777" w:rsidR="004E6D45" w:rsidRPr="007C0FC0" w:rsidRDefault="004E6D45" w:rsidP="00DE1E05">
            <w:pPr>
              <w:spacing w:after="0" w:line="240" w:lineRule="auto"/>
              <w:rPr>
                <w:rFonts w:eastAsia="Times New Roman" w:cstheme="minorHAnsi"/>
                <w:color w:val="0000E1"/>
              </w:rPr>
            </w:pPr>
            <w:r w:rsidRPr="007C0FC0">
              <w:rPr>
                <w:rFonts w:eastAsia="Times New Roman" w:cstheme="minorHAnsi"/>
                <w:color w:val="0000E1"/>
              </w:rPr>
              <w:t> </w:t>
            </w:r>
          </w:p>
        </w:tc>
        <w:tc>
          <w:tcPr>
            <w:tcW w:w="719" w:type="dxa"/>
            <w:tcBorders>
              <w:top w:val="nil"/>
              <w:left w:val="nil"/>
              <w:bottom w:val="single" w:sz="4" w:space="0" w:color="auto"/>
              <w:right w:val="single" w:sz="4" w:space="0" w:color="auto"/>
            </w:tcBorders>
            <w:shd w:val="clear" w:color="auto" w:fill="auto"/>
            <w:vAlign w:val="center"/>
            <w:hideMark/>
          </w:tcPr>
          <w:p w14:paraId="039B4032" w14:textId="77777777" w:rsidR="004E6D45" w:rsidRPr="007C0FC0" w:rsidRDefault="004E6D45" w:rsidP="00DE1E05">
            <w:pPr>
              <w:spacing w:after="0" w:line="240" w:lineRule="auto"/>
              <w:rPr>
                <w:rFonts w:eastAsia="Times New Roman" w:cstheme="minorHAnsi"/>
                <w:color w:val="0000E1"/>
              </w:rPr>
            </w:pPr>
            <w:r w:rsidRPr="007C0FC0">
              <w:rPr>
                <w:rFonts w:eastAsia="Times New Roman" w:cstheme="minorHAnsi"/>
                <w:color w:val="0000E1"/>
              </w:rPr>
              <w:t> </w:t>
            </w:r>
          </w:p>
        </w:tc>
        <w:tc>
          <w:tcPr>
            <w:tcW w:w="1149" w:type="dxa"/>
            <w:tcBorders>
              <w:top w:val="nil"/>
              <w:left w:val="nil"/>
              <w:bottom w:val="single" w:sz="4" w:space="0" w:color="auto"/>
              <w:right w:val="single" w:sz="4" w:space="0" w:color="auto"/>
            </w:tcBorders>
            <w:shd w:val="clear" w:color="auto" w:fill="auto"/>
            <w:vAlign w:val="center"/>
            <w:hideMark/>
          </w:tcPr>
          <w:p w14:paraId="75FA6580" w14:textId="77777777" w:rsidR="004E6D45" w:rsidRPr="007C0FC0" w:rsidRDefault="004E6D45" w:rsidP="00DE1E05">
            <w:pPr>
              <w:spacing w:after="0" w:line="240" w:lineRule="auto"/>
              <w:rPr>
                <w:rFonts w:eastAsia="Times New Roman" w:cstheme="minorHAnsi"/>
                <w:color w:val="0000E1"/>
              </w:rPr>
            </w:pPr>
            <w:r w:rsidRPr="007C0FC0">
              <w:rPr>
                <w:rFonts w:eastAsia="Times New Roman" w:cstheme="minorHAnsi"/>
                <w:color w:val="0000E1"/>
              </w:rPr>
              <w:t> </w:t>
            </w:r>
          </w:p>
        </w:tc>
        <w:tc>
          <w:tcPr>
            <w:tcW w:w="830" w:type="dxa"/>
            <w:tcBorders>
              <w:top w:val="nil"/>
              <w:left w:val="nil"/>
              <w:bottom w:val="single" w:sz="4" w:space="0" w:color="auto"/>
              <w:right w:val="single" w:sz="4" w:space="0" w:color="auto"/>
            </w:tcBorders>
            <w:shd w:val="clear" w:color="auto" w:fill="auto"/>
            <w:vAlign w:val="center"/>
            <w:hideMark/>
          </w:tcPr>
          <w:p w14:paraId="2214C734" w14:textId="77777777" w:rsidR="004E6D45" w:rsidRPr="007C0FC0" w:rsidRDefault="004E6D45" w:rsidP="00DE1E05">
            <w:pPr>
              <w:spacing w:after="0" w:line="240" w:lineRule="auto"/>
              <w:rPr>
                <w:rFonts w:eastAsia="Times New Roman" w:cstheme="minorHAnsi"/>
                <w:color w:val="0000E1"/>
              </w:rPr>
            </w:pPr>
            <w:r w:rsidRPr="007C0FC0">
              <w:rPr>
                <w:rFonts w:eastAsia="Times New Roman" w:cstheme="minorHAnsi"/>
                <w:color w:val="0000E1"/>
              </w:rPr>
              <w:t> </w:t>
            </w:r>
          </w:p>
        </w:tc>
      </w:tr>
      <w:tr w:rsidR="00787CA4" w:rsidRPr="007C0FC0" w14:paraId="13D436BC" w14:textId="77777777" w:rsidTr="004A4119">
        <w:trPr>
          <w:trHeight w:val="158"/>
        </w:trPr>
        <w:tc>
          <w:tcPr>
            <w:tcW w:w="2970" w:type="dxa"/>
            <w:tcBorders>
              <w:top w:val="nil"/>
              <w:left w:val="single" w:sz="4" w:space="0" w:color="auto"/>
              <w:bottom w:val="single" w:sz="4" w:space="0" w:color="auto"/>
              <w:right w:val="single" w:sz="4" w:space="0" w:color="auto"/>
            </w:tcBorders>
            <w:shd w:val="clear" w:color="auto" w:fill="auto"/>
            <w:vAlign w:val="center"/>
            <w:hideMark/>
          </w:tcPr>
          <w:p w14:paraId="10BAD2F5" w14:textId="77777777" w:rsidR="00EA1311" w:rsidRPr="007C0FC0" w:rsidRDefault="00EA1311" w:rsidP="00EA1311">
            <w:pPr>
              <w:spacing w:after="0" w:line="240" w:lineRule="auto"/>
              <w:jc w:val="right"/>
              <w:rPr>
                <w:rFonts w:eastAsia="Times New Roman" w:cstheme="minorHAnsi"/>
                <w:color w:val="0000E1"/>
              </w:rPr>
            </w:pPr>
            <w:r w:rsidRPr="007C0FC0">
              <w:rPr>
                <w:rFonts w:eastAsia="Times New Roman" w:cstheme="minorHAnsi"/>
                <w:color w:val="0000E1"/>
              </w:rPr>
              <w:t>18-54</w:t>
            </w:r>
          </w:p>
        </w:tc>
        <w:tc>
          <w:tcPr>
            <w:tcW w:w="810" w:type="dxa"/>
            <w:tcBorders>
              <w:top w:val="nil"/>
              <w:left w:val="nil"/>
              <w:bottom w:val="single" w:sz="4" w:space="0" w:color="auto"/>
              <w:right w:val="single" w:sz="4" w:space="0" w:color="auto"/>
            </w:tcBorders>
            <w:shd w:val="clear" w:color="auto" w:fill="auto"/>
            <w:vAlign w:val="center"/>
          </w:tcPr>
          <w:p w14:paraId="6A3BC7CF" w14:textId="77777777" w:rsidR="00EA1311" w:rsidRPr="007C0FC0" w:rsidRDefault="00EA1311" w:rsidP="00AE2BC8">
            <w:pPr>
              <w:spacing w:after="0" w:line="240" w:lineRule="auto"/>
              <w:jc w:val="right"/>
              <w:rPr>
                <w:rFonts w:eastAsia="Times New Roman" w:cstheme="minorHAnsi"/>
                <w:color w:val="0000E1"/>
              </w:rPr>
            </w:pPr>
            <w:r w:rsidRPr="007C0FC0">
              <w:rPr>
                <w:color w:val="0000E1"/>
              </w:rPr>
              <w:t>-0.6429</w:t>
            </w:r>
          </w:p>
        </w:tc>
        <w:tc>
          <w:tcPr>
            <w:tcW w:w="630" w:type="dxa"/>
            <w:tcBorders>
              <w:top w:val="nil"/>
              <w:left w:val="nil"/>
              <w:bottom w:val="single" w:sz="4" w:space="0" w:color="auto"/>
              <w:right w:val="single" w:sz="4" w:space="0" w:color="auto"/>
            </w:tcBorders>
            <w:shd w:val="clear" w:color="auto" w:fill="auto"/>
            <w:vAlign w:val="center"/>
          </w:tcPr>
          <w:p w14:paraId="126D42FE" w14:textId="77777777" w:rsidR="00EA1311" w:rsidRPr="007C0FC0" w:rsidRDefault="00EA1311" w:rsidP="00AE2BC8">
            <w:pPr>
              <w:spacing w:after="0" w:line="240" w:lineRule="auto"/>
              <w:jc w:val="right"/>
              <w:rPr>
                <w:rFonts w:eastAsia="Times New Roman" w:cstheme="minorHAnsi"/>
                <w:color w:val="0000E1"/>
              </w:rPr>
            </w:pPr>
            <w:r w:rsidRPr="007C0FC0">
              <w:rPr>
                <w:color w:val="0000E1"/>
              </w:rPr>
              <w:t>0.53</w:t>
            </w:r>
          </w:p>
        </w:tc>
        <w:tc>
          <w:tcPr>
            <w:tcW w:w="1150" w:type="dxa"/>
            <w:tcBorders>
              <w:top w:val="nil"/>
              <w:left w:val="nil"/>
              <w:bottom w:val="single" w:sz="4" w:space="0" w:color="auto"/>
              <w:right w:val="single" w:sz="4" w:space="0" w:color="auto"/>
            </w:tcBorders>
            <w:shd w:val="clear" w:color="auto" w:fill="auto"/>
            <w:vAlign w:val="center"/>
          </w:tcPr>
          <w:p w14:paraId="04AFC83E"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0.50, 0.53</w:t>
            </w:r>
          </w:p>
        </w:tc>
        <w:tc>
          <w:tcPr>
            <w:tcW w:w="1016" w:type="dxa"/>
            <w:tcBorders>
              <w:top w:val="nil"/>
              <w:left w:val="nil"/>
              <w:bottom w:val="single" w:sz="4" w:space="0" w:color="auto"/>
              <w:right w:val="single" w:sz="4" w:space="0" w:color="auto"/>
            </w:tcBorders>
            <w:shd w:val="clear" w:color="auto" w:fill="auto"/>
            <w:vAlign w:val="center"/>
          </w:tcPr>
          <w:p w14:paraId="66A1AE50" w14:textId="77777777" w:rsidR="00EA1311" w:rsidRPr="007C0FC0" w:rsidRDefault="00EA1311" w:rsidP="00AE2BC8">
            <w:pPr>
              <w:spacing w:after="0" w:line="240" w:lineRule="auto"/>
              <w:jc w:val="right"/>
              <w:rPr>
                <w:rFonts w:eastAsia="Times New Roman" w:cstheme="minorHAnsi"/>
                <w:color w:val="0000E1"/>
              </w:rPr>
            </w:pPr>
            <w:r w:rsidRPr="007C0FC0">
              <w:rPr>
                <w:color w:val="0000E1"/>
              </w:rPr>
              <w:t>-0.1491</w:t>
            </w:r>
          </w:p>
        </w:tc>
        <w:tc>
          <w:tcPr>
            <w:tcW w:w="719" w:type="dxa"/>
            <w:tcBorders>
              <w:top w:val="nil"/>
              <w:left w:val="nil"/>
              <w:bottom w:val="single" w:sz="4" w:space="0" w:color="auto"/>
              <w:right w:val="single" w:sz="4" w:space="0" w:color="auto"/>
            </w:tcBorders>
            <w:shd w:val="clear" w:color="auto" w:fill="auto"/>
            <w:vAlign w:val="center"/>
          </w:tcPr>
          <w:p w14:paraId="63A93151" w14:textId="77777777" w:rsidR="00EA1311" w:rsidRPr="007C0FC0" w:rsidRDefault="00EA1311" w:rsidP="00AE2BC8">
            <w:pPr>
              <w:spacing w:after="0" w:line="240" w:lineRule="auto"/>
              <w:jc w:val="right"/>
              <w:rPr>
                <w:rFonts w:eastAsia="Times New Roman" w:cstheme="minorHAnsi"/>
                <w:color w:val="0000E1"/>
              </w:rPr>
            </w:pPr>
            <w:r w:rsidRPr="007C0FC0">
              <w:rPr>
                <w:color w:val="0000E1"/>
              </w:rPr>
              <w:t>0.86</w:t>
            </w:r>
          </w:p>
        </w:tc>
        <w:tc>
          <w:tcPr>
            <w:tcW w:w="1149" w:type="dxa"/>
            <w:tcBorders>
              <w:top w:val="nil"/>
              <w:left w:val="nil"/>
              <w:bottom w:val="single" w:sz="4" w:space="0" w:color="auto"/>
              <w:right w:val="single" w:sz="4" w:space="0" w:color="auto"/>
            </w:tcBorders>
            <w:shd w:val="clear" w:color="auto" w:fill="auto"/>
            <w:vAlign w:val="center"/>
          </w:tcPr>
          <w:p w14:paraId="6CD5CCBC"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0.79, 0.94</w:t>
            </w:r>
          </w:p>
        </w:tc>
        <w:tc>
          <w:tcPr>
            <w:tcW w:w="830" w:type="dxa"/>
            <w:tcBorders>
              <w:top w:val="nil"/>
              <w:left w:val="nil"/>
              <w:bottom w:val="single" w:sz="4" w:space="0" w:color="auto"/>
              <w:right w:val="single" w:sz="4" w:space="0" w:color="auto"/>
            </w:tcBorders>
            <w:shd w:val="clear" w:color="auto" w:fill="auto"/>
            <w:vAlign w:val="center"/>
          </w:tcPr>
          <w:p w14:paraId="611C401B" w14:textId="77777777" w:rsidR="00EA1311" w:rsidRPr="007C0FC0" w:rsidRDefault="00EA1311" w:rsidP="00AE2BC8">
            <w:pPr>
              <w:spacing w:after="0" w:line="240" w:lineRule="auto"/>
              <w:jc w:val="right"/>
              <w:rPr>
                <w:rFonts w:eastAsia="Times New Roman" w:cstheme="minorHAnsi"/>
                <w:color w:val="0000E1"/>
              </w:rPr>
            </w:pPr>
            <w:r w:rsidRPr="007C0FC0">
              <w:rPr>
                <w:rFonts w:ascii="Calibri" w:hAnsi="Calibri" w:cs="Calibri"/>
                <w:color w:val="0000E1"/>
              </w:rPr>
              <w:t>0.0004</w:t>
            </w:r>
          </w:p>
        </w:tc>
      </w:tr>
      <w:tr w:rsidR="00787CA4" w:rsidRPr="007C0FC0" w14:paraId="13736321" w14:textId="77777777" w:rsidTr="004A4119">
        <w:trPr>
          <w:trHeight w:val="158"/>
        </w:trPr>
        <w:tc>
          <w:tcPr>
            <w:tcW w:w="2970" w:type="dxa"/>
            <w:tcBorders>
              <w:top w:val="nil"/>
              <w:left w:val="single" w:sz="4" w:space="0" w:color="auto"/>
              <w:bottom w:val="single" w:sz="4" w:space="0" w:color="auto"/>
              <w:right w:val="single" w:sz="4" w:space="0" w:color="auto"/>
            </w:tcBorders>
            <w:shd w:val="clear" w:color="auto" w:fill="auto"/>
            <w:vAlign w:val="center"/>
            <w:hideMark/>
          </w:tcPr>
          <w:p w14:paraId="4F44857D" w14:textId="77777777" w:rsidR="00EA1311" w:rsidRPr="007C0FC0" w:rsidRDefault="00EA1311" w:rsidP="00EA1311">
            <w:pPr>
              <w:spacing w:after="0" w:line="240" w:lineRule="auto"/>
              <w:jc w:val="right"/>
              <w:rPr>
                <w:rFonts w:eastAsia="Times New Roman" w:cstheme="minorHAnsi"/>
                <w:color w:val="0000E1"/>
              </w:rPr>
            </w:pPr>
            <w:r w:rsidRPr="007C0FC0">
              <w:rPr>
                <w:rFonts w:eastAsia="Times New Roman" w:cstheme="minorHAnsi"/>
                <w:color w:val="0000E1"/>
              </w:rPr>
              <w:t>55-64</w:t>
            </w:r>
          </w:p>
        </w:tc>
        <w:tc>
          <w:tcPr>
            <w:tcW w:w="810" w:type="dxa"/>
            <w:tcBorders>
              <w:top w:val="nil"/>
              <w:left w:val="nil"/>
              <w:bottom w:val="single" w:sz="4" w:space="0" w:color="auto"/>
              <w:right w:val="single" w:sz="4" w:space="0" w:color="auto"/>
            </w:tcBorders>
            <w:shd w:val="clear" w:color="auto" w:fill="auto"/>
            <w:vAlign w:val="center"/>
          </w:tcPr>
          <w:p w14:paraId="12C1F949" w14:textId="77777777" w:rsidR="00EA1311" w:rsidRPr="007C0FC0" w:rsidRDefault="00EA1311" w:rsidP="00AE2BC8">
            <w:pPr>
              <w:spacing w:after="0" w:line="240" w:lineRule="auto"/>
              <w:jc w:val="right"/>
              <w:rPr>
                <w:rFonts w:eastAsia="Times New Roman" w:cstheme="minorHAnsi"/>
                <w:color w:val="0000E1"/>
              </w:rPr>
            </w:pPr>
            <w:r w:rsidRPr="007C0FC0">
              <w:rPr>
                <w:color w:val="0000E1"/>
              </w:rPr>
              <w:t>-0.2558</w:t>
            </w:r>
          </w:p>
        </w:tc>
        <w:tc>
          <w:tcPr>
            <w:tcW w:w="630" w:type="dxa"/>
            <w:tcBorders>
              <w:top w:val="nil"/>
              <w:left w:val="nil"/>
              <w:bottom w:val="single" w:sz="4" w:space="0" w:color="auto"/>
              <w:right w:val="single" w:sz="4" w:space="0" w:color="auto"/>
            </w:tcBorders>
            <w:shd w:val="clear" w:color="auto" w:fill="auto"/>
            <w:vAlign w:val="center"/>
          </w:tcPr>
          <w:p w14:paraId="36851613" w14:textId="77777777" w:rsidR="00EA1311" w:rsidRPr="007C0FC0" w:rsidRDefault="00EA1311" w:rsidP="00AE2BC8">
            <w:pPr>
              <w:spacing w:after="0" w:line="240" w:lineRule="auto"/>
              <w:jc w:val="right"/>
              <w:rPr>
                <w:rFonts w:eastAsia="Times New Roman" w:cstheme="minorHAnsi"/>
                <w:color w:val="0000E1"/>
              </w:rPr>
            </w:pPr>
            <w:r w:rsidRPr="007C0FC0">
              <w:rPr>
                <w:color w:val="0000E1"/>
              </w:rPr>
              <w:t>0.77</w:t>
            </w:r>
          </w:p>
        </w:tc>
        <w:tc>
          <w:tcPr>
            <w:tcW w:w="1150" w:type="dxa"/>
            <w:tcBorders>
              <w:top w:val="nil"/>
              <w:left w:val="nil"/>
              <w:bottom w:val="single" w:sz="4" w:space="0" w:color="auto"/>
              <w:right w:val="single" w:sz="4" w:space="0" w:color="auto"/>
            </w:tcBorders>
            <w:shd w:val="clear" w:color="auto" w:fill="auto"/>
            <w:vAlign w:val="center"/>
          </w:tcPr>
          <w:p w14:paraId="2AACA55B"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0.75, 0.80</w:t>
            </w:r>
          </w:p>
        </w:tc>
        <w:tc>
          <w:tcPr>
            <w:tcW w:w="1016" w:type="dxa"/>
            <w:tcBorders>
              <w:top w:val="nil"/>
              <w:left w:val="nil"/>
              <w:bottom w:val="single" w:sz="4" w:space="0" w:color="auto"/>
              <w:right w:val="single" w:sz="4" w:space="0" w:color="auto"/>
            </w:tcBorders>
            <w:shd w:val="clear" w:color="auto" w:fill="auto"/>
            <w:vAlign w:val="center"/>
          </w:tcPr>
          <w:p w14:paraId="3C504E5A" w14:textId="77777777" w:rsidR="00EA1311" w:rsidRPr="007C0FC0" w:rsidRDefault="00EA1311" w:rsidP="00AE2BC8">
            <w:pPr>
              <w:spacing w:after="0" w:line="240" w:lineRule="auto"/>
              <w:jc w:val="right"/>
              <w:rPr>
                <w:rFonts w:eastAsia="Times New Roman" w:cstheme="minorHAnsi"/>
                <w:color w:val="0000E1"/>
              </w:rPr>
            </w:pPr>
            <w:r w:rsidRPr="007C0FC0">
              <w:rPr>
                <w:color w:val="0000E1"/>
              </w:rPr>
              <w:t>0.0936</w:t>
            </w:r>
          </w:p>
        </w:tc>
        <w:tc>
          <w:tcPr>
            <w:tcW w:w="719" w:type="dxa"/>
            <w:tcBorders>
              <w:top w:val="nil"/>
              <w:left w:val="nil"/>
              <w:bottom w:val="single" w:sz="4" w:space="0" w:color="auto"/>
              <w:right w:val="single" w:sz="4" w:space="0" w:color="auto"/>
            </w:tcBorders>
            <w:shd w:val="clear" w:color="auto" w:fill="auto"/>
            <w:vAlign w:val="center"/>
          </w:tcPr>
          <w:p w14:paraId="6FDAB8AC" w14:textId="77777777" w:rsidR="00EA1311" w:rsidRPr="007C0FC0" w:rsidRDefault="00EA1311" w:rsidP="00AE2BC8">
            <w:pPr>
              <w:spacing w:after="0" w:line="240" w:lineRule="auto"/>
              <w:jc w:val="right"/>
              <w:rPr>
                <w:rFonts w:eastAsia="Times New Roman" w:cstheme="minorHAnsi"/>
                <w:color w:val="0000E1"/>
              </w:rPr>
            </w:pPr>
            <w:r w:rsidRPr="007C0FC0">
              <w:rPr>
                <w:color w:val="0000E1"/>
              </w:rPr>
              <w:t>1.10</w:t>
            </w:r>
          </w:p>
        </w:tc>
        <w:tc>
          <w:tcPr>
            <w:tcW w:w="1149" w:type="dxa"/>
            <w:tcBorders>
              <w:top w:val="nil"/>
              <w:left w:val="nil"/>
              <w:bottom w:val="single" w:sz="4" w:space="0" w:color="auto"/>
              <w:right w:val="single" w:sz="4" w:space="0" w:color="auto"/>
            </w:tcBorders>
            <w:shd w:val="clear" w:color="auto" w:fill="auto"/>
            <w:vAlign w:val="center"/>
          </w:tcPr>
          <w:p w14:paraId="34EB807E"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1.03, 1.17</w:t>
            </w:r>
          </w:p>
        </w:tc>
        <w:tc>
          <w:tcPr>
            <w:tcW w:w="830" w:type="dxa"/>
            <w:tcBorders>
              <w:top w:val="nil"/>
              <w:left w:val="nil"/>
              <w:bottom w:val="single" w:sz="4" w:space="0" w:color="auto"/>
              <w:right w:val="single" w:sz="4" w:space="0" w:color="auto"/>
            </w:tcBorders>
            <w:shd w:val="clear" w:color="auto" w:fill="auto"/>
            <w:vAlign w:val="center"/>
          </w:tcPr>
          <w:p w14:paraId="49AD2BBA" w14:textId="77777777" w:rsidR="00EA1311" w:rsidRPr="007C0FC0" w:rsidRDefault="00EA1311" w:rsidP="00AE2BC8">
            <w:pPr>
              <w:spacing w:after="0" w:line="240" w:lineRule="auto"/>
              <w:jc w:val="right"/>
              <w:rPr>
                <w:rFonts w:eastAsia="Times New Roman" w:cstheme="minorHAnsi"/>
                <w:color w:val="0000E1"/>
              </w:rPr>
            </w:pPr>
            <w:r w:rsidRPr="007C0FC0">
              <w:rPr>
                <w:rFonts w:ascii="Calibri" w:hAnsi="Calibri" w:cs="Calibri"/>
                <w:color w:val="0000E1"/>
              </w:rPr>
              <w:t>0.0054</w:t>
            </w:r>
          </w:p>
        </w:tc>
      </w:tr>
      <w:tr w:rsidR="00787CA4" w:rsidRPr="007C0FC0" w14:paraId="3B3ABEAB" w14:textId="77777777" w:rsidTr="004A4119">
        <w:trPr>
          <w:trHeight w:val="158"/>
        </w:trPr>
        <w:tc>
          <w:tcPr>
            <w:tcW w:w="2970" w:type="dxa"/>
            <w:tcBorders>
              <w:top w:val="nil"/>
              <w:left w:val="single" w:sz="4" w:space="0" w:color="auto"/>
              <w:bottom w:val="single" w:sz="4" w:space="0" w:color="auto"/>
              <w:right w:val="single" w:sz="4" w:space="0" w:color="auto"/>
            </w:tcBorders>
            <w:shd w:val="clear" w:color="auto" w:fill="auto"/>
            <w:vAlign w:val="center"/>
            <w:hideMark/>
          </w:tcPr>
          <w:p w14:paraId="4CAE9353" w14:textId="77777777" w:rsidR="00EA1311" w:rsidRPr="007C0FC0" w:rsidRDefault="00EA1311" w:rsidP="00EA1311">
            <w:pPr>
              <w:spacing w:after="0" w:line="240" w:lineRule="auto"/>
              <w:jc w:val="right"/>
              <w:rPr>
                <w:rFonts w:eastAsia="Times New Roman" w:cstheme="minorHAnsi"/>
                <w:color w:val="0000E1"/>
              </w:rPr>
            </w:pPr>
            <w:r w:rsidRPr="007C0FC0">
              <w:rPr>
                <w:rFonts w:eastAsia="Times New Roman" w:cstheme="minorHAnsi"/>
                <w:color w:val="0000E1"/>
              </w:rPr>
              <w:t>65-69</w:t>
            </w:r>
          </w:p>
        </w:tc>
        <w:tc>
          <w:tcPr>
            <w:tcW w:w="810" w:type="dxa"/>
            <w:tcBorders>
              <w:top w:val="nil"/>
              <w:left w:val="nil"/>
              <w:bottom w:val="single" w:sz="4" w:space="0" w:color="auto"/>
              <w:right w:val="single" w:sz="4" w:space="0" w:color="auto"/>
            </w:tcBorders>
            <w:shd w:val="clear" w:color="auto" w:fill="auto"/>
            <w:vAlign w:val="center"/>
          </w:tcPr>
          <w:p w14:paraId="6056A2AE" w14:textId="77777777" w:rsidR="00EA1311" w:rsidRPr="007C0FC0" w:rsidRDefault="00EA1311" w:rsidP="00AE2BC8">
            <w:pPr>
              <w:spacing w:after="0" w:line="240" w:lineRule="auto"/>
              <w:jc w:val="right"/>
              <w:rPr>
                <w:rFonts w:eastAsia="Times New Roman" w:cstheme="minorHAnsi"/>
                <w:color w:val="0000E1"/>
              </w:rPr>
            </w:pPr>
            <w:r w:rsidRPr="007C0FC0">
              <w:rPr>
                <w:color w:val="0000E1"/>
              </w:rPr>
              <w:t>-0.0100</w:t>
            </w:r>
          </w:p>
        </w:tc>
        <w:tc>
          <w:tcPr>
            <w:tcW w:w="630" w:type="dxa"/>
            <w:tcBorders>
              <w:top w:val="nil"/>
              <w:left w:val="nil"/>
              <w:bottom w:val="single" w:sz="4" w:space="0" w:color="auto"/>
              <w:right w:val="single" w:sz="4" w:space="0" w:color="auto"/>
            </w:tcBorders>
            <w:shd w:val="clear" w:color="auto" w:fill="auto"/>
            <w:vAlign w:val="center"/>
          </w:tcPr>
          <w:p w14:paraId="76ABCAA5" w14:textId="77777777" w:rsidR="00EA1311" w:rsidRPr="007C0FC0" w:rsidRDefault="00EA1311" w:rsidP="00AE2BC8">
            <w:pPr>
              <w:spacing w:after="0" w:line="240" w:lineRule="auto"/>
              <w:jc w:val="right"/>
              <w:rPr>
                <w:rFonts w:eastAsia="Times New Roman" w:cstheme="minorHAnsi"/>
                <w:color w:val="0000E1"/>
              </w:rPr>
            </w:pPr>
            <w:r w:rsidRPr="007C0FC0">
              <w:rPr>
                <w:color w:val="0000E1"/>
              </w:rPr>
              <w:t>0.99</w:t>
            </w:r>
          </w:p>
        </w:tc>
        <w:tc>
          <w:tcPr>
            <w:tcW w:w="1150" w:type="dxa"/>
            <w:tcBorders>
              <w:top w:val="nil"/>
              <w:left w:val="nil"/>
              <w:bottom w:val="single" w:sz="4" w:space="0" w:color="auto"/>
              <w:right w:val="single" w:sz="4" w:space="0" w:color="auto"/>
            </w:tcBorders>
            <w:shd w:val="clear" w:color="auto" w:fill="auto"/>
            <w:vAlign w:val="center"/>
          </w:tcPr>
          <w:p w14:paraId="378A0930"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0.96, 1.02</w:t>
            </w:r>
          </w:p>
        </w:tc>
        <w:tc>
          <w:tcPr>
            <w:tcW w:w="1016" w:type="dxa"/>
            <w:tcBorders>
              <w:top w:val="nil"/>
              <w:left w:val="nil"/>
              <w:bottom w:val="single" w:sz="4" w:space="0" w:color="auto"/>
              <w:right w:val="single" w:sz="4" w:space="0" w:color="auto"/>
            </w:tcBorders>
            <w:shd w:val="clear" w:color="auto" w:fill="auto"/>
            <w:vAlign w:val="center"/>
          </w:tcPr>
          <w:p w14:paraId="458F49FC" w14:textId="77777777" w:rsidR="00EA1311" w:rsidRPr="007C0FC0" w:rsidRDefault="00EA1311" w:rsidP="00AE2BC8">
            <w:pPr>
              <w:spacing w:after="0" w:line="240" w:lineRule="auto"/>
              <w:jc w:val="right"/>
              <w:rPr>
                <w:rFonts w:eastAsia="Times New Roman" w:cstheme="minorHAnsi"/>
                <w:color w:val="0000E1"/>
              </w:rPr>
            </w:pPr>
            <w:r w:rsidRPr="007C0FC0">
              <w:rPr>
                <w:color w:val="0000E1"/>
              </w:rPr>
              <w:t>-0.0290</w:t>
            </w:r>
          </w:p>
        </w:tc>
        <w:tc>
          <w:tcPr>
            <w:tcW w:w="719" w:type="dxa"/>
            <w:tcBorders>
              <w:top w:val="nil"/>
              <w:left w:val="nil"/>
              <w:bottom w:val="single" w:sz="4" w:space="0" w:color="auto"/>
              <w:right w:val="single" w:sz="4" w:space="0" w:color="auto"/>
            </w:tcBorders>
            <w:shd w:val="clear" w:color="auto" w:fill="auto"/>
            <w:vAlign w:val="center"/>
          </w:tcPr>
          <w:p w14:paraId="25161055" w14:textId="77777777" w:rsidR="00EA1311" w:rsidRPr="007C0FC0" w:rsidRDefault="00EA1311" w:rsidP="00AE2BC8">
            <w:pPr>
              <w:spacing w:after="0" w:line="240" w:lineRule="auto"/>
              <w:jc w:val="right"/>
              <w:rPr>
                <w:rFonts w:eastAsia="Times New Roman" w:cstheme="minorHAnsi"/>
                <w:color w:val="0000E1"/>
              </w:rPr>
            </w:pPr>
            <w:r w:rsidRPr="007C0FC0">
              <w:rPr>
                <w:color w:val="0000E1"/>
              </w:rPr>
              <w:t>0.97</w:t>
            </w:r>
          </w:p>
        </w:tc>
        <w:tc>
          <w:tcPr>
            <w:tcW w:w="1149" w:type="dxa"/>
            <w:tcBorders>
              <w:top w:val="nil"/>
              <w:left w:val="nil"/>
              <w:bottom w:val="single" w:sz="4" w:space="0" w:color="auto"/>
              <w:right w:val="single" w:sz="4" w:space="0" w:color="auto"/>
            </w:tcBorders>
            <w:shd w:val="clear" w:color="auto" w:fill="auto"/>
            <w:vAlign w:val="center"/>
          </w:tcPr>
          <w:p w14:paraId="5A7D40CE"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0.94, 1.00</w:t>
            </w:r>
          </w:p>
        </w:tc>
        <w:tc>
          <w:tcPr>
            <w:tcW w:w="830" w:type="dxa"/>
            <w:tcBorders>
              <w:top w:val="nil"/>
              <w:left w:val="nil"/>
              <w:bottom w:val="single" w:sz="4" w:space="0" w:color="auto"/>
              <w:right w:val="single" w:sz="4" w:space="0" w:color="auto"/>
            </w:tcBorders>
            <w:shd w:val="clear" w:color="auto" w:fill="auto"/>
            <w:vAlign w:val="center"/>
          </w:tcPr>
          <w:p w14:paraId="122BF3F5" w14:textId="77777777" w:rsidR="00EA1311" w:rsidRPr="007C0FC0" w:rsidRDefault="00EA1311" w:rsidP="00AE2BC8">
            <w:pPr>
              <w:spacing w:after="0" w:line="240" w:lineRule="auto"/>
              <w:jc w:val="right"/>
              <w:rPr>
                <w:rFonts w:eastAsia="Times New Roman" w:cstheme="minorHAnsi"/>
                <w:color w:val="0000E1"/>
              </w:rPr>
            </w:pPr>
            <w:r w:rsidRPr="007C0FC0">
              <w:rPr>
                <w:rFonts w:ascii="Calibri" w:hAnsi="Calibri" w:cs="Calibri"/>
                <w:color w:val="0000E1"/>
              </w:rPr>
              <w:t>0.0768</w:t>
            </w:r>
          </w:p>
        </w:tc>
      </w:tr>
      <w:tr w:rsidR="00787CA4" w:rsidRPr="007C0FC0" w14:paraId="2816E32B" w14:textId="77777777" w:rsidTr="004A4119">
        <w:trPr>
          <w:trHeight w:val="158"/>
        </w:trPr>
        <w:tc>
          <w:tcPr>
            <w:tcW w:w="2970" w:type="dxa"/>
            <w:tcBorders>
              <w:top w:val="nil"/>
              <w:left w:val="single" w:sz="4" w:space="0" w:color="auto"/>
              <w:bottom w:val="single" w:sz="4" w:space="0" w:color="auto"/>
              <w:right w:val="single" w:sz="4" w:space="0" w:color="auto"/>
            </w:tcBorders>
            <w:shd w:val="clear" w:color="auto" w:fill="auto"/>
            <w:vAlign w:val="center"/>
            <w:hideMark/>
          </w:tcPr>
          <w:p w14:paraId="57B17698" w14:textId="77777777" w:rsidR="00EA1311" w:rsidRPr="007C0FC0" w:rsidRDefault="00EA1311" w:rsidP="00EA1311">
            <w:pPr>
              <w:spacing w:after="0" w:line="240" w:lineRule="auto"/>
              <w:jc w:val="right"/>
              <w:rPr>
                <w:rFonts w:eastAsia="Times New Roman" w:cstheme="minorHAnsi"/>
                <w:color w:val="0000E1"/>
              </w:rPr>
            </w:pPr>
            <w:r w:rsidRPr="007C0FC0">
              <w:rPr>
                <w:rFonts w:eastAsia="Times New Roman" w:cstheme="minorHAnsi"/>
                <w:color w:val="0000E1"/>
              </w:rPr>
              <w:t>70-74</w:t>
            </w:r>
          </w:p>
        </w:tc>
        <w:tc>
          <w:tcPr>
            <w:tcW w:w="810" w:type="dxa"/>
            <w:tcBorders>
              <w:top w:val="nil"/>
              <w:left w:val="nil"/>
              <w:bottom w:val="single" w:sz="4" w:space="0" w:color="auto"/>
              <w:right w:val="single" w:sz="4" w:space="0" w:color="auto"/>
            </w:tcBorders>
            <w:shd w:val="clear" w:color="auto" w:fill="auto"/>
            <w:vAlign w:val="center"/>
          </w:tcPr>
          <w:p w14:paraId="4E1F8234" w14:textId="77777777" w:rsidR="00EA1311" w:rsidRPr="007C0FC0" w:rsidRDefault="00EA1311" w:rsidP="00AE2BC8">
            <w:pPr>
              <w:spacing w:after="0" w:line="240" w:lineRule="auto"/>
              <w:jc w:val="right"/>
              <w:rPr>
                <w:rFonts w:eastAsia="Times New Roman" w:cstheme="minorHAnsi"/>
                <w:color w:val="0000E1"/>
              </w:rPr>
            </w:pPr>
            <w:r w:rsidRPr="007C0FC0">
              <w:rPr>
                <w:color w:val="0000E1"/>
              </w:rPr>
              <w:t>0.0357</w:t>
            </w:r>
          </w:p>
        </w:tc>
        <w:tc>
          <w:tcPr>
            <w:tcW w:w="630" w:type="dxa"/>
            <w:tcBorders>
              <w:top w:val="nil"/>
              <w:left w:val="nil"/>
              <w:bottom w:val="single" w:sz="4" w:space="0" w:color="auto"/>
              <w:right w:val="single" w:sz="4" w:space="0" w:color="auto"/>
            </w:tcBorders>
            <w:shd w:val="clear" w:color="auto" w:fill="auto"/>
            <w:vAlign w:val="center"/>
          </w:tcPr>
          <w:p w14:paraId="29D2EEB1" w14:textId="77777777" w:rsidR="00EA1311" w:rsidRPr="007C0FC0" w:rsidRDefault="00EA1311" w:rsidP="00AE2BC8">
            <w:pPr>
              <w:spacing w:after="0" w:line="240" w:lineRule="auto"/>
              <w:jc w:val="right"/>
              <w:rPr>
                <w:rFonts w:eastAsia="Times New Roman" w:cstheme="minorHAnsi"/>
                <w:color w:val="0000E1"/>
              </w:rPr>
            </w:pPr>
            <w:r w:rsidRPr="007C0FC0">
              <w:rPr>
                <w:color w:val="0000E1"/>
              </w:rPr>
              <w:t>1.04</w:t>
            </w:r>
          </w:p>
        </w:tc>
        <w:tc>
          <w:tcPr>
            <w:tcW w:w="1150" w:type="dxa"/>
            <w:tcBorders>
              <w:top w:val="nil"/>
              <w:left w:val="nil"/>
              <w:bottom w:val="single" w:sz="4" w:space="0" w:color="auto"/>
              <w:right w:val="single" w:sz="4" w:space="0" w:color="auto"/>
            </w:tcBorders>
            <w:shd w:val="clear" w:color="auto" w:fill="auto"/>
            <w:vAlign w:val="center"/>
          </w:tcPr>
          <w:p w14:paraId="1C1BC210"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1.00, 1.07</w:t>
            </w:r>
          </w:p>
        </w:tc>
        <w:tc>
          <w:tcPr>
            <w:tcW w:w="1016" w:type="dxa"/>
            <w:tcBorders>
              <w:top w:val="nil"/>
              <w:left w:val="nil"/>
              <w:bottom w:val="single" w:sz="4" w:space="0" w:color="auto"/>
              <w:right w:val="single" w:sz="4" w:space="0" w:color="auto"/>
            </w:tcBorders>
            <w:shd w:val="clear" w:color="auto" w:fill="auto"/>
            <w:vAlign w:val="center"/>
          </w:tcPr>
          <w:p w14:paraId="6FF09768" w14:textId="77777777" w:rsidR="00EA1311" w:rsidRPr="007C0FC0" w:rsidRDefault="00EA1311" w:rsidP="00AE2BC8">
            <w:pPr>
              <w:spacing w:after="0" w:line="240" w:lineRule="auto"/>
              <w:jc w:val="right"/>
              <w:rPr>
                <w:rFonts w:eastAsia="Times New Roman" w:cstheme="minorHAnsi"/>
                <w:color w:val="0000E1"/>
              </w:rPr>
            </w:pPr>
            <w:r w:rsidRPr="007C0FC0">
              <w:rPr>
                <w:color w:val="0000E1"/>
              </w:rPr>
              <w:t>0.0145</w:t>
            </w:r>
          </w:p>
        </w:tc>
        <w:tc>
          <w:tcPr>
            <w:tcW w:w="719" w:type="dxa"/>
            <w:tcBorders>
              <w:top w:val="nil"/>
              <w:left w:val="nil"/>
              <w:bottom w:val="single" w:sz="4" w:space="0" w:color="auto"/>
              <w:right w:val="single" w:sz="4" w:space="0" w:color="auto"/>
            </w:tcBorders>
            <w:shd w:val="clear" w:color="auto" w:fill="auto"/>
            <w:vAlign w:val="center"/>
          </w:tcPr>
          <w:p w14:paraId="7BED6870" w14:textId="77777777" w:rsidR="00EA1311" w:rsidRPr="007C0FC0" w:rsidRDefault="00EA1311" w:rsidP="00AE2BC8">
            <w:pPr>
              <w:spacing w:after="0" w:line="240" w:lineRule="auto"/>
              <w:jc w:val="right"/>
              <w:rPr>
                <w:rFonts w:eastAsia="Times New Roman" w:cstheme="minorHAnsi"/>
                <w:color w:val="0000E1"/>
              </w:rPr>
            </w:pPr>
            <w:r w:rsidRPr="007C0FC0">
              <w:rPr>
                <w:color w:val="0000E1"/>
              </w:rPr>
              <w:t>1.02</w:t>
            </w:r>
          </w:p>
        </w:tc>
        <w:tc>
          <w:tcPr>
            <w:tcW w:w="1149" w:type="dxa"/>
            <w:tcBorders>
              <w:top w:val="nil"/>
              <w:left w:val="nil"/>
              <w:bottom w:val="single" w:sz="4" w:space="0" w:color="auto"/>
              <w:right w:val="single" w:sz="4" w:space="0" w:color="auto"/>
            </w:tcBorders>
            <w:shd w:val="clear" w:color="auto" w:fill="auto"/>
            <w:vAlign w:val="center"/>
          </w:tcPr>
          <w:p w14:paraId="5DCC9409"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0.98, 1.08</w:t>
            </w:r>
          </w:p>
        </w:tc>
        <w:tc>
          <w:tcPr>
            <w:tcW w:w="830" w:type="dxa"/>
            <w:tcBorders>
              <w:top w:val="nil"/>
              <w:left w:val="nil"/>
              <w:bottom w:val="single" w:sz="4" w:space="0" w:color="auto"/>
              <w:right w:val="single" w:sz="4" w:space="0" w:color="auto"/>
            </w:tcBorders>
            <w:shd w:val="clear" w:color="auto" w:fill="auto"/>
            <w:vAlign w:val="center"/>
          </w:tcPr>
          <w:p w14:paraId="0C580726" w14:textId="77777777" w:rsidR="00EA1311" w:rsidRPr="007C0FC0" w:rsidRDefault="00EA1311" w:rsidP="00AE2BC8">
            <w:pPr>
              <w:spacing w:after="0" w:line="240" w:lineRule="auto"/>
              <w:jc w:val="right"/>
              <w:rPr>
                <w:rFonts w:eastAsia="Times New Roman" w:cstheme="minorHAnsi"/>
                <w:color w:val="0000E1"/>
              </w:rPr>
            </w:pPr>
            <w:r w:rsidRPr="007C0FC0">
              <w:rPr>
                <w:rFonts w:ascii="Calibri" w:hAnsi="Calibri" w:cs="Calibri"/>
                <w:color w:val="0000E1"/>
              </w:rPr>
              <w:t>0.3940</w:t>
            </w:r>
          </w:p>
        </w:tc>
      </w:tr>
      <w:tr w:rsidR="00787CA4" w:rsidRPr="007C0FC0" w14:paraId="5F665ABA" w14:textId="77777777" w:rsidTr="004A4119">
        <w:trPr>
          <w:trHeight w:val="158"/>
        </w:trPr>
        <w:tc>
          <w:tcPr>
            <w:tcW w:w="2970" w:type="dxa"/>
            <w:tcBorders>
              <w:top w:val="nil"/>
              <w:left w:val="single" w:sz="4" w:space="0" w:color="auto"/>
              <w:bottom w:val="single" w:sz="4" w:space="0" w:color="auto"/>
              <w:right w:val="single" w:sz="4" w:space="0" w:color="auto"/>
            </w:tcBorders>
            <w:shd w:val="clear" w:color="auto" w:fill="auto"/>
            <w:vAlign w:val="center"/>
            <w:hideMark/>
          </w:tcPr>
          <w:p w14:paraId="1115C277" w14:textId="77777777" w:rsidR="00EA1311" w:rsidRPr="007C0FC0" w:rsidRDefault="00EA1311" w:rsidP="00EA1311">
            <w:pPr>
              <w:spacing w:after="0" w:line="240" w:lineRule="auto"/>
              <w:jc w:val="right"/>
              <w:rPr>
                <w:rFonts w:eastAsia="Times New Roman" w:cstheme="minorHAnsi"/>
                <w:color w:val="0000E1"/>
              </w:rPr>
            </w:pPr>
            <w:r w:rsidRPr="007C0FC0">
              <w:rPr>
                <w:rFonts w:eastAsia="Times New Roman" w:cstheme="minorHAnsi"/>
                <w:color w:val="0000E1"/>
              </w:rPr>
              <w:t>75-79</w:t>
            </w:r>
          </w:p>
        </w:tc>
        <w:tc>
          <w:tcPr>
            <w:tcW w:w="810" w:type="dxa"/>
            <w:tcBorders>
              <w:top w:val="nil"/>
              <w:left w:val="nil"/>
              <w:bottom w:val="single" w:sz="4" w:space="0" w:color="auto"/>
              <w:right w:val="single" w:sz="4" w:space="0" w:color="auto"/>
            </w:tcBorders>
            <w:shd w:val="clear" w:color="auto" w:fill="auto"/>
            <w:vAlign w:val="center"/>
          </w:tcPr>
          <w:p w14:paraId="0AD1FA8B" w14:textId="77777777" w:rsidR="00EA1311" w:rsidRPr="007C0FC0" w:rsidRDefault="00EA1311" w:rsidP="00AE2BC8">
            <w:pPr>
              <w:spacing w:after="0" w:line="240" w:lineRule="auto"/>
              <w:jc w:val="right"/>
              <w:rPr>
                <w:rFonts w:eastAsia="Times New Roman" w:cstheme="minorHAnsi"/>
                <w:color w:val="0000E1"/>
              </w:rPr>
            </w:pPr>
            <w:r w:rsidRPr="007C0FC0">
              <w:rPr>
                <w:color w:val="0000E1"/>
              </w:rPr>
              <w:t>0.0447</w:t>
            </w:r>
          </w:p>
        </w:tc>
        <w:tc>
          <w:tcPr>
            <w:tcW w:w="630" w:type="dxa"/>
            <w:tcBorders>
              <w:top w:val="nil"/>
              <w:left w:val="nil"/>
              <w:bottom w:val="single" w:sz="4" w:space="0" w:color="auto"/>
              <w:right w:val="single" w:sz="4" w:space="0" w:color="auto"/>
            </w:tcBorders>
            <w:shd w:val="clear" w:color="auto" w:fill="auto"/>
            <w:vAlign w:val="center"/>
          </w:tcPr>
          <w:p w14:paraId="34855986" w14:textId="77777777" w:rsidR="00EA1311" w:rsidRPr="007C0FC0" w:rsidRDefault="00EA1311" w:rsidP="00AE2BC8">
            <w:pPr>
              <w:spacing w:after="0" w:line="240" w:lineRule="auto"/>
              <w:jc w:val="right"/>
              <w:rPr>
                <w:rFonts w:eastAsia="Times New Roman" w:cstheme="minorHAnsi"/>
                <w:color w:val="0000E1"/>
              </w:rPr>
            </w:pPr>
            <w:r w:rsidRPr="007C0FC0">
              <w:rPr>
                <w:color w:val="0000E1"/>
              </w:rPr>
              <w:t>1.05</w:t>
            </w:r>
          </w:p>
        </w:tc>
        <w:tc>
          <w:tcPr>
            <w:tcW w:w="1150" w:type="dxa"/>
            <w:tcBorders>
              <w:top w:val="nil"/>
              <w:left w:val="nil"/>
              <w:bottom w:val="single" w:sz="4" w:space="0" w:color="auto"/>
              <w:right w:val="single" w:sz="4" w:space="0" w:color="auto"/>
            </w:tcBorders>
            <w:shd w:val="clear" w:color="auto" w:fill="auto"/>
            <w:vAlign w:val="center"/>
          </w:tcPr>
          <w:p w14:paraId="7AC837E7"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1.01, 1.08</w:t>
            </w:r>
          </w:p>
        </w:tc>
        <w:tc>
          <w:tcPr>
            <w:tcW w:w="1016" w:type="dxa"/>
            <w:tcBorders>
              <w:top w:val="nil"/>
              <w:left w:val="nil"/>
              <w:bottom w:val="single" w:sz="4" w:space="0" w:color="auto"/>
              <w:right w:val="single" w:sz="4" w:space="0" w:color="auto"/>
            </w:tcBorders>
            <w:shd w:val="clear" w:color="auto" w:fill="auto"/>
            <w:vAlign w:val="center"/>
          </w:tcPr>
          <w:p w14:paraId="6E158B08" w14:textId="77777777" w:rsidR="00EA1311" w:rsidRPr="007C0FC0" w:rsidRDefault="00EA1311" w:rsidP="00AE2BC8">
            <w:pPr>
              <w:spacing w:after="0" w:line="240" w:lineRule="auto"/>
              <w:jc w:val="right"/>
              <w:rPr>
                <w:rFonts w:eastAsia="Times New Roman" w:cstheme="minorHAnsi"/>
                <w:color w:val="0000E1"/>
              </w:rPr>
            </w:pPr>
            <w:r w:rsidRPr="007C0FC0">
              <w:rPr>
                <w:color w:val="0000E1"/>
              </w:rPr>
              <w:t>0.0287</w:t>
            </w:r>
          </w:p>
        </w:tc>
        <w:tc>
          <w:tcPr>
            <w:tcW w:w="719" w:type="dxa"/>
            <w:tcBorders>
              <w:top w:val="nil"/>
              <w:left w:val="nil"/>
              <w:bottom w:val="single" w:sz="4" w:space="0" w:color="auto"/>
              <w:right w:val="single" w:sz="4" w:space="0" w:color="auto"/>
            </w:tcBorders>
            <w:shd w:val="clear" w:color="auto" w:fill="auto"/>
            <w:vAlign w:val="center"/>
          </w:tcPr>
          <w:p w14:paraId="4B83A452" w14:textId="77777777" w:rsidR="00EA1311" w:rsidRPr="007C0FC0" w:rsidRDefault="00EA1311" w:rsidP="00AE2BC8">
            <w:pPr>
              <w:spacing w:after="0" w:line="240" w:lineRule="auto"/>
              <w:jc w:val="right"/>
              <w:rPr>
                <w:rFonts w:eastAsia="Times New Roman" w:cstheme="minorHAnsi"/>
                <w:color w:val="0000E1"/>
              </w:rPr>
            </w:pPr>
            <w:r w:rsidRPr="007C0FC0">
              <w:rPr>
                <w:color w:val="0000E1"/>
              </w:rPr>
              <w:t>1.03</w:t>
            </w:r>
          </w:p>
        </w:tc>
        <w:tc>
          <w:tcPr>
            <w:tcW w:w="1149" w:type="dxa"/>
            <w:tcBorders>
              <w:top w:val="nil"/>
              <w:left w:val="nil"/>
              <w:bottom w:val="single" w:sz="4" w:space="0" w:color="auto"/>
              <w:right w:val="single" w:sz="4" w:space="0" w:color="auto"/>
            </w:tcBorders>
            <w:shd w:val="clear" w:color="auto" w:fill="auto"/>
            <w:vAlign w:val="center"/>
          </w:tcPr>
          <w:p w14:paraId="1443C5B8"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0.99, 1.07</w:t>
            </w:r>
          </w:p>
        </w:tc>
        <w:tc>
          <w:tcPr>
            <w:tcW w:w="830" w:type="dxa"/>
            <w:tcBorders>
              <w:top w:val="nil"/>
              <w:left w:val="nil"/>
              <w:bottom w:val="single" w:sz="4" w:space="0" w:color="auto"/>
              <w:right w:val="single" w:sz="4" w:space="0" w:color="auto"/>
            </w:tcBorders>
            <w:shd w:val="clear" w:color="auto" w:fill="auto"/>
            <w:vAlign w:val="center"/>
          </w:tcPr>
          <w:p w14:paraId="0704D4DA" w14:textId="77777777" w:rsidR="00EA1311" w:rsidRPr="007C0FC0" w:rsidRDefault="00EA1311" w:rsidP="00AE2BC8">
            <w:pPr>
              <w:spacing w:after="0" w:line="240" w:lineRule="auto"/>
              <w:jc w:val="right"/>
              <w:rPr>
                <w:rFonts w:eastAsia="Times New Roman" w:cstheme="minorHAnsi"/>
                <w:color w:val="0000E1"/>
              </w:rPr>
            </w:pPr>
            <w:r w:rsidRPr="007C0FC0">
              <w:rPr>
                <w:rFonts w:ascii="Calibri" w:hAnsi="Calibri" w:cs="Calibri"/>
                <w:color w:val="0000E1"/>
              </w:rPr>
              <w:t>0.1180</w:t>
            </w:r>
          </w:p>
        </w:tc>
      </w:tr>
      <w:tr w:rsidR="00787CA4" w:rsidRPr="007C0FC0" w14:paraId="3A28B86C" w14:textId="77777777" w:rsidTr="004A4119">
        <w:trPr>
          <w:trHeight w:val="158"/>
        </w:trPr>
        <w:tc>
          <w:tcPr>
            <w:tcW w:w="2970" w:type="dxa"/>
            <w:tcBorders>
              <w:top w:val="nil"/>
              <w:left w:val="single" w:sz="4" w:space="0" w:color="auto"/>
              <w:bottom w:val="single" w:sz="4" w:space="0" w:color="auto"/>
              <w:right w:val="single" w:sz="4" w:space="0" w:color="auto"/>
            </w:tcBorders>
            <w:shd w:val="clear" w:color="auto" w:fill="auto"/>
            <w:vAlign w:val="center"/>
            <w:hideMark/>
          </w:tcPr>
          <w:p w14:paraId="74B37FDD" w14:textId="77777777" w:rsidR="004E6D45" w:rsidRPr="007C0FC0" w:rsidRDefault="004E6D45" w:rsidP="00DE1E05">
            <w:pPr>
              <w:spacing w:after="0" w:line="240" w:lineRule="auto"/>
              <w:rPr>
                <w:rFonts w:eastAsia="Times New Roman" w:cstheme="minorHAnsi"/>
                <w:bCs/>
                <w:color w:val="0000E1"/>
              </w:rPr>
            </w:pPr>
            <w:r w:rsidRPr="007C0FC0">
              <w:rPr>
                <w:rFonts w:eastAsia="Times New Roman" w:cstheme="minorHAnsi"/>
                <w:bCs/>
                <w:color w:val="0000E1"/>
              </w:rPr>
              <w:t>Gender (Ref = Female)</w:t>
            </w:r>
          </w:p>
        </w:tc>
        <w:tc>
          <w:tcPr>
            <w:tcW w:w="810" w:type="dxa"/>
            <w:tcBorders>
              <w:top w:val="nil"/>
              <w:left w:val="nil"/>
              <w:bottom w:val="single" w:sz="4" w:space="0" w:color="auto"/>
              <w:right w:val="single" w:sz="4" w:space="0" w:color="auto"/>
            </w:tcBorders>
            <w:shd w:val="clear" w:color="auto" w:fill="auto"/>
            <w:vAlign w:val="center"/>
          </w:tcPr>
          <w:p w14:paraId="253D2983" w14:textId="77777777" w:rsidR="004E6D45" w:rsidRPr="007C0FC0" w:rsidRDefault="004E6D45" w:rsidP="00AE2BC8">
            <w:pPr>
              <w:spacing w:after="0" w:line="240" w:lineRule="auto"/>
              <w:jc w:val="right"/>
              <w:rPr>
                <w:rFonts w:eastAsia="Times New Roman" w:cstheme="minorHAnsi"/>
                <w:color w:val="0000E1"/>
              </w:rPr>
            </w:pPr>
          </w:p>
        </w:tc>
        <w:tc>
          <w:tcPr>
            <w:tcW w:w="630" w:type="dxa"/>
            <w:tcBorders>
              <w:top w:val="nil"/>
              <w:left w:val="nil"/>
              <w:bottom w:val="single" w:sz="4" w:space="0" w:color="auto"/>
              <w:right w:val="single" w:sz="4" w:space="0" w:color="auto"/>
            </w:tcBorders>
            <w:shd w:val="clear" w:color="auto" w:fill="auto"/>
            <w:vAlign w:val="center"/>
          </w:tcPr>
          <w:p w14:paraId="366E538B" w14:textId="77777777" w:rsidR="004E6D45" w:rsidRPr="007C0FC0" w:rsidRDefault="004E6D45" w:rsidP="00AE2BC8">
            <w:pPr>
              <w:spacing w:after="0" w:line="240" w:lineRule="auto"/>
              <w:jc w:val="right"/>
              <w:rPr>
                <w:rFonts w:eastAsia="Times New Roman" w:cstheme="minorHAnsi"/>
                <w:color w:val="0000E1"/>
              </w:rPr>
            </w:pPr>
          </w:p>
        </w:tc>
        <w:tc>
          <w:tcPr>
            <w:tcW w:w="1150" w:type="dxa"/>
            <w:tcBorders>
              <w:top w:val="nil"/>
              <w:left w:val="nil"/>
              <w:bottom w:val="single" w:sz="4" w:space="0" w:color="auto"/>
              <w:right w:val="single" w:sz="4" w:space="0" w:color="auto"/>
            </w:tcBorders>
            <w:shd w:val="clear" w:color="auto" w:fill="auto"/>
            <w:vAlign w:val="center"/>
          </w:tcPr>
          <w:p w14:paraId="4187C3E1" w14:textId="77777777" w:rsidR="004E6D45" w:rsidRPr="007C0FC0" w:rsidRDefault="004E6D45" w:rsidP="00AE2BC8">
            <w:pPr>
              <w:spacing w:after="0" w:line="240" w:lineRule="auto"/>
              <w:jc w:val="right"/>
              <w:rPr>
                <w:rFonts w:eastAsia="Times New Roman" w:cstheme="minorHAnsi"/>
                <w:color w:val="0000E1"/>
              </w:rPr>
            </w:pPr>
          </w:p>
        </w:tc>
        <w:tc>
          <w:tcPr>
            <w:tcW w:w="1016" w:type="dxa"/>
            <w:tcBorders>
              <w:top w:val="nil"/>
              <w:left w:val="nil"/>
              <w:bottom w:val="single" w:sz="4" w:space="0" w:color="auto"/>
              <w:right w:val="single" w:sz="4" w:space="0" w:color="auto"/>
            </w:tcBorders>
            <w:shd w:val="clear" w:color="auto" w:fill="auto"/>
            <w:vAlign w:val="center"/>
          </w:tcPr>
          <w:p w14:paraId="1072540D" w14:textId="77777777" w:rsidR="004E6D45" w:rsidRPr="007C0FC0" w:rsidRDefault="004E6D45" w:rsidP="00AE2BC8">
            <w:pPr>
              <w:spacing w:after="0" w:line="240" w:lineRule="auto"/>
              <w:jc w:val="right"/>
              <w:rPr>
                <w:rFonts w:eastAsia="Times New Roman" w:cstheme="minorHAnsi"/>
                <w:color w:val="0000E1"/>
              </w:rPr>
            </w:pPr>
          </w:p>
        </w:tc>
        <w:tc>
          <w:tcPr>
            <w:tcW w:w="719" w:type="dxa"/>
            <w:tcBorders>
              <w:top w:val="nil"/>
              <w:left w:val="nil"/>
              <w:bottom w:val="single" w:sz="4" w:space="0" w:color="auto"/>
              <w:right w:val="single" w:sz="4" w:space="0" w:color="auto"/>
            </w:tcBorders>
            <w:shd w:val="clear" w:color="auto" w:fill="auto"/>
            <w:vAlign w:val="center"/>
          </w:tcPr>
          <w:p w14:paraId="0D0F2AE0" w14:textId="77777777" w:rsidR="004E6D45" w:rsidRPr="007C0FC0" w:rsidRDefault="004E6D45" w:rsidP="00AE2BC8">
            <w:pPr>
              <w:spacing w:after="0" w:line="240" w:lineRule="auto"/>
              <w:jc w:val="right"/>
              <w:rPr>
                <w:rFonts w:eastAsia="Times New Roman" w:cstheme="minorHAnsi"/>
                <w:color w:val="0000E1"/>
              </w:rPr>
            </w:pPr>
          </w:p>
        </w:tc>
        <w:tc>
          <w:tcPr>
            <w:tcW w:w="1149" w:type="dxa"/>
            <w:tcBorders>
              <w:top w:val="nil"/>
              <w:left w:val="nil"/>
              <w:bottom w:val="single" w:sz="4" w:space="0" w:color="auto"/>
              <w:right w:val="single" w:sz="4" w:space="0" w:color="auto"/>
            </w:tcBorders>
            <w:shd w:val="clear" w:color="auto" w:fill="auto"/>
            <w:vAlign w:val="center"/>
          </w:tcPr>
          <w:p w14:paraId="19EC970A" w14:textId="77777777" w:rsidR="004E6D45" w:rsidRPr="007C0FC0" w:rsidRDefault="004E6D45" w:rsidP="00AE2BC8">
            <w:pPr>
              <w:spacing w:after="0" w:line="240" w:lineRule="auto"/>
              <w:jc w:val="right"/>
              <w:rPr>
                <w:rFonts w:eastAsia="Times New Roman" w:cstheme="minorHAnsi"/>
                <w:color w:val="0000E1"/>
              </w:rPr>
            </w:pPr>
          </w:p>
        </w:tc>
        <w:tc>
          <w:tcPr>
            <w:tcW w:w="830" w:type="dxa"/>
            <w:tcBorders>
              <w:top w:val="nil"/>
              <w:left w:val="nil"/>
              <w:bottom w:val="single" w:sz="4" w:space="0" w:color="auto"/>
              <w:right w:val="single" w:sz="4" w:space="0" w:color="auto"/>
            </w:tcBorders>
            <w:shd w:val="clear" w:color="auto" w:fill="auto"/>
            <w:vAlign w:val="center"/>
          </w:tcPr>
          <w:p w14:paraId="246B0EEF" w14:textId="77777777" w:rsidR="004E6D45" w:rsidRPr="007C0FC0" w:rsidRDefault="004E6D45" w:rsidP="00AE2BC8">
            <w:pPr>
              <w:spacing w:after="0" w:line="240" w:lineRule="auto"/>
              <w:jc w:val="right"/>
              <w:rPr>
                <w:rFonts w:eastAsia="Times New Roman" w:cstheme="minorHAnsi"/>
                <w:color w:val="0000E1"/>
              </w:rPr>
            </w:pPr>
          </w:p>
        </w:tc>
      </w:tr>
      <w:tr w:rsidR="00787CA4" w:rsidRPr="007C0FC0" w14:paraId="3D3677D3" w14:textId="77777777" w:rsidTr="004A4119">
        <w:trPr>
          <w:trHeight w:val="158"/>
        </w:trPr>
        <w:tc>
          <w:tcPr>
            <w:tcW w:w="2970" w:type="dxa"/>
            <w:tcBorders>
              <w:top w:val="nil"/>
              <w:left w:val="single" w:sz="4" w:space="0" w:color="auto"/>
              <w:bottom w:val="single" w:sz="4" w:space="0" w:color="auto"/>
              <w:right w:val="single" w:sz="4" w:space="0" w:color="auto"/>
            </w:tcBorders>
            <w:shd w:val="clear" w:color="auto" w:fill="auto"/>
            <w:vAlign w:val="center"/>
            <w:hideMark/>
          </w:tcPr>
          <w:p w14:paraId="4737D9A8" w14:textId="77777777" w:rsidR="00EA1311" w:rsidRPr="007C0FC0" w:rsidRDefault="00EA1311" w:rsidP="00EA1311">
            <w:pPr>
              <w:spacing w:after="0" w:line="240" w:lineRule="auto"/>
              <w:jc w:val="right"/>
              <w:rPr>
                <w:rFonts w:eastAsia="Times New Roman" w:cstheme="minorHAnsi"/>
                <w:color w:val="0000E1"/>
              </w:rPr>
            </w:pPr>
            <w:r w:rsidRPr="007C0FC0">
              <w:rPr>
                <w:rFonts w:eastAsia="Times New Roman" w:cstheme="minorHAnsi"/>
                <w:color w:val="0000E1"/>
              </w:rPr>
              <w:t>Male</w:t>
            </w:r>
          </w:p>
        </w:tc>
        <w:tc>
          <w:tcPr>
            <w:tcW w:w="810" w:type="dxa"/>
            <w:tcBorders>
              <w:top w:val="nil"/>
              <w:left w:val="nil"/>
              <w:bottom w:val="single" w:sz="4" w:space="0" w:color="auto"/>
              <w:right w:val="single" w:sz="4" w:space="0" w:color="auto"/>
            </w:tcBorders>
            <w:shd w:val="clear" w:color="auto" w:fill="auto"/>
            <w:vAlign w:val="center"/>
          </w:tcPr>
          <w:p w14:paraId="44A5D461"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-0.1403</w:t>
            </w:r>
          </w:p>
        </w:tc>
        <w:tc>
          <w:tcPr>
            <w:tcW w:w="630" w:type="dxa"/>
            <w:tcBorders>
              <w:top w:val="nil"/>
              <w:left w:val="nil"/>
              <w:bottom w:val="single" w:sz="4" w:space="0" w:color="auto"/>
              <w:right w:val="single" w:sz="4" w:space="0" w:color="auto"/>
            </w:tcBorders>
            <w:shd w:val="clear" w:color="auto" w:fill="auto"/>
            <w:vAlign w:val="center"/>
          </w:tcPr>
          <w:p w14:paraId="28D1589E"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0.87</w:t>
            </w:r>
          </w:p>
        </w:tc>
        <w:tc>
          <w:tcPr>
            <w:tcW w:w="1150" w:type="dxa"/>
            <w:tcBorders>
              <w:top w:val="nil"/>
              <w:left w:val="nil"/>
              <w:bottom w:val="single" w:sz="4" w:space="0" w:color="auto"/>
              <w:right w:val="single" w:sz="4" w:space="0" w:color="auto"/>
            </w:tcBorders>
            <w:shd w:val="clear" w:color="auto" w:fill="auto"/>
            <w:vAlign w:val="center"/>
          </w:tcPr>
          <w:p w14:paraId="024174E7"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0.85, 0.89</w:t>
            </w:r>
          </w:p>
        </w:tc>
        <w:tc>
          <w:tcPr>
            <w:tcW w:w="1016" w:type="dxa"/>
            <w:tcBorders>
              <w:top w:val="nil"/>
              <w:left w:val="nil"/>
              <w:bottom w:val="single" w:sz="4" w:space="0" w:color="auto"/>
              <w:right w:val="single" w:sz="4" w:space="0" w:color="auto"/>
            </w:tcBorders>
            <w:shd w:val="clear" w:color="auto" w:fill="auto"/>
            <w:vAlign w:val="center"/>
          </w:tcPr>
          <w:p w14:paraId="242E6AAE"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-0.1329</w:t>
            </w:r>
          </w:p>
        </w:tc>
        <w:tc>
          <w:tcPr>
            <w:tcW w:w="719" w:type="dxa"/>
            <w:tcBorders>
              <w:top w:val="nil"/>
              <w:left w:val="nil"/>
              <w:bottom w:val="single" w:sz="4" w:space="0" w:color="auto"/>
              <w:right w:val="single" w:sz="4" w:space="0" w:color="auto"/>
            </w:tcBorders>
            <w:shd w:val="clear" w:color="auto" w:fill="auto"/>
            <w:vAlign w:val="center"/>
          </w:tcPr>
          <w:p w14:paraId="23BF67DC"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0.88</w:t>
            </w:r>
          </w:p>
        </w:tc>
        <w:tc>
          <w:tcPr>
            <w:tcW w:w="1149" w:type="dxa"/>
            <w:tcBorders>
              <w:top w:val="nil"/>
              <w:left w:val="nil"/>
              <w:bottom w:val="single" w:sz="4" w:space="0" w:color="auto"/>
              <w:right w:val="single" w:sz="4" w:space="0" w:color="auto"/>
            </w:tcBorders>
            <w:shd w:val="clear" w:color="auto" w:fill="auto"/>
            <w:vAlign w:val="center"/>
          </w:tcPr>
          <w:p w14:paraId="01003AD1"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0.86, 0.89</w:t>
            </w:r>
          </w:p>
        </w:tc>
        <w:tc>
          <w:tcPr>
            <w:tcW w:w="830" w:type="dxa"/>
            <w:tcBorders>
              <w:top w:val="nil"/>
              <w:left w:val="nil"/>
              <w:bottom w:val="single" w:sz="4" w:space="0" w:color="auto"/>
              <w:right w:val="single" w:sz="4" w:space="0" w:color="auto"/>
            </w:tcBorders>
            <w:shd w:val="clear" w:color="auto" w:fill="auto"/>
            <w:vAlign w:val="center"/>
          </w:tcPr>
          <w:p w14:paraId="00DD19E1" w14:textId="77777777" w:rsidR="00EA1311" w:rsidRPr="007C0FC0" w:rsidRDefault="00EA1311" w:rsidP="00AE2BC8">
            <w:pPr>
              <w:spacing w:after="0" w:line="240" w:lineRule="auto"/>
              <w:jc w:val="right"/>
              <w:rPr>
                <w:rFonts w:eastAsia="Times New Roman" w:cstheme="minorHAnsi"/>
                <w:color w:val="0000E1"/>
              </w:rPr>
            </w:pPr>
            <w:r w:rsidRPr="007C0FC0">
              <w:rPr>
                <w:rFonts w:ascii="Calibri" w:hAnsi="Calibri" w:cs="Calibri"/>
                <w:color w:val="0000E1"/>
              </w:rPr>
              <w:t>&lt;.0001</w:t>
            </w:r>
          </w:p>
        </w:tc>
      </w:tr>
      <w:tr w:rsidR="00787CA4" w:rsidRPr="007C0FC0" w14:paraId="1BE7E3C8" w14:textId="77777777" w:rsidTr="004A4119">
        <w:trPr>
          <w:trHeight w:val="158"/>
        </w:trPr>
        <w:tc>
          <w:tcPr>
            <w:tcW w:w="29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9FA9A2" w14:textId="77777777" w:rsidR="00EA1311" w:rsidRPr="007C0FC0" w:rsidRDefault="00EA1311" w:rsidP="00EA1311">
            <w:pPr>
              <w:spacing w:after="0" w:line="240" w:lineRule="auto"/>
              <w:rPr>
                <w:rFonts w:eastAsia="Times New Roman" w:cstheme="minorHAnsi"/>
                <w:bCs/>
                <w:color w:val="0000E1"/>
              </w:rPr>
            </w:pPr>
            <w:r w:rsidRPr="007C0FC0">
              <w:rPr>
                <w:rFonts w:eastAsia="Times New Roman" w:cstheme="minorHAnsi"/>
                <w:bCs/>
                <w:color w:val="0000E1"/>
              </w:rPr>
              <w:t>LIS or Dual (Ref = Non-LIS/Non-Dual)</w:t>
            </w:r>
          </w:p>
        </w:tc>
        <w:tc>
          <w:tcPr>
            <w:tcW w:w="810" w:type="dxa"/>
            <w:tcBorders>
              <w:top w:val="single" w:sz="4" w:space="0" w:color="auto"/>
              <w:left w:val="nil"/>
              <w:bottom w:val="single" w:sz="4" w:space="0" w:color="auto"/>
              <w:right w:val="single" w:sz="4" w:space="0" w:color="auto"/>
            </w:tcBorders>
            <w:shd w:val="clear" w:color="auto" w:fill="auto"/>
            <w:vAlign w:val="center"/>
          </w:tcPr>
          <w:p w14:paraId="213BA47D"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-0.3054</w:t>
            </w:r>
          </w:p>
        </w:tc>
        <w:tc>
          <w:tcPr>
            <w:tcW w:w="630" w:type="dxa"/>
            <w:tcBorders>
              <w:top w:val="single" w:sz="4" w:space="0" w:color="auto"/>
              <w:left w:val="nil"/>
              <w:bottom w:val="single" w:sz="4" w:space="0" w:color="auto"/>
              <w:right w:val="single" w:sz="4" w:space="0" w:color="auto"/>
            </w:tcBorders>
            <w:shd w:val="clear" w:color="auto" w:fill="auto"/>
            <w:vAlign w:val="center"/>
          </w:tcPr>
          <w:p w14:paraId="082213F9"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0.74</w:t>
            </w:r>
          </w:p>
        </w:tc>
        <w:tc>
          <w:tcPr>
            <w:tcW w:w="1150" w:type="dxa"/>
            <w:tcBorders>
              <w:top w:val="single" w:sz="4" w:space="0" w:color="auto"/>
              <w:left w:val="nil"/>
              <w:bottom w:val="single" w:sz="4" w:space="0" w:color="auto"/>
              <w:right w:val="single" w:sz="4" w:space="0" w:color="auto"/>
            </w:tcBorders>
            <w:shd w:val="clear" w:color="auto" w:fill="auto"/>
            <w:vAlign w:val="center"/>
          </w:tcPr>
          <w:p w14:paraId="1E64F2A7"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0.72, 0.75</w:t>
            </w:r>
          </w:p>
        </w:tc>
        <w:tc>
          <w:tcPr>
            <w:tcW w:w="1016" w:type="dxa"/>
            <w:tcBorders>
              <w:top w:val="single" w:sz="4" w:space="0" w:color="auto"/>
              <w:left w:val="nil"/>
              <w:bottom w:val="single" w:sz="4" w:space="0" w:color="auto"/>
              <w:right w:val="single" w:sz="4" w:space="0" w:color="auto"/>
            </w:tcBorders>
            <w:shd w:val="clear" w:color="auto" w:fill="auto"/>
            <w:vAlign w:val="center"/>
          </w:tcPr>
          <w:p w14:paraId="21BDB72D"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-0.1666</w:t>
            </w:r>
          </w:p>
        </w:tc>
        <w:tc>
          <w:tcPr>
            <w:tcW w:w="719" w:type="dxa"/>
            <w:tcBorders>
              <w:top w:val="single" w:sz="4" w:space="0" w:color="auto"/>
              <w:left w:val="nil"/>
              <w:bottom w:val="single" w:sz="4" w:space="0" w:color="auto"/>
              <w:right w:val="single" w:sz="4" w:space="0" w:color="auto"/>
            </w:tcBorders>
            <w:shd w:val="clear" w:color="auto" w:fill="auto"/>
            <w:vAlign w:val="center"/>
          </w:tcPr>
          <w:p w14:paraId="06291045"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0.85</w:t>
            </w:r>
          </w:p>
        </w:tc>
        <w:tc>
          <w:tcPr>
            <w:tcW w:w="1149" w:type="dxa"/>
            <w:tcBorders>
              <w:top w:val="single" w:sz="4" w:space="0" w:color="auto"/>
              <w:left w:val="nil"/>
              <w:bottom w:val="single" w:sz="4" w:space="0" w:color="auto"/>
              <w:right w:val="single" w:sz="4" w:space="0" w:color="auto"/>
            </w:tcBorders>
            <w:shd w:val="clear" w:color="auto" w:fill="auto"/>
            <w:vAlign w:val="center"/>
          </w:tcPr>
          <w:p w14:paraId="7061CF27"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0.83, 0.87</w:t>
            </w:r>
          </w:p>
        </w:tc>
        <w:tc>
          <w:tcPr>
            <w:tcW w:w="830" w:type="dxa"/>
            <w:tcBorders>
              <w:top w:val="single" w:sz="4" w:space="0" w:color="auto"/>
              <w:left w:val="nil"/>
              <w:bottom w:val="single" w:sz="4" w:space="0" w:color="auto"/>
              <w:right w:val="single" w:sz="4" w:space="0" w:color="auto"/>
            </w:tcBorders>
            <w:shd w:val="clear" w:color="auto" w:fill="auto"/>
            <w:vAlign w:val="center"/>
          </w:tcPr>
          <w:p w14:paraId="7354EBD3"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&lt;.0001</w:t>
            </w:r>
          </w:p>
        </w:tc>
      </w:tr>
      <w:tr w:rsidR="00787CA4" w:rsidRPr="007C0FC0" w14:paraId="79A7912A" w14:textId="77777777" w:rsidTr="004A4119">
        <w:trPr>
          <w:trHeight w:val="158"/>
        </w:trPr>
        <w:tc>
          <w:tcPr>
            <w:tcW w:w="29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1A3950" w14:textId="77777777" w:rsidR="00EA1311" w:rsidRPr="007C0FC0" w:rsidRDefault="00EA1311" w:rsidP="00EA1311">
            <w:pPr>
              <w:spacing w:after="0" w:line="240" w:lineRule="auto"/>
              <w:rPr>
                <w:rFonts w:eastAsia="Times New Roman" w:cstheme="minorHAnsi"/>
                <w:bCs/>
                <w:color w:val="0000E1"/>
              </w:rPr>
            </w:pPr>
            <w:r w:rsidRPr="007C0FC0">
              <w:rPr>
                <w:rFonts w:eastAsia="Times New Roman" w:cstheme="minorHAnsi"/>
                <w:bCs/>
                <w:color w:val="0000E1"/>
              </w:rPr>
              <w:t>Disability (Ref = No Disability)</w:t>
            </w:r>
          </w:p>
        </w:tc>
        <w:tc>
          <w:tcPr>
            <w:tcW w:w="810" w:type="dxa"/>
            <w:tcBorders>
              <w:top w:val="single" w:sz="4" w:space="0" w:color="auto"/>
              <w:left w:val="nil"/>
              <w:bottom w:val="single" w:sz="4" w:space="0" w:color="auto"/>
              <w:right w:val="single" w:sz="4" w:space="0" w:color="auto"/>
            </w:tcBorders>
            <w:shd w:val="clear" w:color="auto" w:fill="auto"/>
            <w:vAlign w:val="center"/>
          </w:tcPr>
          <w:p w14:paraId="4B157ABE"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-0.5041</w:t>
            </w:r>
          </w:p>
        </w:tc>
        <w:tc>
          <w:tcPr>
            <w:tcW w:w="630" w:type="dxa"/>
            <w:tcBorders>
              <w:top w:val="single" w:sz="4" w:space="0" w:color="auto"/>
              <w:left w:val="nil"/>
              <w:bottom w:val="single" w:sz="4" w:space="0" w:color="auto"/>
              <w:right w:val="single" w:sz="4" w:space="0" w:color="auto"/>
            </w:tcBorders>
            <w:shd w:val="clear" w:color="auto" w:fill="auto"/>
            <w:vAlign w:val="center"/>
          </w:tcPr>
          <w:p w14:paraId="1212AC35"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0.60</w:t>
            </w:r>
          </w:p>
        </w:tc>
        <w:tc>
          <w:tcPr>
            <w:tcW w:w="1150" w:type="dxa"/>
            <w:tcBorders>
              <w:top w:val="single" w:sz="4" w:space="0" w:color="auto"/>
              <w:left w:val="nil"/>
              <w:bottom w:val="single" w:sz="4" w:space="0" w:color="auto"/>
              <w:right w:val="single" w:sz="4" w:space="0" w:color="auto"/>
            </w:tcBorders>
            <w:shd w:val="clear" w:color="auto" w:fill="auto"/>
            <w:vAlign w:val="center"/>
          </w:tcPr>
          <w:p w14:paraId="71653748"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0.59, 0.62</w:t>
            </w:r>
          </w:p>
        </w:tc>
        <w:tc>
          <w:tcPr>
            <w:tcW w:w="1016" w:type="dxa"/>
            <w:tcBorders>
              <w:top w:val="single" w:sz="4" w:space="0" w:color="auto"/>
              <w:left w:val="nil"/>
              <w:bottom w:val="single" w:sz="4" w:space="0" w:color="auto"/>
              <w:right w:val="single" w:sz="4" w:space="0" w:color="auto"/>
            </w:tcBorders>
            <w:shd w:val="clear" w:color="auto" w:fill="auto"/>
            <w:vAlign w:val="center"/>
          </w:tcPr>
          <w:p w14:paraId="5306B0AD"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-0.4408</w:t>
            </w:r>
          </w:p>
        </w:tc>
        <w:tc>
          <w:tcPr>
            <w:tcW w:w="719" w:type="dxa"/>
            <w:tcBorders>
              <w:top w:val="single" w:sz="4" w:space="0" w:color="auto"/>
              <w:left w:val="nil"/>
              <w:bottom w:val="single" w:sz="4" w:space="0" w:color="auto"/>
              <w:right w:val="single" w:sz="4" w:space="0" w:color="auto"/>
            </w:tcBorders>
            <w:shd w:val="clear" w:color="auto" w:fill="auto"/>
            <w:vAlign w:val="center"/>
          </w:tcPr>
          <w:p w14:paraId="42B4CFDD"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0.64</w:t>
            </w:r>
          </w:p>
        </w:tc>
        <w:tc>
          <w:tcPr>
            <w:tcW w:w="1149" w:type="dxa"/>
            <w:tcBorders>
              <w:top w:val="single" w:sz="4" w:space="0" w:color="auto"/>
              <w:left w:val="nil"/>
              <w:bottom w:val="single" w:sz="4" w:space="0" w:color="auto"/>
              <w:right w:val="single" w:sz="4" w:space="0" w:color="auto"/>
            </w:tcBorders>
            <w:shd w:val="clear" w:color="auto" w:fill="auto"/>
            <w:vAlign w:val="center"/>
          </w:tcPr>
          <w:p w14:paraId="2D972428" w14:textId="77777777" w:rsidR="00EA1311" w:rsidRPr="007C0FC0" w:rsidRDefault="00EA1311" w:rsidP="00AE2BC8">
            <w:pPr>
              <w:spacing w:after="0" w:line="240" w:lineRule="auto"/>
              <w:jc w:val="right"/>
              <w:rPr>
                <w:rFonts w:eastAsia="Times New Roman" w:cstheme="minorHAnsi"/>
                <w:color w:val="0000E1"/>
              </w:rPr>
            </w:pPr>
            <w:r w:rsidRPr="007C0FC0">
              <w:rPr>
                <w:rFonts w:eastAsia="Times New Roman" w:cstheme="minorHAnsi"/>
                <w:color w:val="0000E1"/>
              </w:rPr>
              <w:t>0.60, 0.69</w:t>
            </w:r>
          </w:p>
        </w:tc>
        <w:tc>
          <w:tcPr>
            <w:tcW w:w="830" w:type="dxa"/>
            <w:tcBorders>
              <w:top w:val="single" w:sz="4" w:space="0" w:color="auto"/>
              <w:left w:val="nil"/>
              <w:bottom w:val="single" w:sz="4" w:space="0" w:color="auto"/>
              <w:right w:val="single" w:sz="4" w:space="0" w:color="auto"/>
            </w:tcBorders>
            <w:shd w:val="clear" w:color="auto" w:fill="auto"/>
            <w:vAlign w:val="center"/>
          </w:tcPr>
          <w:p w14:paraId="1A52E854" w14:textId="77777777" w:rsidR="00EA1311" w:rsidRPr="007C0FC0" w:rsidRDefault="00EA1311" w:rsidP="00AE2BC8">
            <w:pPr>
              <w:spacing w:after="0" w:line="240" w:lineRule="auto"/>
              <w:jc w:val="right"/>
              <w:rPr>
                <w:rFonts w:eastAsia="Times New Roman" w:cstheme="minorHAnsi"/>
                <w:color w:val="0000E1"/>
              </w:rPr>
            </w:pPr>
            <w:r w:rsidRPr="007C0FC0">
              <w:rPr>
                <w:rFonts w:ascii="Calibri" w:hAnsi="Calibri" w:cs="Calibri"/>
                <w:color w:val="0000E1"/>
              </w:rPr>
              <w:t>&lt;.0001</w:t>
            </w:r>
          </w:p>
        </w:tc>
      </w:tr>
      <w:tr w:rsidR="000A5FE4" w:rsidRPr="007C0FC0" w14:paraId="3896F334" w14:textId="77777777" w:rsidTr="004A4119">
        <w:trPr>
          <w:trHeight w:val="158"/>
        </w:trPr>
        <w:tc>
          <w:tcPr>
            <w:tcW w:w="9274" w:type="dxa"/>
            <w:gridSpan w:val="8"/>
            <w:tcBorders>
              <w:top w:val="single" w:sz="4" w:space="0" w:color="auto"/>
            </w:tcBorders>
            <w:shd w:val="clear" w:color="auto" w:fill="auto"/>
            <w:vAlign w:val="center"/>
          </w:tcPr>
          <w:p w14:paraId="2C78F05F" w14:textId="77777777" w:rsidR="000A5FE4" w:rsidRDefault="000A5FE4" w:rsidP="0024252B">
            <w:pPr>
              <w:spacing w:after="0" w:line="240" w:lineRule="auto"/>
              <w:rPr>
                <w:rFonts w:ascii="Calibri" w:hAnsi="Calibri" w:cs="Calibri"/>
                <w:i/>
                <w:color w:val="0000E1"/>
                <w:sz w:val="20"/>
              </w:rPr>
            </w:pPr>
            <w:proofErr w:type="spellStart"/>
            <w:r w:rsidRPr="003979A2">
              <w:rPr>
                <w:rFonts w:ascii="Calibri" w:hAnsi="Calibri" w:cs="Calibri"/>
                <w:i/>
                <w:color w:val="0000E1"/>
                <w:sz w:val="20"/>
              </w:rPr>
              <w:t>Coeff</w:t>
            </w:r>
            <w:proofErr w:type="spellEnd"/>
            <w:r w:rsidRPr="003979A2">
              <w:rPr>
                <w:rFonts w:ascii="Calibri" w:hAnsi="Calibri" w:cs="Calibri"/>
                <w:i/>
                <w:color w:val="0000E1"/>
                <w:sz w:val="20"/>
              </w:rPr>
              <w:t>: Coefficient; CI: confidence interval; OR: odds ratio; Ref: reference group; LIS: low-income subsidy</w:t>
            </w:r>
          </w:p>
          <w:p w14:paraId="36AA2695" w14:textId="1D7FF792" w:rsidR="00162872" w:rsidRPr="003979A2" w:rsidRDefault="00162872" w:rsidP="0024252B">
            <w:pPr>
              <w:spacing w:after="0" w:line="240" w:lineRule="auto"/>
              <w:rPr>
                <w:rFonts w:ascii="Calibri" w:hAnsi="Calibri" w:cs="Calibri"/>
                <w:i/>
                <w:color w:val="0000E1"/>
                <w:sz w:val="20"/>
              </w:rPr>
            </w:pPr>
            <w:r w:rsidRPr="007C0FC0">
              <w:rPr>
                <w:rFonts w:cs="Calibri"/>
                <w:bCs/>
                <w:i/>
                <w:color w:val="0000E1"/>
              </w:rPr>
              <w:t>Note: For age group 65</w:t>
            </w:r>
            <w:r w:rsidR="002350B1">
              <w:rPr>
                <w:rFonts w:cs="Calibri"/>
                <w:bCs/>
                <w:i/>
                <w:color w:val="0000E1"/>
              </w:rPr>
              <w:t>-</w:t>
            </w:r>
            <w:r w:rsidRPr="007C0FC0">
              <w:rPr>
                <w:rFonts w:cs="Calibri"/>
                <w:bCs/>
                <w:i/>
                <w:color w:val="0000E1"/>
              </w:rPr>
              <w:t>69, the p-value</w:t>
            </w:r>
            <w:r w:rsidR="007E1A97">
              <w:rPr>
                <w:rFonts w:cs="Calibri"/>
                <w:bCs/>
                <w:i/>
                <w:color w:val="0000E1"/>
              </w:rPr>
              <w:t xml:space="preserve"> in the univariate analysis</w:t>
            </w:r>
            <w:r w:rsidRPr="007C0FC0">
              <w:rPr>
                <w:rFonts w:cs="Calibri"/>
                <w:bCs/>
                <w:i/>
                <w:color w:val="0000E1"/>
              </w:rPr>
              <w:t xml:space="preserve"> was &gt; 0.05</w:t>
            </w:r>
            <w:r>
              <w:rPr>
                <w:rFonts w:cs="Calibri"/>
                <w:bCs/>
                <w:i/>
                <w:color w:val="0000E1"/>
              </w:rPr>
              <w:t>.</w:t>
            </w:r>
          </w:p>
        </w:tc>
      </w:tr>
    </w:tbl>
    <w:p w14:paraId="11FCD9E6" w14:textId="77777777" w:rsidR="0061194B" w:rsidRDefault="0061194B" w:rsidP="00904DB4">
      <w:pPr>
        <w:autoSpaceDE w:val="0"/>
        <w:autoSpaceDN w:val="0"/>
        <w:adjustRightInd w:val="0"/>
        <w:spacing w:after="0" w:line="240" w:lineRule="auto"/>
        <w:rPr>
          <w:rFonts w:cs="Calibri"/>
          <w:b/>
          <w:bCs/>
          <w:color w:val="0000E1"/>
        </w:rPr>
      </w:pPr>
    </w:p>
    <w:p w14:paraId="31813FB9" w14:textId="641FA6D1" w:rsidR="004E6D45" w:rsidRPr="00787CA4" w:rsidRDefault="00F910A0" w:rsidP="00A368B6">
      <w:pPr>
        <w:spacing w:after="0"/>
        <w:rPr>
          <w:rFonts w:cs="Calibri"/>
          <w:b/>
          <w:bCs/>
          <w:color w:val="0000E1"/>
        </w:rPr>
      </w:pPr>
      <w:r w:rsidRPr="00787CA4">
        <w:rPr>
          <w:rFonts w:cs="Calibri"/>
          <w:b/>
          <w:bCs/>
          <w:color w:val="0000E1"/>
        </w:rPr>
        <w:lastRenderedPageBreak/>
        <w:t>Table 12</w:t>
      </w:r>
      <w:r w:rsidR="004E6D45" w:rsidRPr="00787CA4">
        <w:rPr>
          <w:rFonts w:cs="Calibri"/>
          <w:b/>
          <w:bCs/>
          <w:color w:val="0000E1"/>
        </w:rPr>
        <w:t>. Univariate (Unadjusted) and Multivariable (Adjusted)</w:t>
      </w:r>
      <w:r w:rsidRPr="00787CA4">
        <w:rPr>
          <w:rFonts w:cs="Calibri"/>
          <w:b/>
          <w:bCs/>
          <w:color w:val="0000E1"/>
        </w:rPr>
        <w:t xml:space="preserve"> Logistic Regression Results – R</w:t>
      </w:r>
      <w:r w:rsidR="004E6D45" w:rsidRPr="00787CA4">
        <w:rPr>
          <w:rFonts w:cs="Calibri"/>
          <w:b/>
          <w:bCs/>
          <w:color w:val="0000E1"/>
        </w:rPr>
        <w:t>ASA</w:t>
      </w:r>
    </w:p>
    <w:tbl>
      <w:tblPr>
        <w:tblW w:w="9214" w:type="dxa"/>
        <w:tblInd w:w="85" w:type="dxa"/>
        <w:tblLook w:val="04A0" w:firstRow="1" w:lastRow="0" w:firstColumn="1" w:lastColumn="0" w:noHBand="0" w:noVBand="1"/>
      </w:tblPr>
      <w:tblGrid>
        <w:gridCol w:w="2507"/>
        <w:gridCol w:w="1019"/>
        <w:gridCol w:w="720"/>
        <w:gridCol w:w="1132"/>
        <w:gridCol w:w="1078"/>
        <w:gridCol w:w="795"/>
        <w:gridCol w:w="1130"/>
        <w:gridCol w:w="833"/>
      </w:tblGrid>
      <w:tr w:rsidR="00787CA4" w:rsidRPr="00787CA4" w14:paraId="7BEA58BE" w14:textId="77777777" w:rsidTr="0061194B">
        <w:trPr>
          <w:trHeight w:val="188"/>
        </w:trPr>
        <w:tc>
          <w:tcPr>
            <w:tcW w:w="25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65DFE" w14:textId="77777777" w:rsidR="004E6D45" w:rsidRPr="00787CA4" w:rsidRDefault="004E6D45" w:rsidP="00904DB4">
            <w:pPr>
              <w:spacing w:after="0" w:line="240" w:lineRule="auto"/>
              <w:rPr>
                <w:rFonts w:eastAsia="Times New Roman" w:cstheme="minorHAnsi"/>
                <w:b/>
                <w:bCs/>
                <w:color w:val="0000E1"/>
              </w:rPr>
            </w:pPr>
            <w:r w:rsidRPr="00787CA4">
              <w:rPr>
                <w:rFonts w:eastAsia="Times New Roman" w:cstheme="minorHAnsi"/>
                <w:b/>
                <w:bCs/>
                <w:color w:val="0000E1"/>
              </w:rPr>
              <w:t> </w:t>
            </w:r>
          </w:p>
        </w:tc>
        <w:tc>
          <w:tcPr>
            <w:tcW w:w="2871" w:type="dxa"/>
            <w:gridSpan w:val="3"/>
            <w:tcBorders>
              <w:top w:val="single" w:sz="4" w:space="0" w:color="auto"/>
              <w:left w:val="nil"/>
              <w:bottom w:val="single" w:sz="4" w:space="0" w:color="auto"/>
              <w:right w:val="single" w:sz="4" w:space="0" w:color="auto"/>
            </w:tcBorders>
            <w:shd w:val="clear" w:color="auto" w:fill="auto"/>
            <w:vAlign w:val="center"/>
            <w:hideMark/>
          </w:tcPr>
          <w:p w14:paraId="4600C58B" w14:textId="77777777" w:rsidR="004E6D45" w:rsidRPr="00787CA4" w:rsidRDefault="004E6D45" w:rsidP="00904DB4">
            <w:pPr>
              <w:spacing w:after="0" w:line="240" w:lineRule="auto"/>
              <w:jc w:val="center"/>
              <w:rPr>
                <w:rFonts w:eastAsia="Times New Roman" w:cstheme="minorHAnsi"/>
                <w:b/>
                <w:bCs/>
                <w:color w:val="0000E1"/>
              </w:rPr>
            </w:pPr>
            <w:r w:rsidRPr="00787CA4">
              <w:rPr>
                <w:rFonts w:eastAsia="Times New Roman" w:cstheme="minorHAnsi"/>
                <w:b/>
                <w:bCs/>
                <w:color w:val="0000E1"/>
              </w:rPr>
              <w:t>Unadjusted</w:t>
            </w:r>
          </w:p>
        </w:tc>
        <w:tc>
          <w:tcPr>
            <w:tcW w:w="3836" w:type="dxa"/>
            <w:gridSpan w:val="4"/>
            <w:tcBorders>
              <w:top w:val="single" w:sz="4" w:space="0" w:color="auto"/>
              <w:left w:val="nil"/>
              <w:bottom w:val="single" w:sz="4" w:space="0" w:color="auto"/>
              <w:right w:val="single" w:sz="4" w:space="0" w:color="auto"/>
            </w:tcBorders>
            <w:shd w:val="clear" w:color="auto" w:fill="auto"/>
            <w:vAlign w:val="center"/>
            <w:hideMark/>
          </w:tcPr>
          <w:p w14:paraId="26A75165" w14:textId="77777777" w:rsidR="004E6D45" w:rsidRPr="00787CA4" w:rsidRDefault="004E6D45" w:rsidP="00904DB4">
            <w:pPr>
              <w:spacing w:after="0" w:line="240" w:lineRule="auto"/>
              <w:jc w:val="center"/>
              <w:rPr>
                <w:rFonts w:eastAsia="Times New Roman" w:cstheme="minorHAnsi"/>
                <w:b/>
                <w:bCs/>
                <w:color w:val="0000E1"/>
              </w:rPr>
            </w:pPr>
            <w:r w:rsidRPr="00787CA4">
              <w:rPr>
                <w:rFonts w:eastAsia="Times New Roman" w:cstheme="minorHAnsi"/>
                <w:b/>
                <w:bCs/>
                <w:color w:val="0000E1"/>
              </w:rPr>
              <w:t>Adjusted</w:t>
            </w:r>
          </w:p>
        </w:tc>
      </w:tr>
      <w:tr w:rsidR="00787CA4" w:rsidRPr="00787CA4" w14:paraId="0AE10B71" w14:textId="77777777" w:rsidTr="0061194B">
        <w:trPr>
          <w:trHeight w:val="393"/>
        </w:trPr>
        <w:tc>
          <w:tcPr>
            <w:tcW w:w="2507" w:type="dxa"/>
            <w:tcBorders>
              <w:top w:val="nil"/>
              <w:left w:val="single" w:sz="4" w:space="0" w:color="auto"/>
              <w:bottom w:val="single" w:sz="4" w:space="0" w:color="auto"/>
              <w:right w:val="single" w:sz="4" w:space="0" w:color="auto"/>
            </w:tcBorders>
            <w:shd w:val="clear" w:color="auto" w:fill="auto"/>
            <w:vAlign w:val="center"/>
            <w:hideMark/>
          </w:tcPr>
          <w:p w14:paraId="685B750C" w14:textId="77777777" w:rsidR="004E6D45" w:rsidRPr="00787CA4" w:rsidRDefault="004E6D45" w:rsidP="00904DB4">
            <w:pPr>
              <w:spacing w:after="0" w:line="240" w:lineRule="auto"/>
              <w:rPr>
                <w:rFonts w:eastAsia="Times New Roman" w:cstheme="minorHAnsi"/>
                <w:b/>
                <w:bCs/>
                <w:color w:val="0000E1"/>
              </w:rPr>
            </w:pPr>
            <w:r w:rsidRPr="00787CA4">
              <w:rPr>
                <w:rFonts w:eastAsia="Times New Roman" w:cstheme="minorHAnsi"/>
                <w:b/>
                <w:bCs/>
                <w:color w:val="0000E1"/>
              </w:rPr>
              <w:t>Characteristic</w:t>
            </w:r>
          </w:p>
        </w:tc>
        <w:tc>
          <w:tcPr>
            <w:tcW w:w="1019" w:type="dxa"/>
            <w:tcBorders>
              <w:top w:val="nil"/>
              <w:left w:val="nil"/>
              <w:bottom w:val="single" w:sz="4" w:space="0" w:color="auto"/>
              <w:right w:val="single" w:sz="4" w:space="0" w:color="auto"/>
            </w:tcBorders>
            <w:shd w:val="clear" w:color="auto" w:fill="auto"/>
            <w:vAlign w:val="center"/>
            <w:hideMark/>
          </w:tcPr>
          <w:p w14:paraId="17A6294D" w14:textId="77777777" w:rsidR="004E6D45" w:rsidRPr="00787CA4" w:rsidRDefault="004E6D45" w:rsidP="00904DB4">
            <w:pPr>
              <w:spacing w:after="0" w:line="240" w:lineRule="auto"/>
              <w:jc w:val="center"/>
              <w:rPr>
                <w:rFonts w:eastAsia="Times New Roman" w:cstheme="minorHAnsi"/>
                <w:b/>
                <w:bCs/>
                <w:color w:val="0000E1"/>
              </w:rPr>
            </w:pPr>
            <w:proofErr w:type="spellStart"/>
            <w:r w:rsidRPr="00787CA4">
              <w:rPr>
                <w:rFonts w:eastAsia="Times New Roman" w:cstheme="minorHAnsi"/>
                <w:b/>
                <w:bCs/>
                <w:color w:val="0000E1"/>
              </w:rPr>
              <w:t>Coeff</w:t>
            </w:r>
            <w:proofErr w:type="spellEnd"/>
            <w:r w:rsidRPr="00787CA4">
              <w:rPr>
                <w:rFonts w:eastAsia="Times New Roman" w:cstheme="minorHAnsi"/>
                <w:b/>
                <w:bCs/>
                <w:color w:val="0000E1"/>
              </w:rPr>
              <w:t xml:space="preserve"> Estimate</w:t>
            </w:r>
          </w:p>
        </w:tc>
        <w:tc>
          <w:tcPr>
            <w:tcW w:w="720" w:type="dxa"/>
            <w:tcBorders>
              <w:top w:val="nil"/>
              <w:left w:val="nil"/>
              <w:bottom w:val="single" w:sz="4" w:space="0" w:color="auto"/>
              <w:right w:val="single" w:sz="4" w:space="0" w:color="auto"/>
            </w:tcBorders>
            <w:shd w:val="clear" w:color="auto" w:fill="auto"/>
            <w:vAlign w:val="center"/>
            <w:hideMark/>
          </w:tcPr>
          <w:p w14:paraId="5C8B1D94" w14:textId="77777777" w:rsidR="004E6D45" w:rsidRPr="00787CA4" w:rsidRDefault="004E6D45" w:rsidP="00904DB4">
            <w:pPr>
              <w:spacing w:after="0" w:line="240" w:lineRule="auto"/>
              <w:jc w:val="center"/>
              <w:rPr>
                <w:rFonts w:eastAsia="Times New Roman" w:cstheme="minorHAnsi"/>
                <w:b/>
                <w:bCs/>
                <w:color w:val="0000E1"/>
              </w:rPr>
            </w:pPr>
            <w:r w:rsidRPr="00787CA4">
              <w:rPr>
                <w:rFonts w:eastAsia="Times New Roman" w:cstheme="minorHAnsi"/>
                <w:b/>
                <w:bCs/>
                <w:color w:val="0000E1"/>
              </w:rPr>
              <w:t>OR</w:t>
            </w:r>
          </w:p>
        </w:tc>
        <w:tc>
          <w:tcPr>
            <w:tcW w:w="1132" w:type="dxa"/>
            <w:tcBorders>
              <w:top w:val="nil"/>
              <w:left w:val="nil"/>
              <w:bottom w:val="single" w:sz="4" w:space="0" w:color="auto"/>
              <w:right w:val="single" w:sz="4" w:space="0" w:color="auto"/>
            </w:tcBorders>
            <w:shd w:val="clear" w:color="auto" w:fill="auto"/>
            <w:vAlign w:val="center"/>
            <w:hideMark/>
          </w:tcPr>
          <w:p w14:paraId="5FFA8FDB" w14:textId="77777777" w:rsidR="004E6D45" w:rsidRPr="00787CA4" w:rsidRDefault="004E6D45" w:rsidP="00904DB4">
            <w:pPr>
              <w:spacing w:after="0" w:line="240" w:lineRule="auto"/>
              <w:jc w:val="center"/>
              <w:rPr>
                <w:rFonts w:eastAsia="Times New Roman" w:cstheme="minorHAnsi"/>
                <w:b/>
                <w:bCs/>
                <w:color w:val="0000E1"/>
              </w:rPr>
            </w:pPr>
            <w:r w:rsidRPr="00787CA4">
              <w:rPr>
                <w:rFonts w:eastAsia="Times New Roman" w:cstheme="minorHAnsi"/>
                <w:b/>
                <w:bCs/>
                <w:color w:val="0000E1"/>
              </w:rPr>
              <w:t>95% CI</w:t>
            </w:r>
          </w:p>
        </w:tc>
        <w:tc>
          <w:tcPr>
            <w:tcW w:w="1078" w:type="dxa"/>
            <w:tcBorders>
              <w:top w:val="nil"/>
              <w:left w:val="nil"/>
              <w:bottom w:val="single" w:sz="4" w:space="0" w:color="auto"/>
              <w:right w:val="single" w:sz="4" w:space="0" w:color="auto"/>
            </w:tcBorders>
            <w:shd w:val="clear" w:color="auto" w:fill="auto"/>
            <w:vAlign w:val="center"/>
            <w:hideMark/>
          </w:tcPr>
          <w:p w14:paraId="2A6D9D46" w14:textId="77777777" w:rsidR="004E6D45" w:rsidRPr="00787CA4" w:rsidRDefault="004E6D45" w:rsidP="00904DB4">
            <w:pPr>
              <w:spacing w:after="0" w:line="240" w:lineRule="auto"/>
              <w:jc w:val="center"/>
              <w:rPr>
                <w:rFonts w:eastAsia="Times New Roman" w:cstheme="minorHAnsi"/>
                <w:b/>
                <w:bCs/>
                <w:color w:val="0000E1"/>
              </w:rPr>
            </w:pPr>
            <w:proofErr w:type="spellStart"/>
            <w:r w:rsidRPr="00787CA4">
              <w:rPr>
                <w:rFonts w:eastAsia="Times New Roman" w:cstheme="minorHAnsi"/>
                <w:b/>
                <w:bCs/>
                <w:color w:val="0000E1"/>
              </w:rPr>
              <w:t>Coeff</w:t>
            </w:r>
            <w:proofErr w:type="spellEnd"/>
            <w:r w:rsidRPr="00787CA4">
              <w:rPr>
                <w:rFonts w:eastAsia="Times New Roman" w:cstheme="minorHAnsi"/>
                <w:b/>
                <w:bCs/>
                <w:color w:val="0000E1"/>
              </w:rPr>
              <w:t xml:space="preserve"> Estimate</w:t>
            </w:r>
          </w:p>
        </w:tc>
        <w:tc>
          <w:tcPr>
            <w:tcW w:w="795" w:type="dxa"/>
            <w:tcBorders>
              <w:top w:val="nil"/>
              <w:left w:val="nil"/>
              <w:bottom w:val="single" w:sz="4" w:space="0" w:color="auto"/>
              <w:right w:val="single" w:sz="4" w:space="0" w:color="auto"/>
            </w:tcBorders>
            <w:shd w:val="clear" w:color="auto" w:fill="auto"/>
            <w:vAlign w:val="center"/>
            <w:hideMark/>
          </w:tcPr>
          <w:p w14:paraId="4A3762AB" w14:textId="77777777" w:rsidR="004E6D45" w:rsidRPr="00787CA4" w:rsidRDefault="004E6D45" w:rsidP="00904DB4">
            <w:pPr>
              <w:spacing w:after="0" w:line="240" w:lineRule="auto"/>
              <w:jc w:val="center"/>
              <w:rPr>
                <w:rFonts w:eastAsia="Times New Roman" w:cstheme="minorHAnsi"/>
                <w:b/>
                <w:bCs/>
                <w:color w:val="0000E1"/>
              </w:rPr>
            </w:pPr>
            <w:r w:rsidRPr="00787CA4">
              <w:rPr>
                <w:rFonts w:eastAsia="Times New Roman" w:cstheme="minorHAnsi"/>
                <w:b/>
                <w:bCs/>
                <w:color w:val="0000E1"/>
              </w:rPr>
              <w:t>OR</w:t>
            </w:r>
          </w:p>
        </w:tc>
        <w:tc>
          <w:tcPr>
            <w:tcW w:w="1130" w:type="dxa"/>
            <w:tcBorders>
              <w:top w:val="nil"/>
              <w:left w:val="nil"/>
              <w:bottom w:val="single" w:sz="4" w:space="0" w:color="auto"/>
              <w:right w:val="single" w:sz="4" w:space="0" w:color="auto"/>
            </w:tcBorders>
            <w:shd w:val="clear" w:color="auto" w:fill="auto"/>
            <w:vAlign w:val="center"/>
            <w:hideMark/>
          </w:tcPr>
          <w:p w14:paraId="49D10499" w14:textId="77777777" w:rsidR="004E6D45" w:rsidRPr="00787CA4" w:rsidRDefault="004E6D45" w:rsidP="00904DB4">
            <w:pPr>
              <w:spacing w:after="0" w:line="240" w:lineRule="auto"/>
              <w:jc w:val="center"/>
              <w:rPr>
                <w:rFonts w:eastAsia="Times New Roman" w:cstheme="minorHAnsi"/>
                <w:b/>
                <w:bCs/>
                <w:color w:val="0000E1"/>
              </w:rPr>
            </w:pPr>
            <w:r w:rsidRPr="00787CA4">
              <w:rPr>
                <w:rFonts w:eastAsia="Times New Roman" w:cstheme="minorHAnsi"/>
                <w:b/>
                <w:bCs/>
                <w:color w:val="0000E1"/>
              </w:rPr>
              <w:t>95% CI</w:t>
            </w:r>
          </w:p>
        </w:tc>
        <w:tc>
          <w:tcPr>
            <w:tcW w:w="833" w:type="dxa"/>
            <w:tcBorders>
              <w:top w:val="nil"/>
              <w:left w:val="nil"/>
              <w:bottom w:val="single" w:sz="4" w:space="0" w:color="auto"/>
              <w:right w:val="single" w:sz="4" w:space="0" w:color="auto"/>
            </w:tcBorders>
            <w:shd w:val="clear" w:color="auto" w:fill="auto"/>
            <w:vAlign w:val="center"/>
            <w:hideMark/>
          </w:tcPr>
          <w:p w14:paraId="72AA508C" w14:textId="77777777" w:rsidR="004E6D45" w:rsidRPr="00787CA4" w:rsidRDefault="00E40F26" w:rsidP="00904DB4">
            <w:pPr>
              <w:spacing w:after="0" w:line="240" w:lineRule="auto"/>
              <w:jc w:val="center"/>
              <w:rPr>
                <w:rFonts w:eastAsia="Times New Roman" w:cstheme="minorHAnsi"/>
                <w:b/>
                <w:bCs/>
                <w:color w:val="0000E1"/>
              </w:rPr>
            </w:pPr>
            <w:r w:rsidRPr="00787CA4">
              <w:rPr>
                <w:rFonts w:eastAsia="Times New Roman" w:cstheme="minorHAnsi"/>
                <w:b/>
                <w:bCs/>
                <w:color w:val="0000E1"/>
              </w:rPr>
              <w:t>p-value</w:t>
            </w:r>
          </w:p>
        </w:tc>
      </w:tr>
      <w:tr w:rsidR="00787CA4" w:rsidRPr="00787CA4" w14:paraId="1BB6D12E" w14:textId="77777777" w:rsidTr="0061194B">
        <w:trPr>
          <w:trHeight w:val="188"/>
        </w:trPr>
        <w:tc>
          <w:tcPr>
            <w:tcW w:w="2507" w:type="dxa"/>
            <w:tcBorders>
              <w:top w:val="nil"/>
              <w:left w:val="single" w:sz="4" w:space="0" w:color="auto"/>
              <w:bottom w:val="single" w:sz="4" w:space="0" w:color="auto"/>
              <w:right w:val="single" w:sz="4" w:space="0" w:color="auto"/>
            </w:tcBorders>
            <w:shd w:val="clear" w:color="auto" w:fill="auto"/>
            <w:vAlign w:val="center"/>
            <w:hideMark/>
          </w:tcPr>
          <w:p w14:paraId="768095D6" w14:textId="77777777" w:rsidR="004E6D45" w:rsidRPr="00787CA4" w:rsidRDefault="004E6D45" w:rsidP="00904DB4">
            <w:pPr>
              <w:spacing w:after="0" w:line="240" w:lineRule="auto"/>
              <w:rPr>
                <w:rFonts w:eastAsia="Times New Roman" w:cstheme="minorHAnsi"/>
                <w:bCs/>
                <w:color w:val="0000E1"/>
              </w:rPr>
            </w:pPr>
            <w:r w:rsidRPr="00787CA4">
              <w:rPr>
                <w:rFonts w:eastAsia="Times New Roman" w:cstheme="minorHAnsi"/>
                <w:bCs/>
                <w:color w:val="0000E1"/>
              </w:rPr>
              <w:t>Age Group (Ref = 80+)</w:t>
            </w:r>
          </w:p>
        </w:tc>
        <w:tc>
          <w:tcPr>
            <w:tcW w:w="1019" w:type="dxa"/>
            <w:tcBorders>
              <w:top w:val="nil"/>
              <w:left w:val="nil"/>
              <w:bottom w:val="single" w:sz="4" w:space="0" w:color="auto"/>
              <w:right w:val="single" w:sz="4" w:space="0" w:color="auto"/>
            </w:tcBorders>
            <w:shd w:val="clear" w:color="auto" w:fill="auto"/>
            <w:vAlign w:val="center"/>
            <w:hideMark/>
          </w:tcPr>
          <w:p w14:paraId="3E011DE4" w14:textId="77777777" w:rsidR="004E6D45" w:rsidRPr="00787CA4" w:rsidRDefault="004E6D45" w:rsidP="00904DB4">
            <w:pPr>
              <w:spacing w:after="0" w:line="240" w:lineRule="auto"/>
              <w:rPr>
                <w:rFonts w:eastAsia="Times New Roman" w:cstheme="minorHAnsi"/>
                <w:color w:val="0000E1"/>
              </w:rPr>
            </w:pPr>
            <w:r w:rsidRPr="00787CA4">
              <w:rPr>
                <w:rFonts w:eastAsia="Times New Roman" w:cstheme="minorHAnsi"/>
                <w:color w:val="0000E1"/>
              </w:rPr>
              <w:t> </w:t>
            </w:r>
          </w:p>
        </w:tc>
        <w:tc>
          <w:tcPr>
            <w:tcW w:w="720" w:type="dxa"/>
            <w:tcBorders>
              <w:top w:val="nil"/>
              <w:left w:val="nil"/>
              <w:bottom w:val="single" w:sz="4" w:space="0" w:color="auto"/>
              <w:right w:val="single" w:sz="4" w:space="0" w:color="auto"/>
            </w:tcBorders>
            <w:shd w:val="clear" w:color="auto" w:fill="auto"/>
            <w:vAlign w:val="center"/>
            <w:hideMark/>
          </w:tcPr>
          <w:p w14:paraId="4BE48413" w14:textId="77777777" w:rsidR="004E6D45" w:rsidRPr="00787CA4" w:rsidRDefault="004E6D45" w:rsidP="00904DB4">
            <w:pPr>
              <w:spacing w:after="0" w:line="240" w:lineRule="auto"/>
              <w:rPr>
                <w:rFonts w:eastAsia="Times New Roman" w:cstheme="minorHAnsi"/>
                <w:color w:val="0000E1"/>
              </w:rPr>
            </w:pPr>
            <w:r w:rsidRPr="00787CA4">
              <w:rPr>
                <w:rFonts w:eastAsia="Times New Roman" w:cstheme="minorHAnsi"/>
                <w:color w:val="0000E1"/>
              </w:rPr>
              <w:t> </w:t>
            </w:r>
          </w:p>
        </w:tc>
        <w:tc>
          <w:tcPr>
            <w:tcW w:w="1132" w:type="dxa"/>
            <w:tcBorders>
              <w:top w:val="nil"/>
              <w:left w:val="nil"/>
              <w:bottom w:val="single" w:sz="4" w:space="0" w:color="auto"/>
              <w:right w:val="single" w:sz="4" w:space="0" w:color="auto"/>
            </w:tcBorders>
            <w:shd w:val="clear" w:color="auto" w:fill="auto"/>
            <w:vAlign w:val="center"/>
            <w:hideMark/>
          </w:tcPr>
          <w:p w14:paraId="18ABBB59" w14:textId="77777777" w:rsidR="004E6D45" w:rsidRPr="00787CA4" w:rsidRDefault="004E6D45" w:rsidP="00904DB4">
            <w:pPr>
              <w:spacing w:after="0" w:line="240" w:lineRule="auto"/>
              <w:rPr>
                <w:rFonts w:eastAsia="Times New Roman" w:cstheme="minorHAnsi"/>
                <w:color w:val="0000E1"/>
              </w:rPr>
            </w:pPr>
            <w:r w:rsidRPr="00787CA4">
              <w:rPr>
                <w:rFonts w:eastAsia="Times New Roman" w:cstheme="minorHAnsi"/>
                <w:color w:val="0000E1"/>
              </w:rPr>
              <w:t> </w:t>
            </w:r>
          </w:p>
        </w:tc>
        <w:tc>
          <w:tcPr>
            <w:tcW w:w="1078" w:type="dxa"/>
            <w:tcBorders>
              <w:top w:val="nil"/>
              <w:left w:val="nil"/>
              <w:bottom w:val="single" w:sz="4" w:space="0" w:color="auto"/>
              <w:right w:val="single" w:sz="4" w:space="0" w:color="auto"/>
            </w:tcBorders>
            <w:shd w:val="clear" w:color="auto" w:fill="auto"/>
            <w:vAlign w:val="center"/>
            <w:hideMark/>
          </w:tcPr>
          <w:p w14:paraId="0F3F1522" w14:textId="77777777" w:rsidR="004E6D45" w:rsidRPr="00787CA4" w:rsidRDefault="004E6D45" w:rsidP="00904DB4">
            <w:pPr>
              <w:spacing w:after="0" w:line="240" w:lineRule="auto"/>
              <w:rPr>
                <w:rFonts w:eastAsia="Times New Roman" w:cstheme="minorHAnsi"/>
                <w:color w:val="0000E1"/>
              </w:rPr>
            </w:pPr>
            <w:r w:rsidRPr="00787CA4">
              <w:rPr>
                <w:rFonts w:eastAsia="Times New Roman" w:cstheme="minorHAnsi"/>
                <w:color w:val="0000E1"/>
              </w:rPr>
              <w:t> </w:t>
            </w:r>
          </w:p>
        </w:tc>
        <w:tc>
          <w:tcPr>
            <w:tcW w:w="795" w:type="dxa"/>
            <w:tcBorders>
              <w:top w:val="nil"/>
              <w:left w:val="nil"/>
              <w:bottom w:val="single" w:sz="4" w:space="0" w:color="auto"/>
              <w:right w:val="single" w:sz="4" w:space="0" w:color="auto"/>
            </w:tcBorders>
            <w:shd w:val="clear" w:color="auto" w:fill="auto"/>
            <w:vAlign w:val="center"/>
            <w:hideMark/>
          </w:tcPr>
          <w:p w14:paraId="021A7DFD" w14:textId="77777777" w:rsidR="004E6D45" w:rsidRPr="00787CA4" w:rsidRDefault="004E6D45" w:rsidP="00904DB4">
            <w:pPr>
              <w:spacing w:after="0" w:line="240" w:lineRule="auto"/>
              <w:rPr>
                <w:rFonts w:eastAsia="Times New Roman" w:cstheme="minorHAnsi"/>
                <w:color w:val="0000E1"/>
              </w:rPr>
            </w:pPr>
            <w:r w:rsidRPr="00787CA4">
              <w:rPr>
                <w:rFonts w:eastAsia="Times New Roman" w:cstheme="minorHAnsi"/>
                <w:color w:val="0000E1"/>
              </w:rPr>
              <w:t> </w:t>
            </w:r>
          </w:p>
        </w:tc>
        <w:tc>
          <w:tcPr>
            <w:tcW w:w="1130" w:type="dxa"/>
            <w:tcBorders>
              <w:top w:val="nil"/>
              <w:left w:val="nil"/>
              <w:bottom w:val="single" w:sz="4" w:space="0" w:color="auto"/>
              <w:right w:val="single" w:sz="4" w:space="0" w:color="auto"/>
            </w:tcBorders>
            <w:shd w:val="clear" w:color="auto" w:fill="auto"/>
            <w:vAlign w:val="center"/>
            <w:hideMark/>
          </w:tcPr>
          <w:p w14:paraId="4D601512" w14:textId="77777777" w:rsidR="004E6D45" w:rsidRPr="00787CA4" w:rsidRDefault="004E6D45" w:rsidP="00904DB4">
            <w:pPr>
              <w:spacing w:after="0" w:line="240" w:lineRule="auto"/>
              <w:rPr>
                <w:rFonts w:eastAsia="Times New Roman" w:cstheme="minorHAnsi"/>
                <w:color w:val="0000E1"/>
              </w:rPr>
            </w:pPr>
            <w:r w:rsidRPr="00787CA4">
              <w:rPr>
                <w:rFonts w:eastAsia="Times New Roman" w:cstheme="minorHAnsi"/>
                <w:color w:val="0000E1"/>
              </w:rPr>
              <w:t> </w:t>
            </w:r>
          </w:p>
        </w:tc>
        <w:tc>
          <w:tcPr>
            <w:tcW w:w="833" w:type="dxa"/>
            <w:tcBorders>
              <w:top w:val="nil"/>
              <w:left w:val="nil"/>
              <w:bottom w:val="single" w:sz="4" w:space="0" w:color="auto"/>
              <w:right w:val="single" w:sz="4" w:space="0" w:color="auto"/>
            </w:tcBorders>
            <w:shd w:val="clear" w:color="auto" w:fill="auto"/>
            <w:vAlign w:val="center"/>
            <w:hideMark/>
          </w:tcPr>
          <w:p w14:paraId="7A153C4A" w14:textId="77777777" w:rsidR="004E6D45" w:rsidRPr="00787CA4" w:rsidRDefault="004E6D45" w:rsidP="00904DB4">
            <w:pPr>
              <w:spacing w:after="0" w:line="240" w:lineRule="auto"/>
              <w:rPr>
                <w:rFonts w:eastAsia="Times New Roman" w:cstheme="minorHAnsi"/>
                <w:color w:val="0000E1"/>
              </w:rPr>
            </w:pPr>
            <w:r w:rsidRPr="00787CA4">
              <w:rPr>
                <w:rFonts w:eastAsia="Times New Roman" w:cstheme="minorHAnsi"/>
                <w:color w:val="0000E1"/>
              </w:rPr>
              <w:t> </w:t>
            </w:r>
          </w:p>
        </w:tc>
      </w:tr>
      <w:tr w:rsidR="00787CA4" w:rsidRPr="00787CA4" w14:paraId="4B7E60CB" w14:textId="77777777" w:rsidTr="00AE2BC8">
        <w:trPr>
          <w:trHeight w:val="188"/>
        </w:trPr>
        <w:tc>
          <w:tcPr>
            <w:tcW w:w="2507" w:type="dxa"/>
            <w:tcBorders>
              <w:top w:val="nil"/>
              <w:left w:val="single" w:sz="4" w:space="0" w:color="auto"/>
              <w:bottom w:val="single" w:sz="4" w:space="0" w:color="auto"/>
              <w:right w:val="single" w:sz="4" w:space="0" w:color="auto"/>
            </w:tcBorders>
            <w:shd w:val="clear" w:color="auto" w:fill="auto"/>
            <w:vAlign w:val="center"/>
            <w:hideMark/>
          </w:tcPr>
          <w:p w14:paraId="4F839393" w14:textId="77777777" w:rsidR="00E40F26" w:rsidRPr="00787CA4" w:rsidRDefault="00E40F26" w:rsidP="00E40F26">
            <w:pPr>
              <w:spacing w:after="0" w:line="240" w:lineRule="auto"/>
              <w:jc w:val="right"/>
              <w:rPr>
                <w:rFonts w:eastAsia="Times New Roman" w:cstheme="minorHAnsi"/>
                <w:color w:val="0000E1"/>
              </w:rPr>
            </w:pPr>
            <w:r w:rsidRPr="00787CA4">
              <w:rPr>
                <w:rFonts w:eastAsia="Times New Roman" w:cstheme="minorHAnsi"/>
                <w:color w:val="0000E1"/>
              </w:rPr>
              <w:t>18-54</w:t>
            </w:r>
          </w:p>
        </w:tc>
        <w:tc>
          <w:tcPr>
            <w:tcW w:w="1019" w:type="dxa"/>
            <w:tcBorders>
              <w:top w:val="nil"/>
              <w:left w:val="nil"/>
              <w:bottom w:val="single" w:sz="4" w:space="0" w:color="auto"/>
              <w:right w:val="single" w:sz="4" w:space="0" w:color="auto"/>
            </w:tcBorders>
            <w:shd w:val="clear" w:color="auto" w:fill="auto"/>
            <w:vAlign w:val="center"/>
          </w:tcPr>
          <w:p w14:paraId="05C13B48" w14:textId="77777777" w:rsidR="00E40F26" w:rsidRPr="00787CA4" w:rsidRDefault="00E40F26" w:rsidP="00AE2BC8">
            <w:pPr>
              <w:spacing w:after="0" w:line="240" w:lineRule="auto"/>
              <w:jc w:val="right"/>
              <w:rPr>
                <w:rFonts w:eastAsia="Times New Roman" w:cstheme="minorHAnsi"/>
                <w:color w:val="0000E1"/>
              </w:rPr>
            </w:pPr>
            <w:r w:rsidRPr="00787CA4">
              <w:rPr>
                <w:color w:val="0000E1"/>
              </w:rPr>
              <w:t>-0.7257</w:t>
            </w:r>
          </w:p>
        </w:tc>
        <w:tc>
          <w:tcPr>
            <w:tcW w:w="720" w:type="dxa"/>
            <w:tcBorders>
              <w:top w:val="nil"/>
              <w:left w:val="nil"/>
              <w:bottom w:val="single" w:sz="4" w:space="0" w:color="auto"/>
              <w:right w:val="single" w:sz="4" w:space="0" w:color="auto"/>
            </w:tcBorders>
            <w:shd w:val="clear" w:color="auto" w:fill="auto"/>
            <w:vAlign w:val="center"/>
          </w:tcPr>
          <w:p w14:paraId="610BFA91" w14:textId="77777777" w:rsidR="00E40F26" w:rsidRPr="00787CA4" w:rsidRDefault="00E40F26" w:rsidP="00AE2BC8">
            <w:pPr>
              <w:spacing w:after="0" w:line="240" w:lineRule="auto"/>
              <w:jc w:val="right"/>
              <w:rPr>
                <w:rFonts w:eastAsia="Times New Roman" w:cstheme="minorHAnsi"/>
                <w:color w:val="0000E1"/>
              </w:rPr>
            </w:pPr>
            <w:r w:rsidRPr="00787CA4">
              <w:rPr>
                <w:color w:val="0000E1"/>
              </w:rPr>
              <w:t>0.48</w:t>
            </w:r>
          </w:p>
        </w:tc>
        <w:tc>
          <w:tcPr>
            <w:tcW w:w="1132" w:type="dxa"/>
            <w:tcBorders>
              <w:top w:val="nil"/>
              <w:left w:val="nil"/>
              <w:bottom w:val="single" w:sz="4" w:space="0" w:color="auto"/>
              <w:right w:val="single" w:sz="4" w:space="0" w:color="auto"/>
            </w:tcBorders>
            <w:shd w:val="clear" w:color="auto" w:fill="auto"/>
            <w:vAlign w:val="center"/>
          </w:tcPr>
          <w:p w14:paraId="23987C79"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0.47, 0.50</w:t>
            </w:r>
          </w:p>
        </w:tc>
        <w:tc>
          <w:tcPr>
            <w:tcW w:w="1078" w:type="dxa"/>
            <w:tcBorders>
              <w:top w:val="nil"/>
              <w:left w:val="nil"/>
              <w:bottom w:val="single" w:sz="4" w:space="0" w:color="auto"/>
              <w:right w:val="single" w:sz="4" w:space="0" w:color="auto"/>
            </w:tcBorders>
            <w:shd w:val="clear" w:color="auto" w:fill="auto"/>
            <w:vAlign w:val="center"/>
          </w:tcPr>
          <w:p w14:paraId="2BEBE1BC" w14:textId="77777777" w:rsidR="00E40F26" w:rsidRPr="00787CA4" w:rsidRDefault="00E40F26" w:rsidP="00AE2BC8">
            <w:pPr>
              <w:spacing w:after="0" w:line="240" w:lineRule="auto"/>
              <w:jc w:val="right"/>
              <w:rPr>
                <w:rFonts w:eastAsia="Times New Roman" w:cstheme="minorHAnsi"/>
                <w:color w:val="0000E1"/>
              </w:rPr>
            </w:pPr>
            <w:r w:rsidRPr="00787CA4">
              <w:rPr>
                <w:color w:val="0000E1"/>
              </w:rPr>
              <w:t>-0.0942</w:t>
            </w:r>
          </w:p>
        </w:tc>
        <w:tc>
          <w:tcPr>
            <w:tcW w:w="795" w:type="dxa"/>
            <w:tcBorders>
              <w:top w:val="nil"/>
              <w:left w:val="nil"/>
              <w:bottom w:val="single" w:sz="4" w:space="0" w:color="auto"/>
              <w:right w:val="single" w:sz="4" w:space="0" w:color="auto"/>
            </w:tcBorders>
            <w:shd w:val="clear" w:color="auto" w:fill="auto"/>
            <w:vAlign w:val="center"/>
          </w:tcPr>
          <w:p w14:paraId="133FB07B" w14:textId="77777777" w:rsidR="00E40F26" w:rsidRPr="00787CA4" w:rsidRDefault="00E40F26" w:rsidP="00AE2BC8">
            <w:pPr>
              <w:spacing w:after="0" w:line="240" w:lineRule="auto"/>
              <w:jc w:val="right"/>
              <w:rPr>
                <w:rFonts w:eastAsia="Times New Roman" w:cstheme="minorHAnsi"/>
                <w:color w:val="0000E1"/>
              </w:rPr>
            </w:pPr>
            <w:r w:rsidRPr="00787CA4">
              <w:rPr>
                <w:color w:val="0000E1"/>
              </w:rPr>
              <w:t>0.91</w:t>
            </w:r>
          </w:p>
        </w:tc>
        <w:tc>
          <w:tcPr>
            <w:tcW w:w="1130" w:type="dxa"/>
            <w:tcBorders>
              <w:top w:val="nil"/>
              <w:left w:val="nil"/>
              <w:bottom w:val="single" w:sz="4" w:space="0" w:color="auto"/>
              <w:right w:val="single" w:sz="4" w:space="0" w:color="auto"/>
            </w:tcBorders>
            <w:shd w:val="clear" w:color="auto" w:fill="auto"/>
            <w:vAlign w:val="center"/>
          </w:tcPr>
          <w:p w14:paraId="0D622798"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0.86, 0.96</w:t>
            </w:r>
          </w:p>
        </w:tc>
        <w:tc>
          <w:tcPr>
            <w:tcW w:w="833" w:type="dxa"/>
            <w:tcBorders>
              <w:top w:val="nil"/>
              <w:left w:val="nil"/>
              <w:bottom w:val="single" w:sz="4" w:space="0" w:color="auto"/>
              <w:right w:val="single" w:sz="4" w:space="0" w:color="auto"/>
            </w:tcBorders>
            <w:shd w:val="clear" w:color="auto" w:fill="auto"/>
            <w:vAlign w:val="center"/>
          </w:tcPr>
          <w:p w14:paraId="09959B95"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0.0008</w:t>
            </w:r>
          </w:p>
        </w:tc>
      </w:tr>
      <w:tr w:rsidR="00787CA4" w:rsidRPr="00787CA4" w14:paraId="4AE84704" w14:textId="77777777" w:rsidTr="00AE2BC8">
        <w:trPr>
          <w:trHeight w:val="188"/>
        </w:trPr>
        <w:tc>
          <w:tcPr>
            <w:tcW w:w="2507" w:type="dxa"/>
            <w:tcBorders>
              <w:top w:val="nil"/>
              <w:left w:val="single" w:sz="4" w:space="0" w:color="auto"/>
              <w:bottom w:val="single" w:sz="4" w:space="0" w:color="auto"/>
              <w:right w:val="single" w:sz="4" w:space="0" w:color="auto"/>
            </w:tcBorders>
            <w:shd w:val="clear" w:color="auto" w:fill="auto"/>
            <w:vAlign w:val="center"/>
            <w:hideMark/>
          </w:tcPr>
          <w:p w14:paraId="4A543864" w14:textId="77777777" w:rsidR="00E40F26" w:rsidRPr="00787CA4" w:rsidRDefault="00E40F26" w:rsidP="00E40F26">
            <w:pPr>
              <w:spacing w:after="0" w:line="240" w:lineRule="auto"/>
              <w:jc w:val="right"/>
              <w:rPr>
                <w:rFonts w:eastAsia="Times New Roman" w:cstheme="minorHAnsi"/>
                <w:color w:val="0000E1"/>
              </w:rPr>
            </w:pPr>
            <w:r w:rsidRPr="00787CA4">
              <w:rPr>
                <w:rFonts w:eastAsia="Times New Roman" w:cstheme="minorHAnsi"/>
                <w:color w:val="0000E1"/>
              </w:rPr>
              <w:t>55-64</w:t>
            </w:r>
          </w:p>
        </w:tc>
        <w:tc>
          <w:tcPr>
            <w:tcW w:w="1019" w:type="dxa"/>
            <w:tcBorders>
              <w:top w:val="nil"/>
              <w:left w:val="nil"/>
              <w:bottom w:val="single" w:sz="4" w:space="0" w:color="auto"/>
              <w:right w:val="single" w:sz="4" w:space="0" w:color="auto"/>
            </w:tcBorders>
            <w:shd w:val="clear" w:color="auto" w:fill="auto"/>
            <w:vAlign w:val="center"/>
          </w:tcPr>
          <w:p w14:paraId="1C043CB5" w14:textId="77777777" w:rsidR="00E40F26" w:rsidRPr="00787CA4" w:rsidRDefault="00E40F26" w:rsidP="00AE2BC8">
            <w:pPr>
              <w:spacing w:after="0" w:line="240" w:lineRule="auto"/>
              <w:jc w:val="right"/>
              <w:rPr>
                <w:rFonts w:eastAsia="Times New Roman" w:cstheme="minorHAnsi"/>
                <w:color w:val="0000E1"/>
              </w:rPr>
            </w:pPr>
            <w:r w:rsidRPr="00787CA4">
              <w:rPr>
                <w:color w:val="0000E1"/>
              </w:rPr>
              <w:t>-0.2357</w:t>
            </w:r>
          </w:p>
        </w:tc>
        <w:tc>
          <w:tcPr>
            <w:tcW w:w="720" w:type="dxa"/>
            <w:tcBorders>
              <w:top w:val="nil"/>
              <w:left w:val="nil"/>
              <w:bottom w:val="single" w:sz="4" w:space="0" w:color="auto"/>
              <w:right w:val="single" w:sz="4" w:space="0" w:color="auto"/>
            </w:tcBorders>
            <w:shd w:val="clear" w:color="auto" w:fill="auto"/>
            <w:vAlign w:val="center"/>
          </w:tcPr>
          <w:p w14:paraId="6999A034" w14:textId="77777777" w:rsidR="00E40F26" w:rsidRPr="00787CA4" w:rsidRDefault="00E40F26" w:rsidP="00AE2BC8">
            <w:pPr>
              <w:spacing w:after="0" w:line="240" w:lineRule="auto"/>
              <w:jc w:val="right"/>
              <w:rPr>
                <w:rFonts w:eastAsia="Times New Roman" w:cstheme="minorHAnsi"/>
                <w:color w:val="0000E1"/>
              </w:rPr>
            </w:pPr>
            <w:r w:rsidRPr="00787CA4">
              <w:rPr>
                <w:color w:val="0000E1"/>
              </w:rPr>
              <w:t>0.79</w:t>
            </w:r>
          </w:p>
        </w:tc>
        <w:tc>
          <w:tcPr>
            <w:tcW w:w="1132" w:type="dxa"/>
            <w:tcBorders>
              <w:top w:val="nil"/>
              <w:left w:val="nil"/>
              <w:bottom w:val="single" w:sz="4" w:space="0" w:color="auto"/>
              <w:right w:val="single" w:sz="4" w:space="0" w:color="auto"/>
            </w:tcBorders>
            <w:shd w:val="clear" w:color="auto" w:fill="auto"/>
            <w:vAlign w:val="center"/>
          </w:tcPr>
          <w:p w14:paraId="45A3CA6D"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0.77, 0.81</w:t>
            </w:r>
          </w:p>
        </w:tc>
        <w:tc>
          <w:tcPr>
            <w:tcW w:w="1078" w:type="dxa"/>
            <w:tcBorders>
              <w:top w:val="nil"/>
              <w:left w:val="nil"/>
              <w:bottom w:val="single" w:sz="4" w:space="0" w:color="auto"/>
              <w:right w:val="single" w:sz="4" w:space="0" w:color="auto"/>
            </w:tcBorders>
            <w:shd w:val="clear" w:color="auto" w:fill="auto"/>
            <w:vAlign w:val="center"/>
          </w:tcPr>
          <w:p w14:paraId="379981C7" w14:textId="77777777" w:rsidR="00E40F26" w:rsidRPr="00787CA4" w:rsidRDefault="00E40F26" w:rsidP="00AE2BC8">
            <w:pPr>
              <w:spacing w:after="0" w:line="240" w:lineRule="auto"/>
              <w:jc w:val="right"/>
              <w:rPr>
                <w:rFonts w:eastAsia="Times New Roman" w:cstheme="minorHAnsi"/>
                <w:color w:val="0000E1"/>
              </w:rPr>
            </w:pPr>
            <w:r w:rsidRPr="00787CA4">
              <w:rPr>
                <w:color w:val="0000E1"/>
              </w:rPr>
              <w:t>0.1978</w:t>
            </w:r>
          </w:p>
        </w:tc>
        <w:tc>
          <w:tcPr>
            <w:tcW w:w="795" w:type="dxa"/>
            <w:tcBorders>
              <w:top w:val="nil"/>
              <w:left w:val="nil"/>
              <w:bottom w:val="single" w:sz="4" w:space="0" w:color="auto"/>
              <w:right w:val="single" w:sz="4" w:space="0" w:color="auto"/>
            </w:tcBorders>
            <w:shd w:val="clear" w:color="auto" w:fill="auto"/>
            <w:vAlign w:val="center"/>
          </w:tcPr>
          <w:p w14:paraId="17148264" w14:textId="77777777" w:rsidR="00E40F26" w:rsidRPr="00787CA4" w:rsidRDefault="00E40F26" w:rsidP="00AE2BC8">
            <w:pPr>
              <w:spacing w:after="0" w:line="240" w:lineRule="auto"/>
              <w:jc w:val="right"/>
              <w:rPr>
                <w:rFonts w:eastAsia="Times New Roman" w:cstheme="minorHAnsi"/>
                <w:color w:val="0000E1"/>
              </w:rPr>
            </w:pPr>
            <w:r w:rsidRPr="00787CA4">
              <w:rPr>
                <w:color w:val="0000E1"/>
              </w:rPr>
              <w:t>1.22</w:t>
            </w:r>
          </w:p>
        </w:tc>
        <w:tc>
          <w:tcPr>
            <w:tcW w:w="1130" w:type="dxa"/>
            <w:tcBorders>
              <w:top w:val="nil"/>
              <w:left w:val="nil"/>
              <w:bottom w:val="single" w:sz="4" w:space="0" w:color="auto"/>
              <w:right w:val="single" w:sz="4" w:space="0" w:color="auto"/>
            </w:tcBorders>
            <w:shd w:val="clear" w:color="auto" w:fill="auto"/>
            <w:vAlign w:val="center"/>
          </w:tcPr>
          <w:p w14:paraId="08DAFAAB"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1.17, 1.27</w:t>
            </w:r>
          </w:p>
        </w:tc>
        <w:tc>
          <w:tcPr>
            <w:tcW w:w="833" w:type="dxa"/>
            <w:tcBorders>
              <w:top w:val="nil"/>
              <w:left w:val="nil"/>
              <w:bottom w:val="single" w:sz="4" w:space="0" w:color="auto"/>
              <w:right w:val="single" w:sz="4" w:space="0" w:color="auto"/>
            </w:tcBorders>
            <w:shd w:val="clear" w:color="auto" w:fill="auto"/>
            <w:vAlign w:val="center"/>
          </w:tcPr>
          <w:p w14:paraId="53CF1869"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&lt;.0001</w:t>
            </w:r>
          </w:p>
        </w:tc>
      </w:tr>
      <w:tr w:rsidR="00787CA4" w:rsidRPr="00787CA4" w14:paraId="1BD4C083" w14:textId="77777777" w:rsidTr="00AE2BC8">
        <w:trPr>
          <w:trHeight w:val="188"/>
        </w:trPr>
        <w:tc>
          <w:tcPr>
            <w:tcW w:w="2507" w:type="dxa"/>
            <w:tcBorders>
              <w:top w:val="nil"/>
              <w:left w:val="single" w:sz="4" w:space="0" w:color="auto"/>
              <w:bottom w:val="single" w:sz="4" w:space="0" w:color="auto"/>
              <w:right w:val="single" w:sz="4" w:space="0" w:color="auto"/>
            </w:tcBorders>
            <w:shd w:val="clear" w:color="auto" w:fill="auto"/>
            <w:vAlign w:val="center"/>
            <w:hideMark/>
          </w:tcPr>
          <w:p w14:paraId="4BF93A3F" w14:textId="77777777" w:rsidR="00E40F26" w:rsidRPr="00787CA4" w:rsidRDefault="00E40F26" w:rsidP="00E40F26">
            <w:pPr>
              <w:spacing w:after="0" w:line="240" w:lineRule="auto"/>
              <w:jc w:val="right"/>
              <w:rPr>
                <w:rFonts w:eastAsia="Times New Roman" w:cstheme="minorHAnsi"/>
                <w:color w:val="0000E1"/>
              </w:rPr>
            </w:pPr>
            <w:r w:rsidRPr="00787CA4">
              <w:rPr>
                <w:rFonts w:eastAsia="Times New Roman" w:cstheme="minorHAnsi"/>
                <w:color w:val="0000E1"/>
              </w:rPr>
              <w:t>65-69</w:t>
            </w:r>
          </w:p>
        </w:tc>
        <w:tc>
          <w:tcPr>
            <w:tcW w:w="1019" w:type="dxa"/>
            <w:tcBorders>
              <w:top w:val="nil"/>
              <w:left w:val="nil"/>
              <w:bottom w:val="single" w:sz="4" w:space="0" w:color="auto"/>
              <w:right w:val="single" w:sz="4" w:space="0" w:color="auto"/>
            </w:tcBorders>
            <w:shd w:val="clear" w:color="auto" w:fill="auto"/>
            <w:vAlign w:val="center"/>
          </w:tcPr>
          <w:p w14:paraId="333C5BE7" w14:textId="77777777" w:rsidR="00E40F26" w:rsidRPr="00787CA4" w:rsidRDefault="00E40F26" w:rsidP="00AE2BC8">
            <w:pPr>
              <w:spacing w:after="0" w:line="240" w:lineRule="auto"/>
              <w:jc w:val="right"/>
              <w:rPr>
                <w:rFonts w:eastAsia="Times New Roman" w:cstheme="minorHAnsi"/>
                <w:color w:val="0000E1"/>
              </w:rPr>
            </w:pPr>
            <w:r w:rsidRPr="00787CA4">
              <w:rPr>
                <w:color w:val="0000E1"/>
              </w:rPr>
              <w:t>0.0889</w:t>
            </w:r>
          </w:p>
        </w:tc>
        <w:tc>
          <w:tcPr>
            <w:tcW w:w="720" w:type="dxa"/>
            <w:tcBorders>
              <w:top w:val="nil"/>
              <w:left w:val="nil"/>
              <w:bottom w:val="single" w:sz="4" w:space="0" w:color="auto"/>
              <w:right w:val="single" w:sz="4" w:space="0" w:color="auto"/>
            </w:tcBorders>
            <w:shd w:val="clear" w:color="auto" w:fill="auto"/>
            <w:vAlign w:val="center"/>
          </w:tcPr>
          <w:p w14:paraId="2D9E7EAB" w14:textId="77777777" w:rsidR="00E40F26" w:rsidRPr="00787CA4" w:rsidRDefault="00E40F26" w:rsidP="00AE2BC8">
            <w:pPr>
              <w:spacing w:after="0" w:line="240" w:lineRule="auto"/>
              <w:jc w:val="right"/>
              <w:rPr>
                <w:rFonts w:eastAsia="Times New Roman" w:cstheme="minorHAnsi"/>
                <w:color w:val="0000E1"/>
              </w:rPr>
            </w:pPr>
            <w:r w:rsidRPr="00787CA4">
              <w:rPr>
                <w:color w:val="0000E1"/>
              </w:rPr>
              <w:t>1.09</w:t>
            </w:r>
          </w:p>
        </w:tc>
        <w:tc>
          <w:tcPr>
            <w:tcW w:w="1132" w:type="dxa"/>
            <w:tcBorders>
              <w:top w:val="nil"/>
              <w:left w:val="nil"/>
              <w:bottom w:val="single" w:sz="4" w:space="0" w:color="auto"/>
              <w:right w:val="single" w:sz="4" w:space="0" w:color="auto"/>
            </w:tcBorders>
            <w:shd w:val="clear" w:color="auto" w:fill="auto"/>
            <w:vAlign w:val="center"/>
          </w:tcPr>
          <w:p w14:paraId="346E201E"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1.07, 1.12</w:t>
            </w:r>
          </w:p>
        </w:tc>
        <w:tc>
          <w:tcPr>
            <w:tcW w:w="1078" w:type="dxa"/>
            <w:tcBorders>
              <w:top w:val="nil"/>
              <w:left w:val="nil"/>
              <w:bottom w:val="single" w:sz="4" w:space="0" w:color="auto"/>
              <w:right w:val="single" w:sz="4" w:space="0" w:color="auto"/>
            </w:tcBorders>
            <w:shd w:val="clear" w:color="auto" w:fill="auto"/>
            <w:vAlign w:val="center"/>
          </w:tcPr>
          <w:p w14:paraId="7FD2E900" w14:textId="77777777" w:rsidR="00E40F26" w:rsidRPr="00787CA4" w:rsidRDefault="00E40F26" w:rsidP="00AE2BC8">
            <w:pPr>
              <w:spacing w:after="0" w:line="240" w:lineRule="auto"/>
              <w:jc w:val="right"/>
              <w:rPr>
                <w:rFonts w:eastAsia="Times New Roman" w:cstheme="minorHAnsi"/>
                <w:color w:val="0000E1"/>
              </w:rPr>
            </w:pPr>
            <w:r w:rsidRPr="00787CA4">
              <w:rPr>
                <w:color w:val="0000E1"/>
              </w:rPr>
              <w:t>0.0683</w:t>
            </w:r>
          </w:p>
        </w:tc>
        <w:tc>
          <w:tcPr>
            <w:tcW w:w="795" w:type="dxa"/>
            <w:tcBorders>
              <w:top w:val="nil"/>
              <w:left w:val="nil"/>
              <w:bottom w:val="single" w:sz="4" w:space="0" w:color="auto"/>
              <w:right w:val="single" w:sz="4" w:space="0" w:color="auto"/>
            </w:tcBorders>
            <w:shd w:val="clear" w:color="auto" w:fill="auto"/>
            <w:vAlign w:val="center"/>
          </w:tcPr>
          <w:p w14:paraId="5941977D" w14:textId="77777777" w:rsidR="00E40F26" w:rsidRPr="00787CA4" w:rsidRDefault="00E40F26" w:rsidP="00AE2BC8">
            <w:pPr>
              <w:spacing w:after="0" w:line="240" w:lineRule="auto"/>
              <w:jc w:val="right"/>
              <w:rPr>
                <w:rFonts w:eastAsia="Times New Roman" w:cstheme="minorHAnsi"/>
                <w:color w:val="0000E1"/>
              </w:rPr>
            </w:pPr>
            <w:r w:rsidRPr="00787CA4">
              <w:rPr>
                <w:color w:val="0000E1"/>
              </w:rPr>
              <w:t>1.07</w:t>
            </w:r>
          </w:p>
        </w:tc>
        <w:tc>
          <w:tcPr>
            <w:tcW w:w="1130" w:type="dxa"/>
            <w:tcBorders>
              <w:top w:val="nil"/>
              <w:left w:val="nil"/>
              <w:bottom w:val="single" w:sz="4" w:space="0" w:color="auto"/>
              <w:right w:val="single" w:sz="4" w:space="0" w:color="auto"/>
            </w:tcBorders>
            <w:shd w:val="clear" w:color="auto" w:fill="auto"/>
            <w:vAlign w:val="center"/>
          </w:tcPr>
          <w:p w14:paraId="445D853B"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1.05, 1.09</w:t>
            </w:r>
          </w:p>
        </w:tc>
        <w:tc>
          <w:tcPr>
            <w:tcW w:w="833" w:type="dxa"/>
            <w:tcBorders>
              <w:top w:val="nil"/>
              <w:left w:val="nil"/>
              <w:bottom w:val="single" w:sz="4" w:space="0" w:color="auto"/>
              <w:right w:val="single" w:sz="4" w:space="0" w:color="auto"/>
            </w:tcBorders>
            <w:shd w:val="clear" w:color="auto" w:fill="auto"/>
            <w:vAlign w:val="center"/>
          </w:tcPr>
          <w:p w14:paraId="52CCF4B6"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&lt;.0001</w:t>
            </w:r>
          </w:p>
        </w:tc>
      </w:tr>
      <w:tr w:rsidR="00787CA4" w:rsidRPr="00787CA4" w14:paraId="1A558F52" w14:textId="77777777" w:rsidTr="00AE2BC8">
        <w:trPr>
          <w:trHeight w:val="188"/>
        </w:trPr>
        <w:tc>
          <w:tcPr>
            <w:tcW w:w="2507" w:type="dxa"/>
            <w:tcBorders>
              <w:top w:val="nil"/>
              <w:left w:val="single" w:sz="4" w:space="0" w:color="auto"/>
              <w:bottom w:val="single" w:sz="4" w:space="0" w:color="auto"/>
              <w:right w:val="single" w:sz="4" w:space="0" w:color="auto"/>
            </w:tcBorders>
            <w:shd w:val="clear" w:color="auto" w:fill="auto"/>
            <w:vAlign w:val="center"/>
            <w:hideMark/>
          </w:tcPr>
          <w:p w14:paraId="4BEA25A0" w14:textId="77777777" w:rsidR="00E40F26" w:rsidRPr="00787CA4" w:rsidRDefault="00E40F26" w:rsidP="00E40F26">
            <w:pPr>
              <w:spacing w:after="0" w:line="240" w:lineRule="auto"/>
              <w:jc w:val="right"/>
              <w:rPr>
                <w:rFonts w:eastAsia="Times New Roman" w:cstheme="minorHAnsi"/>
                <w:color w:val="0000E1"/>
              </w:rPr>
            </w:pPr>
            <w:r w:rsidRPr="00787CA4">
              <w:rPr>
                <w:rFonts w:eastAsia="Times New Roman" w:cstheme="minorHAnsi"/>
                <w:color w:val="0000E1"/>
              </w:rPr>
              <w:t>70-74</w:t>
            </w:r>
          </w:p>
        </w:tc>
        <w:tc>
          <w:tcPr>
            <w:tcW w:w="1019" w:type="dxa"/>
            <w:tcBorders>
              <w:top w:val="nil"/>
              <w:left w:val="nil"/>
              <w:bottom w:val="single" w:sz="4" w:space="0" w:color="auto"/>
              <w:right w:val="single" w:sz="4" w:space="0" w:color="auto"/>
            </w:tcBorders>
            <w:shd w:val="clear" w:color="auto" w:fill="auto"/>
            <w:vAlign w:val="center"/>
          </w:tcPr>
          <w:p w14:paraId="70B24244" w14:textId="77777777" w:rsidR="00E40F26" w:rsidRPr="00787CA4" w:rsidRDefault="00E40F26" w:rsidP="00AE2BC8">
            <w:pPr>
              <w:spacing w:after="0" w:line="240" w:lineRule="auto"/>
              <w:jc w:val="right"/>
              <w:rPr>
                <w:rFonts w:eastAsia="Times New Roman" w:cstheme="minorHAnsi"/>
                <w:color w:val="0000E1"/>
              </w:rPr>
            </w:pPr>
            <w:r w:rsidRPr="00787CA4">
              <w:rPr>
                <w:color w:val="0000E1"/>
              </w:rPr>
              <w:t>0.1289</w:t>
            </w:r>
          </w:p>
        </w:tc>
        <w:tc>
          <w:tcPr>
            <w:tcW w:w="720" w:type="dxa"/>
            <w:tcBorders>
              <w:top w:val="nil"/>
              <w:left w:val="nil"/>
              <w:bottom w:val="single" w:sz="4" w:space="0" w:color="auto"/>
              <w:right w:val="single" w:sz="4" w:space="0" w:color="auto"/>
            </w:tcBorders>
            <w:shd w:val="clear" w:color="auto" w:fill="auto"/>
            <w:vAlign w:val="center"/>
          </w:tcPr>
          <w:p w14:paraId="01A50E10" w14:textId="77777777" w:rsidR="00E40F26" w:rsidRPr="00787CA4" w:rsidRDefault="00E40F26" w:rsidP="00AE2BC8">
            <w:pPr>
              <w:spacing w:after="0" w:line="240" w:lineRule="auto"/>
              <w:jc w:val="right"/>
              <w:rPr>
                <w:rFonts w:eastAsia="Times New Roman" w:cstheme="minorHAnsi"/>
                <w:color w:val="0000E1"/>
              </w:rPr>
            </w:pPr>
            <w:r w:rsidRPr="00787CA4">
              <w:rPr>
                <w:color w:val="0000E1"/>
              </w:rPr>
              <w:t>1.14</w:t>
            </w:r>
          </w:p>
        </w:tc>
        <w:tc>
          <w:tcPr>
            <w:tcW w:w="1132" w:type="dxa"/>
            <w:tcBorders>
              <w:top w:val="nil"/>
              <w:left w:val="nil"/>
              <w:bottom w:val="single" w:sz="4" w:space="0" w:color="auto"/>
              <w:right w:val="single" w:sz="4" w:space="0" w:color="auto"/>
            </w:tcBorders>
            <w:shd w:val="clear" w:color="auto" w:fill="auto"/>
            <w:vAlign w:val="center"/>
          </w:tcPr>
          <w:p w14:paraId="341929E5"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1.11, 1.16</w:t>
            </w:r>
          </w:p>
        </w:tc>
        <w:tc>
          <w:tcPr>
            <w:tcW w:w="1078" w:type="dxa"/>
            <w:tcBorders>
              <w:top w:val="nil"/>
              <w:left w:val="nil"/>
              <w:bottom w:val="single" w:sz="4" w:space="0" w:color="auto"/>
              <w:right w:val="single" w:sz="4" w:space="0" w:color="auto"/>
            </w:tcBorders>
            <w:shd w:val="clear" w:color="auto" w:fill="auto"/>
            <w:vAlign w:val="center"/>
          </w:tcPr>
          <w:p w14:paraId="446904DE" w14:textId="77777777" w:rsidR="00E40F26" w:rsidRPr="00787CA4" w:rsidRDefault="00E40F26" w:rsidP="00AE2BC8">
            <w:pPr>
              <w:spacing w:after="0" w:line="240" w:lineRule="auto"/>
              <w:jc w:val="right"/>
              <w:rPr>
                <w:rFonts w:eastAsia="Times New Roman" w:cstheme="minorHAnsi"/>
                <w:color w:val="0000E1"/>
              </w:rPr>
            </w:pPr>
            <w:r w:rsidRPr="00787CA4">
              <w:rPr>
                <w:color w:val="0000E1"/>
              </w:rPr>
              <w:t>0.1076</w:t>
            </w:r>
          </w:p>
        </w:tc>
        <w:tc>
          <w:tcPr>
            <w:tcW w:w="795" w:type="dxa"/>
            <w:tcBorders>
              <w:top w:val="nil"/>
              <w:left w:val="nil"/>
              <w:bottom w:val="single" w:sz="4" w:space="0" w:color="auto"/>
              <w:right w:val="single" w:sz="4" w:space="0" w:color="auto"/>
            </w:tcBorders>
            <w:shd w:val="clear" w:color="auto" w:fill="auto"/>
            <w:vAlign w:val="center"/>
          </w:tcPr>
          <w:p w14:paraId="0BEC935A" w14:textId="77777777" w:rsidR="00E40F26" w:rsidRPr="00787CA4" w:rsidRDefault="00E40F26" w:rsidP="00AE2BC8">
            <w:pPr>
              <w:spacing w:after="0" w:line="240" w:lineRule="auto"/>
              <w:jc w:val="right"/>
              <w:rPr>
                <w:rFonts w:eastAsia="Times New Roman" w:cstheme="minorHAnsi"/>
                <w:color w:val="0000E1"/>
              </w:rPr>
            </w:pPr>
            <w:r w:rsidRPr="00787CA4">
              <w:rPr>
                <w:color w:val="0000E1"/>
              </w:rPr>
              <w:t>1.11</w:t>
            </w:r>
          </w:p>
        </w:tc>
        <w:tc>
          <w:tcPr>
            <w:tcW w:w="1130" w:type="dxa"/>
            <w:tcBorders>
              <w:top w:val="nil"/>
              <w:left w:val="nil"/>
              <w:bottom w:val="single" w:sz="4" w:space="0" w:color="auto"/>
              <w:right w:val="single" w:sz="4" w:space="0" w:color="auto"/>
            </w:tcBorders>
            <w:shd w:val="clear" w:color="auto" w:fill="auto"/>
            <w:vAlign w:val="center"/>
          </w:tcPr>
          <w:p w14:paraId="0DDDA5A3"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1.09, 1.14</w:t>
            </w:r>
          </w:p>
        </w:tc>
        <w:tc>
          <w:tcPr>
            <w:tcW w:w="833" w:type="dxa"/>
            <w:tcBorders>
              <w:top w:val="nil"/>
              <w:left w:val="nil"/>
              <w:bottom w:val="single" w:sz="4" w:space="0" w:color="auto"/>
              <w:right w:val="single" w:sz="4" w:space="0" w:color="auto"/>
            </w:tcBorders>
            <w:shd w:val="clear" w:color="auto" w:fill="auto"/>
            <w:vAlign w:val="center"/>
          </w:tcPr>
          <w:p w14:paraId="0B280BB3"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&lt;.0001</w:t>
            </w:r>
          </w:p>
        </w:tc>
      </w:tr>
      <w:tr w:rsidR="00787CA4" w:rsidRPr="00787CA4" w14:paraId="5177BDE2" w14:textId="77777777" w:rsidTr="00AE2BC8">
        <w:trPr>
          <w:trHeight w:val="188"/>
        </w:trPr>
        <w:tc>
          <w:tcPr>
            <w:tcW w:w="2507" w:type="dxa"/>
            <w:tcBorders>
              <w:top w:val="nil"/>
              <w:left w:val="single" w:sz="4" w:space="0" w:color="auto"/>
              <w:bottom w:val="single" w:sz="4" w:space="0" w:color="auto"/>
              <w:right w:val="single" w:sz="4" w:space="0" w:color="auto"/>
            </w:tcBorders>
            <w:shd w:val="clear" w:color="auto" w:fill="auto"/>
            <w:vAlign w:val="center"/>
            <w:hideMark/>
          </w:tcPr>
          <w:p w14:paraId="5F680698" w14:textId="77777777" w:rsidR="00E40F26" w:rsidRPr="00787CA4" w:rsidRDefault="00E40F26" w:rsidP="00E40F26">
            <w:pPr>
              <w:spacing w:after="0" w:line="240" w:lineRule="auto"/>
              <w:jc w:val="right"/>
              <w:rPr>
                <w:rFonts w:eastAsia="Times New Roman" w:cstheme="minorHAnsi"/>
                <w:color w:val="0000E1"/>
              </w:rPr>
            </w:pPr>
            <w:r w:rsidRPr="00787CA4">
              <w:rPr>
                <w:rFonts w:eastAsia="Times New Roman" w:cstheme="minorHAnsi"/>
                <w:color w:val="0000E1"/>
              </w:rPr>
              <w:t>75-79</w:t>
            </w:r>
          </w:p>
        </w:tc>
        <w:tc>
          <w:tcPr>
            <w:tcW w:w="1019" w:type="dxa"/>
            <w:tcBorders>
              <w:top w:val="nil"/>
              <w:left w:val="nil"/>
              <w:bottom w:val="single" w:sz="4" w:space="0" w:color="auto"/>
              <w:right w:val="single" w:sz="4" w:space="0" w:color="auto"/>
            </w:tcBorders>
            <w:shd w:val="clear" w:color="auto" w:fill="auto"/>
            <w:vAlign w:val="center"/>
          </w:tcPr>
          <w:p w14:paraId="34D1CBD6" w14:textId="77777777" w:rsidR="00E40F26" w:rsidRPr="00787CA4" w:rsidRDefault="00E40F26" w:rsidP="00AE2BC8">
            <w:pPr>
              <w:spacing w:after="0" w:line="240" w:lineRule="auto"/>
              <w:jc w:val="right"/>
              <w:rPr>
                <w:rFonts w:eastAsia="Times New Roman" w:cstheme="minorHAnsi"/>
                <w:color w:val="0000E1"/>
              </w:rPr>
            </w:pPr>
            <w:r w:rsidRPr="00787CA4">
              <w:rPr>
                <w:color w:val="0000E1"/>
              </w:rPr>
              <w:t>0.0844</w:t>
            </w:r>
          </w:p>
        </w:tc>
        <w:tc>
          <w:tcPr>
            <w:tcW w:w="720" w:type="dxa"/>
            <w:tcBorders>
              <w:top w:val="nil"/>
              <w:left w:val="nil"/>
              <w:bottom w:val="single" w:sz="4" w:space="0" w:color="auto"/>
              <w:right w:val="single" w:sz="4" w:space="0" w:color="auto"/>
            </w:tcBorders>
            <w:shd w:val="clear" w:color="auto" w:fill="auto"/>
            <w:vAlign w:val="center"/>
          </w:tcPr>
          <w:p w14:paraId="6F85A9AE" w14:textId="77777777" w:rsidR="00E40F26" w:rsidRPr="00787CA4" w:rsidRDefault="00E40F26" w:rsidP="00AE2BC8">
            <w:pPr>
              <w:spacing w:after="0" w:line="240" w:lineRule="auto"/>
              <w:jc w:val="right"/>
              <w:rPr>
                <w:rFonts w:eastAsia="Times New Roman" w:cstheme="minorHAnsi"/>
                <w:color w:val="0000E1"/>
              </w:rPr>
            </w:pPr>
            <w:r w:rsidRPr="00787CA4">
              <w:rPr>
                <w:color w:val="0000E1"/>
              </w:rPr>
              <w:t>1.09</w:t>
            </w:r>
          </w:p>
        </w:tc>
        <w:tc>
          <w:tcPr>
            <w:tcW w:w="1132" w:type="dxa"/>
            <w:tcBorders>
              <w:top w:val="nil"/>
              <w:left w:val="nil"/>
              <w:bottom w:val="single" w:sz="4" w:space="0" w:color="auto"/>
              <w:right w:val="single" w:sz="4" w:space="0" w:color="auto"/>
            </w:tcBorders>
            <w:shd w:val="clear" w:color="auto" w:fill="auto"/>
            <w:vAlign w:val="center"/>
          </w:tcPr>
          <w:p w14:paraId="75CB695A"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1.06, 1.11</w:t>
            </w:r>
          </w:p>
        </w:tc>
        <w:tc>
          <w:tcPr>
            <w:tcW w:w="1078" w:type="dxa"/>
            <w:tcBorders>
              <w:top w:val="nil"/>
              <w:left w:val="nil"/>
              <w:bottom w:val="single" w:sz="4" w:space="0" w:color="auto"/>
              <w:right w:val="single" w:sz="4" w:space="0" w:color="auto"/>
            </w:tcBorders>
            <w:shd w:val="clear" w:color="auto" w:fill="auto"/>
            <w:vAlign w:val="center"/>
          </w:tcPr>
          <w:p w14:paraId="17958654" w14:textId="77777777" w:rsidR="00E40F26" w:rsidRPr="00787CA4" w:rsidRDefault="00E40F26" w:rsidP="00AE2BC8">
            <w:pPr>
              <w:spacing w:after="0" w:line="240" w:lineRule="auto"/>
              <w:jc w:val="right"/>
              <w:rPr>
                <w:rFonts w:eastAsia="Times New Roman" w:cstheme="minorHAnsi"/>
                <w:color w:val="0000E1"/>
              </w:rPr>
            </w:pPr>
            <w:r w:rsidRPr="00787CA4">
              <w:rPr>
                <w:color w:val="0000E1"/>
              </w:rPr>
              <w:t>0.0693</w:t>
            </w:r>
          </w:p>
        </w:tc>
        <w:tc>
          <w:tcPr>
            <w:tcW w:w="795" w:type="dxa"/>
            <w:tcBorders>
              <w:top w:val="nil"/>
              <w:left w:val="nil"/>
              <w:bottom w:val="single" w:sz="4" w:space="0" w:color="auto"/>
              <w:right w:val="single" w:sz="4" w:space="0" w:color="auto"/>
            </w:tcBorders>
            <w:shd w:val="clear" w:color="auto" w:fill="auto"/>
            <w:vAlign w:val="center"/>
          </w:tcPr>
          <w:p w14:paraId="5E4EF5E4" w14:textId="77777777" w:rsidR="00E40F26" w:rsidRPr="00787CA4" w:rsidRDefault="00E40F26" w:rsidP="00AE2BC8">
            <w:pPr>
              <w:spacing w:after="0" w:line="240" w:lineRule="auto"/>
              <w:jc w:val="right"/>
              <w:rPr>
                <w:rFonts w:eastAsia="Times New Roman" w:cstheme="minorHAnsi"/>
                <w:color w:val="0000E1"/>
              </w:rPr>
            </w:pPr>
            <w:r w:rsidRPr="00787CA4">
              <w:rPr>
                <w:color w:val="0000E1"/>
              </w:rPr>
              <w:t>1.07</w:t>
            </w:r>
          </w:p>
        </w:tc>
        <w:tc>
          <w:tcPr>
            <w:tcW w:w="1130" w:type="dxa"/>
            <w:tcBorders>
              <w:top w:val="nil"/>
              <w:left w:val="nil"/>
              <w:bottom w:val="single" w:sz="4" w:space="0" w:color="auto"/>
              <w:right w:val="single" w:sz="4" w:space="0" w:color="auto"/>
            </w:tcBorders>
            <w:shd w:val="clear" w:color="auto" w:fill="auto"/>
            <w:vAlign w:val="center"/>
          </w:tcPr>
          <w:p w14:paraId="163C2092"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1.05, 1.10</w:t>
            </w:r>
          </w:p>
        </w:tc>
        <w:tc>
          <w:tcPr>
            <w:tcW w:w="833" w:type="dxa"/>
            <w:tcBorders>
              <w:top w:val="nil"/>
              <w:left w:val="nil"/>
              <w:bottom w:val="single" w:sz="4" w:space="0" w:color="auto"/>
              <w:right w:val="single" w:sz="4" w:space="0" w:color="auto"/>
            </w:tcBorders>
            <w:shd w:val="clear" w:color="auto" w:fill="auto"/>
            <w:vAlign w:val="center"/>
          </w:tcPr>
          <w:p w14:paraId="1BBA345E"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&lt;.0001</w:t>
            </w:r>
          </w:p>
        </w:tc>
      </w:tr>
      <w:tr w:rsidR="00787CA4" w:rsidRPr="00787CA4" w14:paraId="314B3F7A" w14:textId="77777777" w:rsidTr="00AE2BC8">
        <w:trPr>
          <w:trHeight w:val="188"/>
        </w:trPr>
        <w:tc>
          <w:tcPr>
            <w:tcW w:w="2507" w:type="dxa"/>
            <w:tcBorders>
              <w:top w:val="nil"/>
              <w:left w:val="single" w:sz="4" w:space="0" w:color="auto"/>
              <w:bottom w:val="single" w:sz="4" w:space="0" w:color="auto"/>
              <w:right w:val="single" w:sz="4" w:space="0" w:color="auto"/>
            </w:tcBorders>
            <w:shd w:val="clear" w:color="auto" w:fill="auto"/>
            <w:vAlign w:val="center"/>
            <w:hideMark/>
          </w:tcPr>
          <w:p w14:paraId="79BC68BB" w14:textId="77777777" w:rsidR="00E40F26" w:rsidRPr="00787CA4" w:rsidRDefault="00E40F26" w:rsidP="00E40F26">
            <w:pPr>
              <w:spacing w:after="0" w:line="240" w:lineRule="auto"/>
              <w:rPr>
                <w:rFonts w:eastAsia="Times New Roman" w:cstheme="minorHAnsi"/>
                <w:bCs/>
                <w:color w:val="0000E1"/>
              </w:rPr>
            </w:pPr>
            <w:r w:rsidRPr="00787CA4">
              <w:rPr>
                <w:rFonts w:eastAsia="Times New Roman" w:cstheme="minorHAnsi"/>
                <w:bCs/>
                <w:color w:val="0000E1"/>
              </w:rPr>
              <w:t>Gender (Ref = Female)</w:t>
            </w:r>
          </w:p>
        </w:tc>
        <w:tc>
          <w:tcPr>
            <w:tcW w:w="1019" w:type="dxa"/>
            <w:tcBorders>
              <w:top w:val="nil"/>
              <w:left w:val="nil"/>
              <w:bottom w:val="single" w:sz="4" w:space="0" w:color="auto"/>
              <w:right w:val="single" w:sz="4" w:space="0" w:color="auto"/>
            </w:tcBorders>
            <w:shd w:val="clear" w:color="auto" w:fill="auto"/>
            <w:vAlign w:val="center"/>
          </w:tcPr>
          <w:p w14:paraId="4C0AC1C6" w14:textId="77777777" w:rsidR="00E40F26" w:rsidRPr="00787CA4" w:rsidRDefault="00E40F26" w:rsidP="00AE2BC8">
            <w:pPr>
              <w:spacing w:after="0" w:line="240" w:lineRule="auto"/>
              <w:jc w:val="right"/>
              <w:rPr>
                <w:rFonts w:eastAsia="Times New Roman" w:cstheme="minorHAnsi"/>
                <w:color w:val="0000E1"/>
              </w:rPr>
            </w:pPr>
          </w:p>
        </w:tc>
        <w:tc>
          <w:tcPr>
            <w:tcW w:w="720" w:type="dxa"/>
            <w:tcBorders>
              <w:top w:val="nil"/>
              <w:left w:val="nil"/>
              <w:bottom w:val="single" w:sz="4" w:space="0" w:color="auto"/>
              <w:right w:val="single" w:sz="4" w:space="0" w:color="auto"/>
            </w:tcBorders>
            <w:shd w:val="clear" w:color="auto" w:fill="auto"/>
            <w:vAlign w:val="center"/>
          </w:tcPr>
          <w:p w14:paraId="53B89BE0" w14:textId="77777777" w:rsidR="00E40F26" w:rsidRPr="00787CA4" w:rsidRDefault="00E40F26" w:rsidP="00AE2BC8">
            <w:pPr>
              <w:spacing w:after="0" w:line="240" w:lineRule="auto"/>
              <w:jc w:val="right"/>
              <w:rPr>
                <w:rFonts w:eastAsia="Times New Roman" w:cstheme="minorHAnsi"/>
                <w:color w:val="0000E1"/>
              </w:rPr>
            </w:pPr>
          </w:p>
        </w:tc>
        <w:tc>
          <w:tcPr>
            <w:tcW w:w="1132" w:type="dxa"/>
            <w:tcBorders>
              <w:top w:val="nil"/>
              <w:left w:val="nil"/>
              <w:bottom w:val="single" w:sz="4" w:space="0" w:color="auto"/>
              <w:right w:val="single" w:sz="4" w:space="0" w:color="auto"/>
            </w:tcBorders>
            <w:shd w:val="clear" w:color="auto" w:fill="auto"/>
            <w:vAlign w:val="center"/>
          </w:tcPr>
          <w:p w14:paraId="6C40BD22" w14:textId="77777777" w:rsidR="00E40F26" w:rsidRPr="00787CA4" w:rsidRDefault="00E40F26" w:rsidP="00AE2BC8">
            <w:pPr>
              <w:spacing w:after="0" w:line="240" w:lineRule="auto"/>
              <w:jc w:val="right"/>
              <w:rPr>
                <w:rFonts w:eastAsia="Times New Roman" w:cstheme="minorHAnsi"/>
                <w:color w:val="0000E1"/>
              </w:rPr>
            </w:pPr>
          </w:p>
        </w:tc>
        <w:tc>
          <w:tcPr>
            <w:tcW w:w="1078" w:type="dxa"/>
            <w:tcBorders>
              <w:top w:val="nil"/>
              <w:left w:val="nil"/>
              <w:bottom w:val="single" w:sz="4" w:space="0" w:color="auto"/>
              <w:right w:val="single" w:sz="4" w:space="0" w:color="auto"/>
            </w:tcBorders>
            <w:shd w:val="clear" w:color="auto" w:fill="auto"/>
            <w:vAlign w:val="center"/>
          </w:tcPr>
          <w:p w14:paraId="0AA4BC9D" w14:textId="77777777" w:rsidR="00E40F26" w:rsidRPr="00787CA4" w:rsidRDefault="00E40F26" w:rsidP="00AE2BC8">
            <w:pPr>
              <w:spacing w:after="0" w:line="240" w:lineRule="auto"/>
              <w:jc w:val="right"/>
              <w:rPr>
                <w:rFonts w:eastAsia="Times New Roman" w:cstheme="minorHAnsi"/>
                <w:color w:val="0000E1"/>
              </w:rPr>
            </w:pPr>
          </w:p>
        </w:tc>
        <w:tc>
          <w:tcPr>
            <w:tcW w:w="795" w:type="dxa"/>
            <w:tcBorders>
              <w:top w:val="nil"/>
              <w:left w:val="nil"/>
              <w:bottom w:val="single" w:sz="4" w:space="0" w:color="auto"/>
              <w:right w:val="single" w:sz="4" w:space="0" w:color="auto"/>
            </w:tcBorders>
            <w:shd w:val="clear" w:color="auto" w:fill="auto"/>
            <w:vAlign w:val="center"/>
          </w:tcPr>
          <w:p w14:paraId="6CE47EDE" w14:textId="77777777" w:rsidR="00E40F26" w:rsidRPr="00787CA4" w:rsidRDefault="00E40F26" w:rsidP="00AE2BC8">
            <w:pPr>
              <w:spacing w:after="0" w:line="240" w:lineRule="auto"/>
              <w:jc w:val="right"/>
              <w:rPr>
                <w:rFonts w:eastAsia="Times New Roman" w:cstheme="minorHAnsi"/>
                <w:color w:val="0000E1"/>
              </w:rPr>
            </w:pPr>
          </w:p>
        </w:tc>
        <w:tc>
          <w:tcPr>
            <w:tcW w:w="1130" w:type="dxa"/>
            <w:tcBorders>
              <w:top w:val="nil"/>
              <w:left w:val="nil"/>
              <w:bottom w:val="single" w:sz="4" w:space="0" w:color="auto"/>
              <w:right w:val="single" w:sz="4" w:space="0" w:color="auto"/>
            </w:tcBorders>
            <w:shd w:val="clear" w:color="auto" w:fill="auto"/>
            <w:vAlign w:val="center"/>
          </w:tcPr>
          <w:p w14:paraId="14E3EE75" w14:textId="77777777" w:rsidR="00E40F26" w:rsidRPr="00787CA4" w:rsidRDefault="00E40F26" w:rsidP="00AE2BC8">
            <w:pPr>
              <w:spacing w:after="0" w:line="240" w:lineRule="auto"/>
              <w:jc w:val="right"/>
              <w:rPr>
                <w:rFonts w:eastAsia="Times New Roman" w:cstheme="minorHAnsi"/>
                <w:color w:val="0000E1"/>
              </w:rPr>
            </w:pPr>
          </w:p>
        </w:tc>
        <w:tc>
          <w:tcPr>
            <w:tcW w:w="833" w:type="dxa"/>
            <w:tcBorders>
              <w:top w:val="nil"/>
              <w:left w:val="nil"/>
              <w:bottom w:val="single" w:sz="4" w:space="0" w:color="auto"/>
              <w:right w:val="single" w:sz="4" w:space="0" w:color="auto"/>
            </w:tcBorders>
            <w:shd w:val="clear" w:color="auto" w:fill="auto"/>
            <w:vAlign w:val="center"/>
          </w:tcPr>
          <w:p w14:paraId="073FAFE3" w14:textId="77777777" w:rsidR="00E40F26" w:rsidRPr="00787CA4" w:rsidRDefault="00E40F26" w:rsidP="00AE2BC8">
            <w:pPr>
              <w:spacing w:after="0" w:line="240" w:lineRule="auto"/>
              <w:jc w:val="right"/>
              <w:rPr>
                <w:rFonts w:eastAsia="Times New Roman" w:cstheme="minorHAnsi"/>
                <w:color w:val="0000E1"/>
              </w:rPr>
            </w:pPr>
          </w:p>
        </w:tc>
      </w:tr>
      <w:tr w:rsidR="00787CA4" w:rsidRPr="00787CA4" w14:paraId="1C1ECF9E" w14:textId="77777777" w:rsidTr="00AE2BC8">
        <w:trPr>
          <w:trHeight w:val="188"/>
        </w:trPr>
        <w:tc>
          <w:tcPr>
            <w:tcW w:w="2507" w:type="dxa"/>
            <w:tcBorders>
              <w:top w:val="nil"/>
              <w:left w:val="single" w:sz="4" w:space="0" w:color="auto"/>
              <w:bottom w:val="single" w:sz="4" w:space="0" w:color="auto"/>
              <w:right w:val="single" w:sz="4" w:space="0" w:color="auto"/>
            </w:tcBorders>
            <w:shd w:val="clear" w:color="auto" w:fill="auto"/>
            <w:vAlign w:val="center"/>
            <w:hideMark/>
          </w:tcPr>
          <w:p w14:paraId="2ECF0503" w14:textId="77777777" w:rsidR="00E40F26" w:rsidRPr="00787CA4" w:rsidRDefault="00E40F26" w:rsidP="00E40F26">
            <w:pPr>
              <w:spacing w:after="0" w:line="240" w:lineRule="auto"/>
              <w:jc w:val="right"/>
              <w:rPr>
                <w:rFonts w:eastAsia="Times New Roman" w:cstheme="minorHAnsi"/>
                <w:color w:val="0000E1"/>
              </w:rPr>
            </w:pPr>
            <w:r w:rsidRPr="00787CA4">
              <w:rPr>
                <w:rFonts w:eastAsia="Times New Roman" w:cstheme="minorHAnsi"/>
                <w:color w:val="0000E1"/>
              </w:rPr>
              <w:t>Male</w:t>
            </w:r>
          </w:p>
        </w:tc>
        <w:tc>
          <w:tcPr>
            <w:tcW w:w="1019" w:type="dxa"/>
            <w:tcBorders>
              <w:top w:val="nil"/>
              <w:left w:val="nil"/>
              <w:bottom w:val="single" w:sz="4" w:space="0" w:color="auto"/>
              <w:right w:val="single" w:sz="4" w:space="0" w:color="auto"/>
            </w:tcBorders>
            <w:shd w:val="clear" w:color="auto" w:fill="auto"/>
            <w:vAlign w:val="center"/>
          </w:tcPr>
          <w:p w14:paraId="570007D3"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-0.0096</w:t>
            </w:r>
          </w:p>
        </w:tc>
        <w:tc>
          <w:tcPr>
            <w:tcW w:w="720" w:type="dxa"/>
            <w:tcBorders>
              <w:top w:val="nil"/>
              <w:left w:val="nil"/>
              <w:bottom w:val="single" w:sz="4" w:space="0" w:color="auto"/>
              <w:right w:val="single" w:sz="4" w:space="0" w:color="auto"/>
            </w:tcBorders>
            <w:shd w:val="clear" w:color="auto" w:fill="auto"/>
            <w:vAlign w:val="center"/>
          </w:tcPr>
          <w:p w14:paraId="37390B49"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0.990</w:t>
            </w:r>
          </w:p>
        </w:tc>
        <w:tc>
          <w:tcPr>
            <w:tcW w:w="1132" w:type="dxa"/>
            <w:tcBorders>
              <w:top w:val="nil"/>
              <w:left w:val="nil"/>
              <w:bottom w:val="single" w:sz="4" w:space="0" w:color="auto"/>
              <w:right w:val="single" w:sz="4" w:space="0" w:color="auto"/>
            </w:tcBorders>
            <w:shd w:val="clear" w:color="auto" w:fill="auto"/>
            <w:vAlign w:val="center"/>
          </w:tcPr>
          <w:p w14:paraId="2272BCFF"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0.98, 1.00</w:t>
            </w:r>
          </w:p>
        </w:tc>
        <w:tc>
          <w:tcPr>
            <w:tcW w:w="1078" w:type="dxa"/>
            <w:tcBorders>
              <w:top w:val="nil"/>
              <w:left w:val="nil"/>
              <w:bottom w:val="single" w:sz="4" w:space="0" w:color="auto"/>
              <w:right w:val="single" w:sz="4" w:space="0" w:color="auto"/>
            </w:tcBorders>
            <w:shd w:val="clear" w:color="auto" w:fill="auto"/>
            <w:vAlign w:val="center"/>
          </w:tcPr>
          <w:p w14:paraId="26C9556F"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-0.0030</w:t>
            </w:r>
          </w:p>
        </w:tc>
        <w:tc>
          <w:tcPr>
            <w:tcW w:w="795" w:type="dxa"/>
            <w:tcBorders>
              <w:top w:val="nil"/>
              <w:left w:val="nil"/>
              <w:bottom w:val="single" w:sz="4" w:space="0" w:color="auto"/>
              <w:right w:val="single" w:sz="4" w:space="0" w:color="auto"/>
            </w:tcBorders>
            <w:shd w:val="clear" w:color="auto" w:fill="auto"/>
            <w:vAlign w:val="center"/>
          </w:tcPr>
          <w:p w14:paraId="14DF5227"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1.00</w:t>
            </w:r>
          </w:p>
        </w:tc>
        <w:tc>
          <w:tcPr>
            <w:tcW w:w="1130" w:type="dxa"/>
            <w:tcBorders>
              <w:top w:val="nil"/>
              <w:left w:val="nil"/>
              <w:bottom w:val="single" w:sz="4" w:space="0" w:color="auto"/>
              <w:right w:val="single" w:sz="4" w:space="0" w:color="auto"/>
            </w:tcBorders>
            <w:shd w:val="clear" w:color="auto" w:fill="auto"/>
            <w:vAlign w:val="center"/>
          </w:tcPr>
          <w:p w14:paraId="565F58F1"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0.98, 1.01</w:t>
            </w:r>
          </w:p>
        </w:tc>
        <w:tc>
          <w:tcPr>
            <w:tcW w:w="833" w:type="dxa"/>
            <w:tcBorders>
              <w:top w:val="nil"/>
              <w:left w:val="nil"/>
              <w:bottom w:val="single" w:sz="4" w:space="0" w:color="auto"/>
              <w:right w:val="single" w:sz="4" w:space="0" w:color="auto"/>
            </w:tcBorders>
            <w:shd w:val="clear" w:color="auto" w:fill="auto"/>
            <w:vAlign w:val="center"/>
          </w:tcPr>
          <w:p w14:paraId="22E3E6ED"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0.6583</w:t>
            </w:r>
          </w:p>
        </w:tc>
      </w:tr>
      <w:tr w:rsidR="00787CA4" w:rsidRPr="00787CA4" w14:paraId="5BCB5958" w14:textId="77777777" w:rsidTr="00DD0554">
        <w:trPr>
          <w:trHeight w:val="188"/>
        </w:trPr>
        <w:tc>
          <w:tcPr>
            <w:tcW w:w="2507" w:type="dxa"/>
            <w:tcBorders>
              <w:top w:val="nil"/>
              <w:left w:val="single" w:sz="4" w:space="0" w:color="auto"/>
              <w:bottom w:val="single" w:sz="4" w:space="0" w:color="auto"/>
              <w:right w:val="single" w:sz="4" w:space="0" w:color="auto"/>
            </w:tcBorders>
            <w:shd w:val="clear" w:color="auto" w:fill="auto"/>
            <w:vAlign w:val="center"/>
            <w:hideMark/>
          </w:tcPr>
          <w:p w14:paraId="650F98BE" w14:textId="77777777" w:rsidR="00E40F26" w:rsidRPr="00787CA4" w:rsidRDefault="00E40F26" w:rsidP="00E40F26">
            <w:pPr>
              <w:spacing w:after="0" w:line="240" w:lineRule="auto"/>
              <w:rPr>
                <w:rFonts w:eastAsia="Times New Roman" w:cstheme="minorHAnsi"/>
                <w:bCs/>
                <w:color w:val="0000E1"/>
              </w:rPr>
            </w:pPr>
            <w:r w:rsidRPr="00787CA4">
              <w:rPr>
                <w:rFonts w:eastAsia="Times New Roman" w:cstheme="minorHAnsi"/>
                <w:bCs/>
                <w:color w:val="0000E1"/>
              </w:rPr>
              <w:t>LIS or Dual (Ref = Non-LIS/Non-Dual)</w:t>
            </w:r>
          </w:p>
        </w:tc>
        <w:tc>
          <w:tcPr>
            <w:tcW w:w="1019" w:type="dxa"/>
            <w:tcBorders>
              <w:top w:val="nil"/>
              <w:left w:val="nil"/>
              <w:bottom w:val="single" w:sz="4" w:space="0" w:color="auto"/>
              <w:right w:val="single" w:sz="4" w:space="0" w:color="auto"/>
            </w:tcBorders>
            <w:shd w:val="clear" w:color="auto" w:fill="auto"/>
            <w:vAlign w:val="center"/>
          </w:tcPr>
          <w:p w14:paraId="2263A1A5"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-0.5205</w:t>
            </w:r>
          </w:p>
        </w:tc>
        <w:tc>
          <w:tcPr>
            <w:tcW w:w="720" w:type="dxa"/>
            <w:tcBorders>
              <w:top w:val="nil"/>
              <w:left w:val="nil"/>
              <w:bottom w:val="single" w:sz="4" w:space="0" w:color="auto"/>
              <w:right w:val="single" w:sz="4" w:space="0" w:color="auto"/>
            </w:tcBorders>
            <w:shd w:val="clear" w:color="auto" w:fill="auto"/>
            <w:vAlign w:val="center"/>
          </w:tcPr>
          <w:p w14:paraId="633CEAA4"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0.59</w:t>
            </w:r>
          </w:p>
        </w:tc>
        <w:tc>
          <w:tcPr>
            <w:tcW w:w="1132" w:type="dxa"/>
            <w:tcBorders>
              <w:top w:val="nil"/>
              <w:left w:val="nil"/>
              <w:bottom w:val="single" w:sz="4" w:space="0" w:color="auto"/>
              <w:right w:val="single" w:sz="4" w:space="0" w:color="auto"/>
            </w:tcBorders>
            <w:shd w:val="clear" w:color="auto" w:fill="auto"/>
            <w:vAlign w:val="center"/>
          </w:tcPr>
          <w:p w14:paraId="33027C28"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0.58, 0.60</w:t>
            </w:r>
          </w:p>
        </w:tc>
        <w:tc>
          <w:tcPr>
            <w:tcW w:w="1078" w:type="dxa"/>
            <w:tcBorders>
              <w:top w:val="nil"/>
              <w:left w:val="nil"/>
              <w:bottom w:val="single" w:sz="4" w:space="0" w:color="auto"/>
              <w:right w:val="single" w:sz="4" w:space="0" w:color="auto"/>
            </w:tcBorders>
            <w:shd w:val="clear" w:color="auto" w:fill="auto"/>
            <w:vAlign w:val="center"/>
          </w:tcPr>
          <w:p w14:paraId="0161D790"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-0.3902</w:t>
            </w:r>
          </w:p>
        </w:tc>
        <w:tc>
          <w:tcPr>
            <w:tcW w:w="795" w:type="dxa"/>
            <w:tcBorders>
              <w:top w:val="nil"/>
              <w:left w:val="nil"/>
              <w:bottom w:val="single" w:sz="4" w:space="0" w:color="auto"/>
              <w:right w:val="single" w:sz="4" w:space="0" w:color="auto"/>
            </w:tcBorders>
            <w:shd w:val="clear" w:color="auto" w:fill="auto"/>
            <w:vAlign w:val="center"/>
          </w:tcPr>
          <w:p w14:paraId="2197584D"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0.68</w:t>
            </w:r>
          </w:p>
        </w:tc>
        <w:tc>
          <w:tcPr>
            <w:tcW w:w="1130" w:type="dxa"/>
            <w:tcBorders>
              <w:top w:val="nil"/>
              <w:left w:val="nil"/>
              <w:bottom w:val="single" w:sz="4" w:space="0" w:color="auto"/>
              <w:right w:val="single" w:sz="4" w:space="0" w:color="auto"/>
            </w:tcBorders>
            <w:shd w:val="clear" w:color="auto" w:fill="auto"/>
            <w:vAlign w:val="center"/>
          </w:tcPr>
          <w:p w14:paraId="46234329"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0.67, 0.69</w:t>
            </w:r>
          </w:p>
        </w:tc>
        <w:tc>
          <w:tcPr>
            <w:tcW w:w="833" w:type="dxa"/>
            <w:tcBorders>
              <w:top w:val="nil"/>
              <w:left w:val="nil"/>
              <w:bottom w:val="single" w:sz="4" w:space="0" w:color="auto"/>
              <w:right w:val="single" w:sz="4" w:space="0" w:color="auto"/>
            </w:tcBorders>
            <w:shd w:val="clear" w:color="auto" w:fill="auto"/>
            <w:vAlign w:val="center"/>
          </w:tcPr>
          <w:p w14:paraId="51D46249"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&lt;.0001</w:t>
            </w:r>
          </w:p>
        </w:tc>
      </w:tr>
      <w:tr w:rsidR="00787CA4" w:rsidRPr="00787CA4" w14:paraId="0628CEB3" w14:textId="77777777" w:rsidTr="00DD0554">
        <w:trPr>
          <w:trHeight w:val="188"/>
        </w:trPr>
        <w:tc>
          <w:tcPr>
            <w:tcW w:w="25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2F621B" w14:textId="77777777" w:rsidR="00E40F26" w:rsidRPr="00787CA4" w:rsidRDefault="00E40F26" w:rsidP="00E40F26">
            <w:pPr>
              <w:spacing w:after="0" w:line="240" w:lineRule="auto"/>
              <w:rPr>
                <w:rFonts w:eastAsia="Times New Roman" w:cstheme="minorHAnsi"/>
                <w:bCs/>
                <w:color w:val="0000E1"/>
              </w:rPr>
            </w:pPr>
            <w:r w:rsidRPr="00787CA4">
              <w:rPr>
                <w:rFonts w:eastAsia="Times New Roman" w:cstheme="minorHAnsi"/>
                <w:bCs/>
                <w:color w:val="0000E1"/>
              </w:rPr>
              <w:t>Disability (Ref = No Disability)</w:t>
            </w:r>
          </w:p>
        </w:tc>
        <w:tc>
          <w:tcPr>
            <w:tcW w:w="1019" w:type="dxa"/>
            <w:tcBorders>
              <w:top w:val="single" w:sz="4" w:space="0" w:color="auto"/>
              <w:left w:val="nil"/>
              <w:bottom w:val="single" w:sz="4" w:space="0" w:color="auto"/>
              <w:right w:val="single" w:sz="4" w:space="0" w:color="auto"/>
            </w:tcBorders>
            <w:shd w:val="clear" w:color="auto" w:fill="auto"/>
            <w:vAlign w:val="center"/>
          </w:tcPr>
          <w:p w14:paraId="6BD3772E"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-0.5990</w:t>
            </w:r>
          </w:p>
        </w:tc>
        <w:tc>
          <w:tcPr>
            <w:tcW w:w="720" w:type="dxa"/>
            <w:tcBorders>
              <w:top w:val="single" w:sz="4" w:space="0" w:color="auto"/>
              <w:left w:val="nil"/>
              <w:bottom w:val="single" w:sz="4" w:space="0" w:color="auto"/>
              <w:right w:val="single" w:sz="4" w:space="0" w:color="auto"/>
            </w:tcBorders>
            <w:shd w:val="clear" w:color="auto" w:fill="auto"/>
            <w:vAlign w:val="center"/>
          </w:tcPr>
          <w:p w14:paraId="2A900398"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0.55</w:t>
            </w:r>
          </w:p>
        </w:tc>
        <w:tc>
          <w:tcPr>
            <w:tcW w:w="1132" w:type="dxa"/>
            <w:tcBorders>
              <w:top w:val="single" w:sz="4" w:space="0" w:color="auto"/>
              <w:left w:val="nil"/>
              <w:bottom w:val="single" w:sz="4" w:space="0" w:color="auto"/>
              <w:right w:val="single" w:sz="4" w:space="0" w:color="auto"/>
            </w:tcBorders>
            <w:shd w:val="clear" w:color="auto" w:fill="auto"/>
            <w:vAlign w:val="center"/>
          </w:tcPr>
          <w:p w14:paraId="71E696A3"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0.54, 0.56</w:t>
            </w:r>
          </w:p>
        </w:tc>
        <w:tc>
          <w:tcPr>
            <w:tcW w:w="1078" w:type="dxa"/>
            <w:tcBorders>
              <w:top w:val="single" w:sz="4" w:space="0" w:color="auto"/>
              <w:left w:val="nil"/>
              <w:bottom w:val="single" w:sz="4" w:space="0" w:color="auto"/>
              <w:right w:val="single" w:sz="4" w:space="0" w:color="auto"/>
            </w:tcBorders>
            <w:shd w:val="clear" w:color="auto" w:fill="auto"/>
            <w:vAlign w:val="center"/>
          </w:tcPr>
          <w:p w14:paraId="362DE2CD"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-0.4648</w:t>
            </w:r>
          </w:p>
        </w:tc>
        <w:tc>
          <w:tcPr>
            <w:tcW w:w="795" w:type="dxa"/>
            <w:tcBorders>
              <w:top w:val="single" w:sz="4" w:space="0" w:color="auto"/>
              <w:left w:val="nil"/>
              <w:bottom w:val="single" w:sz="4" w:space="0" w:color="auto"/>
              <w:right w:val="single" w:sz="4" w:space="0" w:color="auto"/>
            </w:tcBorders>
            <w:shd w:val="clear" w:color="auto" w:fill="auto"/>
            <w:vAlign w:val="center"/>
          </w:tcPr>
          <w:p w14:paraId="1962A86B"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0.63</w:t>
            </w:r>
          </w:p>
        </w:tc>
        <w:tc>
          <w:tcPr>
            <w:tcW w:w="1130" w:type="dxa"/>
            <w:tcBorders>
              <w:top w:val="single" w:sz="4" w:space="0" w:color="auto"/>
              <w:left w:val="nil"/>
              <w:bottom w:val="single" w:sz="4" w:space="0" w:color="auto"/>
              <w:right w:val="single" w:sz="4" w:space="0" w:color="auto"/>
            </w:tcBorders>
            <w:shd w:val="clear" w:color="auto" w:fill="auto"/>
            <w:vAlign w:val="center"/>
          </w:tcPr>
          <w:p w14:paraId="78E3D175"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0.60, 0.66</w:t>
            </w:r>
          </w:p>
        </w:tc>
        <w:tc>
          <w:tcPr>
            <w:tcW w:w="833" w:type="dxa"/>
            <w:tcBorders>
              <w:top w:val="single" w:sz="4" w:space="0" w:color="auto"/>
              <w:left w:val="nil"/>
              <w:bottom w:val="single" w:sz="4" w:space="0" w:color="auto"/>
              <w:right w:val="single" w:sz="4" w:space="0" w:color="auto"/>
            </w:tcBorders>
            <w:shd w:val="clear" w:color="auto" w:fill="auto"/>
            <w:vAlign w:val="center"/>
          </w:tcPr>
          <w:p w14:paraId="56E7655F" w14:textId="77777777" w:rsidR="00E40F26" w:rsidRPr="00787CA4" w:rsidRDefault="00E40F26" w:rsidP="00AE2BC8">
            <w:pPr>
              <w:spacing w:after="0" w:line="240" w:lineRule="auto"/>
              <w:jc w:val="right"/>
              <w:rPr>
                <w:rFonts w:eastAsia="Times New Roman" w:cstheme="minorHAnsi"/>
                <w:color w:val="0000E1"/>
              </w:rPr>
            </w:pPr>
            <w:r w:rsidRPr="00787CA4">
              <w:rPr>
                <w:rFonts w:eastAsia="Times New Roman" w:cstheme="minorHAnsi"/>
                <w:color w:val="0000E1"/>
              </w:rPr>
              <w:t>&lt;.0001</w:t>
            </w:r>
          </w:p>
        </w:tc>
      </w:tr>
      <w:tr w:rsidR="000A5FE4" w:rsidRPr="007C0FC0" w14:paraId="1B1C243B" w14:textId="77777777" w:rsidTr="00DD0554">
        <w:trPr>
          <w:trHeight w:val="187"/>
        </w:trPr>
        <w:tc>
          <w:tcPr>
            <w:tcW w:w="9214" w:type="dxa"/>
            <w:gridSpan w:val="8"/>
            <w:tcBorders>
              <w:top w:val="single" w:sz="4" w:space="0" w:color="auto"/>
            </w:tcBorders>
            <w:shd w:val="clear" w:color="auto" w:fill="auto"/>
            <w:vAlign w:val="center"/>
          </w:tcPr>
          <w:p w14:paraId="668E4CB1" w14:textId="77777777" w:rsidR="000A5FE4" w:rsidRDefault="000A5FE4" w:rsidP="00930280">
            <w:pPr>
              <w:spacing w:after="0" w:line="240" w:lineRule="auto"/>
              <w:rPr>
                <w:rFonts w:ascii="Calibri" w:hAnsi="Calibri" w:cs="Calibri"/>
                <w:i/>
                <w:color w:val="0000E1"/>
                <w:sz w:val="20"/>
              </w:rPr>
            </w:pPr>
            <w:proofErr w:type="spellStart"/>
            <w:r w:rsidRPr="0061194B">
              <w:rPr>
                <w:rFonts w:ascii="Calibri" w:hAnsi="Calibri" w:cs="Calibri"/>
                <w:i/>
                <w:color w:val="0000E1"/>
                <w:sz w:val="20"/>
              </w:rPr>
              <w:t>Coeff</w:t>
            </w:r>
            <w:proofErr w:type="spellEnd"/>
            <w:r w:rsidRPr="0061194B">
              <w:rPr>
                <w:rFonts w:ascii="Calibri" w:hAnsi="Calibri" w:cs="Calibri"/>
                <w:i/>
                <w:color w:val="0000E1"/>
                <w:sz w:val="20"/>
              </w:rPr>
              <w:t>: Coefficient; CI: confidence interval; OR: odds ratio; Ref: reference group; LIS: low-income subsidy</w:t>
            </w:r>
          </w:p>
          <w:p w14:paraId="7C210DD2" w14:textId="3F3ADBCA" w:rsidR="00162872" w:rsidRPr="0061194B" w:rsidRDefault="00162872" w:rsidP="00930280">
            <w:pPr>
              <w:spacing w:after="0" w:line="240" w:lineRule="auto"/>
              <w:rPr>
                <w:rFonts w:ascii="Calibri" w:hAnsi="Calibri" w:cs="Calibri"/>
                <w:i/>
                <w:color w:val="0000E1"/>
                <w:sz w:val="20"/>
              </w:rPr>
            </w:pPr>
            <w:r w:rsidRPr="00787CA4">
              <w:rPr>
                <w:rFonts w:cs="Calibri"/>
                <w:bCs/>
                <w:i/>
                <w:color w:val="0000E1"/>
              </w:rPr>
              <w:t xml:space="preserve">Note: For gender, </w:t>
            </w:r>
            <w:r>
              <w:rPr>
                <w:rFonts w:cs="Calibri"/>
                <w:bCs/>
                <w:i/>
                <w:color w:val="0000E1"/>
              </w:rPr>
              <w:t xml:space="preserve">the </w:t>
            </w:r>
            <w:r w:rsidRPr="00787CA4">
              <w:rPr>
                <w:rFonts w:cs="Calibri"/>
                <w:bCs/>
                <w:i/>
                <w:color w:val="0000E1"/>
              </w:rPr>
              <w:t xml:space="preserve">p-value for males </w:t>
            </w:r>
            <w:r w:rsidR="007E1A97">
              <w:rPr>
                <w:rFonts w:cs="Calibri"/>
                <w:bCs/>
                <w:i/>
                <w:color w:val="0000E1"/>
              </w:rPr>
              <w:t xml:space="preserve">in the univariate analysis </w:t>
            </w:r>
            <w:r w:rsidRPr="00787CA4">
              <w:rPr>
                <w:rFonts w:cs="Calibri"/>
                <w:bCs/>
                <w:i/>
                <w:color w:val="0000E1"/>
              </w:rPr>
              <w:t>was &gt;0.05.</w:t>
            </w:r>
          </w:p>
        </w:tc>
      </w:tr>
    </w:tbl>
    <w:p w14:paraId="21A6B77D" w14:textId="77777777" w:rsidR="000A5FE4" w:rsidRDefault="002B1FBF" w:rsidP="00904DB4">
      <w:pPr>
        <w:autoSpaceDE w:val="0"/>
        <w:autoSpaceDN w:val="0"/>
        <w:adjustRightInd w:val="0"/>
        <w:spacing w:after="0" w:line="240" w:lineRule="auto"/>
        <w:rPr>
          <w:rFonts w:cs="Calibri"/>
          <w:b/>
          <w:bCs/>
          <w:color w:val="0000E1"/>
        </w:rPr>
      </w:pPr>
      <w:r>
        <w:rPr>
          <w:rFonts w:cs="Calibri"/>
          <w:bCs/>
          <w:i/>
          <w:color w:val="0000E1"/>
        </w:rPr>
        <w:t xml:space="preserve"> </w:t>
      </w:r>
    </w:p>
    <w:p w14:paraId="13D9F7E7" w14:textId="77777777" w:rsidR="004E6D45" w:rsidRPr="00AE18F6" w:rsidRDefault="00F910A0" w:rsidP="00904DB4">
      <w:pPr>
        <w:autoSpaceDE w:val="0"/>
        <w:autoSpaceDN w:val="0"/>
        <w:adjustRightInd w:val="0"/>
        <w:spacing w:after="0" w:line="240" w:lineRule="auto"/>
        <w:rPr>
          <w:rFonts w:cs="Calibri"/>
          <w:b/>
          <w:bCs/>
          <w:color w:val="0000E1"/>
        </w:rPr>
      </w:pPr>
      <w:r w:rsidRPr="00AE18F6">
        <w:rPr>
          <w:rFonts w:cs="Calibri"/>
          <w:b/>
          <w:bCs/>
          <w:color w:val="0000E1"/>
        </w:rPr>
        <w:t>Table 13</w:t>
      </w:r>
      <w:r w:rsidR="004E6D45" w:rsidRPr="00AE18F6">
        <w:rPr>
          <w:rFonts w:cs="Calibri"/>
          <w:b/>
          <w:bCs/>
          <w:color w:val="0000E1"/>
        </w:rPr>
        <w:t>. Univariate (Unadjusted) and Multivariable (Adjusted)</w:t>
      </w:r>
      <w:r w:rsidRPr="00AE18F6">
        <w:rPr>
          <w:rFonts w:cs="Calibri"/>
          <w:b/>
          <w:bCs/>
          <w:color w:val="0000E1"/>
        </w:rPr>
        <w:t xml:space="preserve"> Logistic Regression Results – </w:t>
      </w:r>
      <w:r w:rsidR="004E6D45" w:rsidRPr="00AE18F6">
        <w:rPr>
          <w:rFonts w:cs="Calibri"/>
          <w:b/>
          <w:bCs/>
          <w:color w:val="0000E1"/>
        </w:rPr>
        <w:t>Statins</w:t>
      </w:r>
    </w:p>
    <w:tbl>
      <w:tblPr>
        <w:tblW w:w="9180" w:type="dxa"/>
        <w:tblInd w:w="85" w:type="dxa"/>
        <w:tblLook w:val="04A0" w:firstRow="1" w:lastRow="0" w:firstColumn="1" w:lastColumn="0" w:noHBand="0" w:noVBand="1"/>
      </w:tblPr>
      <w:tblGrid>
        <w:gridCol w:w="2292"/>
        <w:gridCol w:w="1017"/>
        <w:gridCol w:w="883"/>
        <w:gridCol w:w="1142"/>
        <w:gridCol w:w="1076"/>
        <w:gridCol w:w="798"/>
        <w:gridCol w:w="1142"/>
        <w:gridCol w:w="830"/>
      </w:tblGrid>
      <w:tr w:rsidR="00E122BE" w:rsidRPr="00AE18F6" w14:paraId="4FB3E806" w14:textId="77777777" w:rsidTr="00EB7292">
        <w:trPr>
          <w:trHeight w:val="247"/>
          <w:tblHeader/>
        </w:trPr>
        <w:tc>
          <w:tcPr>
            <w:tcW w:w="2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802F4" w14:textId="77777777" w:rsidR="00E122BE" w:rsidRPr="00AE18F6" w:rsidRDefault="00E122BE" w:rsidP="0081359F">
            <w:pPr>
              <w:spacing w:after="0" w:line="240" w:lineRule="auto"/>
              <w:rPr>
                <w:rFonts w:eastAsia="Times New Roman" w:cstheme="minorHAnsi"/>
                <w:b/>
                <w:bCs/>
                <w:color w:val="0000E1"/>
              </w:rPr>
            </w:pPr>
            <w:r w:rsidRPr="00AE18F6">
              <w:rPr>
                <w:rFonts w:eastAsia="Times New Roman" w:cstheme="minorHAnsi"/>
                <w:b/>
                <w:bCs/>
                <w:color w:val="0000E1"/>
              </w:rPr>
              <w:t> </w:t>
            </w:r>
          </w:p>
        </w:tc>
        <w:tc>
          <w:tcPr>
            <w:tcW w:w="3042" w:type="dxa"/>
            <w:gridSpan w:val="3"/>
            <w:tcBorders>
              <w:top w:val="single" w:sz="4" w:space="0" w:color="auto"/>
              <w:left w:val="nil"/>
              <w:bottom w:val="single" w:sz="4" w:space="0" w:color="auto"/>
              <w:right w:val="single" w:sz="4" w:space="0" w:color="auto"/>
            </w:tcBorders>
            <w:shd w:val="clear" w:color="auto" w:fill="auto"/>
            <w:vAlign w:val="center"/>
            <w:hideMark/>
          </w:tcPr>
          <w:p w14:paraId="4A6620A8" w14:textId="77777777" w:rsidR="00E122BE" w:rsidRPr="00AE18F6" w:rsidRDefault="00E122BE" w:rsidP="0081359F">
            <w:pPr>
              <w:spacing w:after="0" w:line="240" w:lineRule="auto"/>
              <w:jc w:val="center"/>
              <w:rPr>
                <w:rFonts w:eastAsia="Times New Roman" w:cstheme="minorHAnsi"/>
                <w:b/>
                <w:bCs/>
                <w:color w:val="0000E1"/>
              </w:rPr>
            </w:pPr>
            <w:r w:rsidRPr="00AE18F6">
              <w:rPr>
                <w:rFonts w:eastAsia="Times New Roman" w:cstheme="minorHAnsi"/>
                <w:b/>
                <w:bCs/>
                <w:color w:val="0000E1"/>
              </w:rPr>
              <w:t>Unadjusted</w:t>
            </w:r>
          </w:p>
        </w:tc>
        <w:tc>
          <w:tcPr>
            <w:tcW w:w="3846" w:type="dxa"/>
            <w:gridSpan w:val="4"/>
            <w:tcBorders>
              <w:top w:val="single" w:sz="4" w:space="0" w:color="auto"/>
              <w:left w:val="nil"/>
              <w:bottom w:val="single" w:sz="4" w:space="0" w:color="auto"/>
              <w:right w:val="single" w:sz="4" w:space="0" w:color="auto"/>
            </w:tcBorders>
            <w:shd w:val="clear" w:color="auto" w:fill="auto"/>
            <w:vAlign w:val="center"/>
            <w:hideMark/>
          </w:tcPr>
          <w:p w14:paraId="4AFFBAF3" w14:textId="77777777" w:rsidR="00E122BE" w:rsidRPr="00AE18F6" w:rsidRDefault="00E122BE" w:rsidP="0081359F">
            <w:pPr>
              <w:spacing w:after="0" w:line="240" w:lineRule="auto"/>
              <w:jc w:val="center"/>
              <w:rPr>
                <w:rFonts w:eastAsia="Times New Roman" w:cstheme="minorHAnsi"/>
                <w:b/>
                <w:bCs/>
                <w:color w:val="0000E1"/>
              </w:rPr>
            </w:pPr>
            <w:r w:rsidRPr="00AE18F6">
              <w:rPr>
                <w:rFonts w:eastAsia="Times New Roman" w:cstheme="minorHAnsi"/>
                <w:b/>
                <w:bCs/>
                <w:color w:val="0000E1"/>
              </w:rPr>
              <w:t>Adjusted</w:t>
            </w:r>
          </w:p>
        </w:tc>
      </w:tr>
      <w:tr w:rsidR="00E122BE" w:rsidRPr="00AE18F6" w14:paraId="08BA43C0" w14:textId="77777777" w:rsidTr="000A5FE4">
        <w:trPr>
          <w:trHeight w:val="516"/>
        </w:trPr>
        <w:tc>
          <w:tcPr>
            <w:tcW w:w="2292" w:type="dxa"/>
            <w:tcBorders>
              <w:top w:val="nil"/>
              <w:left w:val="single" w:sz="4" w:space="0" w:color="auto"/>
              <w:bottom w:val="single" w:sz="4" w:space="0" w:color="auto"/>
              <w:right w:val="single" w:sz="4" w:space="0" w:color="auto"/>
            </w:tcBorders>
            <w:shd w:val="clear" w:color="auto" w:fill="auto"/>
            <w:vAlign w:val="center"/>
            <w:hideMark/>
          </w:tcPr>
          <w:p w14:paraId="43D90FA9" w14:textId="77777777" w:rsidR="00E122BE" w:rsidRPr="00AE18F6" w:rsidRDefault="00E122BE" w:rsidP="0081359F">
            <w:pPr>
              <w:spacing w:after="0" w:line="240" w:lineRule="auto"/>
              <w:rPr>
                <w:rFonts w:eastAsia="Times New Roman" w:cstheme="minorHAnsi"/>
                <w:b/>
                <w:bCs/>
                <w:color w:val="0000E1"/>
              </w:rPr>
            </w:pPr>
            <w:r w:rsidRPr="00AE18F6">
              <w:rPr>
                <w:rFonts w:eastAsia="Times New Roman" w:cstheme="minorHAnsi"/>
                <w:b/>
                <w:bCs/>
                <w:color w:val="0000E1"/>
              </w:rPr>
              <w:t>Characteristic</w:t>
            </w:r>
          </w:p>
        </w:tc>
        <w:tc>
          <w:tcPr>
            <w:tcW w:w="1017" w:type="dxa"/>
            <w:tcBorders>
              <w:top w:val="nil"/>
              <w:left w:val="nil"/>
              <w:bottom w:val="single" w:sz="4" w:space="0" w:color="auto"/>
              <w:right w:val="single" w:sz="4" w:space="0" w:color="auto"/>
            </w:tcBorders>
            <w:shd w:val="clear" w:color="auto" w:fill="auto"/>
            <w:vAlign w:val="center"/>
            <w:hideMark/>
          </w:tcPr>
          <w:p w14:paraId="793AAC4B" w14:textId="77777777" w:rsidR="00E122BE" w:rsidRPr="00AE18F6" w:rsidRDefault="00E122BE" w:rsidP="0081359F">
            <w:pPr>
              <w:spacing w:after="0" w:line="240" w:lineRule="auto"/>
              <w:jc w:val="center"/>
              <w:rPr>
                <w:rFonts w:eastAsia="Times New Roman" w:cstheme="minorHAnsi"/>
                <w:b/>
                <w:bCs/>
                <w:color w:val="0000E1"/>
              </w:rPr>
            </w:pPr>
            <w:proofErr w:type="spellStart"/>
            <w:r w:rsidRPr="00AE18F6">
              <w:rPr>
                <w:rFonts w:eastAsia="Times New Roman" w:cstheme="minorHAnsi"/>
                <w:b/>
                <w:bCs/>
                <w:color w:val="0000E1"/>
              </w:rPr>
              <w:t>Coeff</w:t>
            </w:r>
            <w:proofErr w:type="spellEnd"/>
            <w:r w:rsidRPr="00AE18F6">
              <w:rPr>
                <w:rFonts w:eastAsia="Times New Roman" w:cstheme="minorHAnsi"/>
                <w:b/>
                <w:bCs/>
                <w:color w:val="0000E1"/>
              </w:rPr>
              <w:t xml:space="preserve"> Estimate</w:t>
            </w:r>
          </w:p>
        </w:tc>
        <w:tc>
          <w:tcPr>
            <w:tcW w:w="883" w:type="dxa"/>
            <w:tcBorders>
              <w:top w:val="nil"/>
              <w:left w:val="nil"/>
              <w:bottom w:val="single" w:sz="4" w:space="0" w:color="auto"/>
              <w:right w:val="single" w:sz="4" w:space="0" w:color="auto"/>
            </w:tcBorders>
            <w:shd w:val="clear" w:color="auto" w:fill="auto"/>
            <w:vAlign w:val="center"/>
            <w:hideMark/>
          </w:tcPr>
          <w:p w14:paraId="5AF0BAA5" w14:textId="77777777" w:rsidR="00E122BE" w:rsidRPr="00AE18F6" w:rsidRDefault="00E122BE" w:rsidP="0081359F">
            <w:pPr>
              <w:spacing w:after="0" w:line="240" w:lineRule="auto"/>
              <w:jc w:val="center"/>
              <w:rPr>
                <w:rFonts w:eastAsia="Times New Roman" w:cstheme="minorHAnsi"/>
                <w:b/>
                <w:bCs/>
                <w:color w:val="0000E1"/>
              </w:rPr>
            </w:pPr>
            <w:r w:rsidRPr="00AE18F6">
              <w:rPr>
                <w:rFonts w:eastAsia="Times New Roman" w:cstheme="minorHAnsi"/>
                <w:b/>
                <w:bCs/>
                <w:color w:val="0000E1"/>
              </w:rPr>
              <w:t>OR</w:t>
            </w:r>
          </w:p>
        </w:tc>
        <w:tc>
          <w:tcPr>
            <w:tcW w:w="1142" w:type="dxa"/>
            <w:tcBorders>
              <w:top w:val="nil"/>
              <w:left w:val="nil"/>
              <w:bottom w:val="single" w:sz="4" w:space="0" w:color="auto"/>
              <w:right w:val="single" w:sz="4" w:space="0" w:color="auto"/>
            </w:tcBorders>
            <w:shd w:val="clear" w:color="auto" w:fill="auto"/>
            <w:vAlign w:val="center"/>
            <w:hideMark/>
          </w:tcPr>
          <w:p w14:paraId="60354074" w14:textId="77777777" w:rsidR="00E122BE" w:rsidRPr="00AE18F6" w:rsidRDefault="00E122BE" w:rsidP="0081359F">
            <w:pPr>
              <w:spacing w:after="0" w:line="240" w:lineRule="auto"/>
              <w:jc w:val="center"/>
              <w:rPr>
                <w:rFonts w:eastAsia="Times New Roman" w:cstheme="minorHAnsi"/>
                <w:b/>
                <w:bCs/>
                <w:color w:val="0000E1"/>
              </w:rPr>
            </w:pPr>
            <w:r w:rsidRPr="00AE18F6">
              <w:rPr>
                <w:rFonts w:eastAsia="Times New Roman" w:cstheme="minorHAnsi"/>
                <w:b/>
                <w:bCs/>
                <w:color w:val="0000E1"/>
              </w:rPr>
              <w:t>95% CI</w:t>
            </w:r>
          </w:p>
        </w:tc>
        <w:tc>
          <w:tcPr>
            <w:tcW w:w="1076" w:type="dxa"/>
            <w:tcBorders>
              <w:top w:val="nil"/>
              <w:left w:val="nil"/>
              <w:bottom w:val="single" w:sz="4" w:space="0" w:color="auto"/>
              <w:right w:val="single" w:sz="4" w:space="0" w:color="auto"/>
            </w:tcBorders>
            <w:shd w:val="clear" w:color="auto" w:fill="auto"/>
            <w:vAlign w:val="center"/>
            <w:hideMark/>
          </w:tcPr>
          <w:p w14:paraId="75F68D49" w14:textId="77777777" w:rsidR="00E122BE" w:rsidRPr="00AE18F6" w:rsidRDefault="00E122BE" w:rsidP="0081359F">
            <w:pPr>
              <w:spacing w:after="0" w:line="240" w:lineRule="auto"/>
              <w:jc w:val="center"/>
              <w:rPr>
                <w:rFonts w:eastAsia="Times New Roman" w:cstheme="minorHAnsi"/>
                <w:b/>
                <w:bCs/>
                <w:color w:val="0000E1"/>
              </w:rPr>
            </w:pPr>
            <w:proofErr w:type="spellStart"/>
            <w:r w:rsidRPr="00AE18F6">
              <w:rPr>
                <w:rFonts w:eastAsia="Times New Roman" w:cstheme="minorHAnsi"/>
                <w:b/>
                <w:bCs/>
                <w:color w:val="0000E1"/>
              </w:rPr>
              <w:t>Coeff</w:t>
            </w:r>
            <w:proofErr w:type="spellEnd"/>
            <w:r w:rsidRPr="00AE18F6">
              <w:rPr>
                <w:rFonts w:eastAsia="Times New Roman" w:cstheme="minorHAnsi"/>
                <w:b/>
                <w:bCs/>
                <w:color w:val="0000E1"/>
              </w:rPr>
              <w:t xml:space="preserve"> Estimate</w:t>
            </w:r>
          </w:p>
        </w:tc>
        <w:tc>
          <w:tcPr>
            <w:tcW w:w="798" w:type="dxa"/>
            <w:tcBorders>
              <w:top w:val="nil"/>
              <w:left w:val="nil"/>
              <w:bottom w:val="single" w:sz="4" w:space="0" w:color="auto"/>
              <w:right w:val="single" w:sz="4" w:space="0" w:color="auto"/>
            </w:tcBorders>
            <w:shd w:val="clear" w:color="auto" w:fill="auto"/>
            <w:vAlign w:val="center"/>
            <w:hideMark/>
          </w:tcPr>
          <w:p w14:paraId="0E971FFC" w14:textId="77777777" w:rsidR="00E122BE" w:rsidRPr="00AE18F6" w:rsidRDefault="00E122BE" w:rsidP="0081359F">
            <w:pPr>
              <w:spacing w:after="0" w:line="240" w:lineRule="auto"/>
              <w:jc w:val="center"/>
              <w:rPr>
                <w:rFonts w:eastAsia="Times New Roman" w:cstheme="minorHAnsi"/>
                <w:b/>
                <w:bCs/>
                <w:color w:val="0000E1"/>
              </w:rPr>
            </w:pPr>
            <w:r w:rsidRPr="00AE18F6">
              <w:rPr>
                <w:rFonts w:eastAsia="Times New Roman" w:cstheme="minorHAnsi"/>
                <w:b/>
                <w:bCs/>
                <w:color w:val="0000E1"/>
              </w:rPr>
              <w:t>OR</w:t>
            </w:r>
          </w:p>
        </w:tc>
        <w:tc>
          <w:tcPr>
            <w:tcW w:w="1142" w:type="dxa"/>
            <w:tcBorders>
              <w:top w:val="nil"/>
              <w:left w:val="nil"/>
              <w:bottom w:val="single" w:sz="4" w:space="0" w:color="auto"/>
              <w:right w:val="single" w:sz="4" w:space="0" w:color="auto"/>
            </w:tcBorders>
            <w:shd w:val="clear" w:color="auto" w:fill="auto"/>
            <w:vAlign w:val="center"/>
            <w:hideMark/>
          </w:tcPr>
          <w:p w14:paraId="56B2C0C4" w14:textId="77777777" w:rsidR="00E122BE" w:rsidRPr="00AE18F6" w:rsidRDefault="00E122BE" w:rsidP="0081359F">
            <w:pPr>
              <w:spacing w:after="0" w:line="240" w:lineRule="auto"/>
              <w:jc w:val="center"/>
              <w:rPr>
                <w:rFonts w:eastAsia="Times New Roman" w:cstheme="minorHAnsi"/>
                <w:b/>
                <w:bCs/>
                <w:color w:val="0000E1"/>
              </w:rPr>
            </w:pPr>
            <w:r w:rsidRPr="00AE18F6">
              <w:rPr>
                <w:rFonts w:eastAsia="Times New Roman" w:cstheme="minorHAnsi"/>
                <w:b/>
                <w:bCs/>
                <w:color w:val="0000E1"/>
              </w:rPr>
              <w:t>95% CI</w:t>
            </w:r>
          </w:p>
        </w:tc>
        <w:tc>
          <w:tcPr>
            <w:tcW w:w="830" w:type="dxa"/>
            <w:tcBorders>
              <w:top w:val="nil"/>
              <w:left w:val="nil"/>
              <w:bottom w:val="single" w:sz="4" w:space="0" w:color="auto"/>
              <w:right w:val="single" w:sz="4" w:space="0" w:color="auto"/>
            </w:tcBorders>
            <w:shd w:val="clear" w:color="auto" w:fill="auto"/>
            <w:vAlign w:val="center"/>
            <w:hideMark/>
          </w:tcPr>
          <w:p w14:paraId="2299FE37" w14:textId="77777777" w:rsidR="00E122BE" w:rsidRPr="00AE18F6" w:rsidRDefault="0081359F" w:rsidP="0081359F">
            <w:pPr>
              <w:spacing w:after="0" w:line="240" w:lineRule="auto"/>
              <w:jc w:val="center"/>
              <w:rPr>
                <w:rFonts w:eastAsia="Times New Roman" w:cstheme="minorHAnsi"/>
                <w:b/>
                <w:bCs/>
                <w:color w:val="0000E1"/>
              </w:rPr>
            </w:pPr>
            <w:r w:rsidRPr="00AE18F6">
              <w:rPr>
                <w:rFonts w:eastAsia="Times New Roman" w:cstheme="minorHAnsi"/>
                <w:b/>
                <w:bCs/>
                <w:color w:val="0000E1"/>
              </w:rPr>
              <w:t>p-Value</w:t>
            </w:r>
          </w:p>
        </w:tc>
      </w:tr>
      <w:tr w:rsidR="00E122BE" w:rsidRPr="00AE18F6" w14:paraId="4509E1D5" w14:textId="77777777" w:rsidTr="000A5FE4">
        <w:trPr>
          <w:trHeight w:val="247"/>
        </w:trPr>
        <w:tc>
          <w:tcPr>
            <w:tcW w:w="2292" w:type="dxa"/>
            <w:tcBorders>
              <w:top w:val="nil"/>
              <w:left w:val="single" w:sz="4" w:space="0" w:color="auto"/>
              <w:bottom w:val="single" w:sz="4" w:space="0" w:color="auto"/>
              <w:right w:val="single" w:sz="4" w:space="0" w:color="auto"/>
            </w:tcBorders>
            <w:shd w:val="clear" w:color="auto" w:fill="auto"/>
            <w:vAlign w:val="center"/>
            <w:hideMark/>
          </w:tcPr>
          <w:p w14:paraId="6CC5BFF7" w14:textId="77777777" w:rsidR="00E122BE" w:rsidRPr="00AE18F6" w:rsidRDefault="00E122BE" w:rsidP="0081359F">
            <w:pPr>
              <w:spacing w:after="0" w:line="240" w:lineRule="auto"/>
              <w:rPr>
                <w:rFonts w:eastAsia="Times New Roman" w:cstheme="minorHAnsi"/>
                <w:bCs/>
                <w:color w:val="0000E1"/>
              </w:rPr>
            </w:pPr>
            <w:r w:rsidRPr="00AE18F6">
              <w:rPr>
                <w:rFonts w:eastAsia="Times New Roman" w:cstheme="minorHAnsi"/>
                <w:bCs/>
                <w:color w:val="0000E1"/>
              </w:rPr>
              <w:t>Age Group (Ref = 80+)</w:t>
            </w:r>
          </w:p>
        </w:tc>
        <w:tc>
          <w:tcPr>
            <w:tcW w:w="1017" w:type="dxa"/>
            <w:tcBorders>
              <w:top w:val="nil"/>
              <w:left w:val="nil"/>
              <w:bottom w:val="single" w:sz="4" w:space="0" w:color="auto"/>
              <w:right w:val="single" w:sz="4" w:space="0" w:color="auto"/>
            </w:tcBorders>
            <w:shd w:val="clear" w:color="auto" w:fill="auto"/>
            <w:vAlign w:val="center"/>
            <w:hideMark/>
          </w:tcPr>
          <w:p w14:paraId="79624ECD" w14:textId="77777777" w:rsidR="00E122BE" w:rsidRPr="00AE18F6" w:rsidRDefault="00E122BE" w:rsidP="0081359F">
            <w:pPr>
              <w:spacing w:after="0" w:line="240" w:lineRule="auto"/>
              <w:rPr>
                <w:rFonts w:eastAsia="Times New Roman" w:cstheme="minorHAnsi"/>
                <w:color w:val="0000E1"/>
              </w:rPr>
            </w:pPr>
            <w:r w:rsidRPr="00AE18F6">
              <w:rPr>
                <w:rFonts w:eastAsia="Times New Roman" w:cstheme="minorHAnsi"/>
                <w:color w:val="0000E1"/>
              </w:rPr>
              <w:t> </w:t>
            </w:r>
          </w:p>
        </w:tc>
        <w:tc>
          <w:tcPr>
            <w:tcW w:w="883" w:type="dxa"/>
            <w:tcBorders>
              <w:top w:val="nil"/>
              <w:left w:val="nil"/>
              <w:bottom w:val="single" w:sz="4" w:space="0" w:color="auto"/>
              <w:right w:val="single" w:sz="4" w:space="0" w:color="auto"/>
            </w:tcBorders>
            <w:shd w:val="clear" w:color="auto" w:fill="auto"/>
            <w:vAlign w:val="center"/>
            <w:hideMark/>
          </w:tcPr>
          <w:p w14:paraId="4B761A37" w14:textId="77777777" w:rsidR="00E122BE" w:rsidRPr="00AE18F6" w:rsidRDefault="00E122BE" w:rsidP="0081359F">
            <w:pPr>
              <w:spacing w:after="0" w:line="240" w:lineRule="auto"/>
              <w:rPr>
                <w:rFonts w:eastAsia="Times New Roman" w:cstheme="minorHAnsi"/>
                <w:color w:val="0000E1"/>
              </w:rPr>
            </w:pPr>
            <w:r w:rsidRPr="00AE18F6">
              <w:rPr>
                <w:rFonts w:eastAsia="Times New Roman" w:cstheme="minorHAnsi"/>
                <w:color w:val="0000E1"/>
              </w:rPr>
              <w:t> </w:t>
            </w:r>
          </w:p>
        </w:tc>
        <w:tc>
          <w:tcPr>
            <w:tcW w:w="1142" w:type="dxa"/>
            <w:tcBorders>
              <w:top w:val="nil"/>
              <w:left w:val="nil"/>
              <w:bottom w:val="single" w:sz="4" w:space="0" w:color="auto"/>
              <w:right w:val="single" w:sz="4" w:space="0" w:color="auto"/>
            </w:tcBorders>
            <w:shd w:val="clear" w:color="auto" w:fill="auto"/>
            <w:vAlign w:val="center"/>
            <w:hideMark/>
          </w:tcPr>
          <w:p w14:paraId="0CD880AF" w14:textId="77777777" w:rsidR="00E122BE" w:rsidRPr="00AE18F6" w:rsidRDefault="00E122BE" w:rsidP="0081359F">
            <w:pPr>
              <w:spacing w:after="0" w:line="240" w:lineRule="auto"/>
              <w:rPr>
                <w:rFonts w:eastAsia="Times New Roman" w:cstheme="minorHAnsi"/>
                <w:color w:val="0000E1"/>
              </w:rPr>
            </w:pPr>
            <w:r w:rsidRPr="00AE18F6">
              <w:rPr>
                <w:rFonts w:eastAsia="Times New Roman" w:cstheme="minorHAnsi"/>
                <w:color w:val="0000E1"/>
              </w:rPr>
              <w:t> </w:t>
            </w:r>
          </w:p>
        </w:tc>
        <w:tc>
          <w:tcPr>
            <w:tcW w:w="1076" w:type="dxa"/>
            <w:tcBorders>
              <w:top w:val="nil"/>
              <w:left w:val="nil"/>
              <w:bottom w:val="single" w:sz="4" w:space="0" w:color="auto"/>
              <w:right w:val="single" w:sz="4" w:space="0" w:color="auto"/>
            </w:tcBorders>
            <w:shd w:val="clear" w:color="auto" w:fill="auto"/>
            <w:vAlign w:val="center"/>
            <w:hideMark/>
          </w:tcPr>
          <w:p w14:paraId="68CD5EBD" w14:textId="77777777" w:rsidR="00E122BE" w:rsidRPr="00AE18F6" w:rsidRDefault="00E122BE" w:rsidP="0081359F">
            <w:pPr>
              <w:spacing w:after="0" w:line="240" w:lineRule="auto"/>
              <w:rPr>
                <w:rFonts w:eastAsia="Times New Roman" w:cstheme="minorHAnsi"/>
                <w:color w:val="0000E1"/>
              </w:rPr>
            </w:pPr>
            <w:r w:rsidRPr="00AE18F6">
              <w:rPr>
                <w:rFonts w:eastAsia="Times New Roman" w:cstheme="minorHAnsi"/>
                <w:color w:val="0000E1"/>
              </w:rPr>
              <w:t> </w:t>
            </w:r>
          </w:p>
        </w:tc>
        <w:tc>
          <w:tcPr>
            <w:tcW w:w="798" w:type="dxa"/>
            <w:tcBorders>
              <w:top w:val="nil"/>
              <w:left w:val="nil"/>
              <w:bottom w:val="single" w:sz="4" w:space="0" w:color="auto"/>
              <w:right w:val="single" w:sz="4" w:space="0" w:color="auto"/>
            </w:tcBorders>
            <w:shd w:val="clear" w:color="auto" w:fill="auto"/>
            <w:vAlign w:val="center"/>
            <w:hideMark/>
          </w:tcPr>
          <w:p w14:paraId="29B85619" w14:textId="77777777" w:rsidR="00E122BE" w:rsidRPr="00AE18F6" w:rsidRDefault="00E122BE" w:rsidP="0081359F">
            <w:pPr>
              <w:spacing w:after="0" w:line="240" w:lineRule="auto"/>
              <w:rPr>
                <w:rFonts w:eastAsia="Times New Roman" w:cstheme="minorHAnsi"/>
                <w:color w:val="0000E1"/>
              </w:rPr>
            </w:pPr>
            <w:r w:rsidRPr="00AE18F6">
              <w:rPr>
                <w:rFonts w:eastAsia="Times New Roman" w:cstheme="minorHAnsi"/>
                <w:color w:val="0000E1"/>
              </w:rPr>
              <w:t> </w:t>
            </w:r>
          </w:p>
        </w:tc>
        <w:tc>
          <w:tcPr>
            <w:tcW w:w="1142" w:type="dxa"/>
            <w:tcBorders>
              <w:top w:val="nil"/>
              <w:left w:val="nil"/>
              <w:bottom w:val="single" w:sz="4" w:space="0" w:color="auto"/>
              <w:right w:val="single" w:sz="4" w:space="0" w:color="auto"/>
            </w:tcBorders>
            <w:shd w:val="clear" w:color="auto" w:fill="auto"/>
            <w:vAlign w:val="center"/>
            <w:hideMark/>
          </w:tcPr>
          <w:p w14:paraId="1FCBC3F7" w14:textId="77777777" w:rsidR="00E122BE" w:rsidRPr="00AE18F6" w:rsidRDefault="00E122BE" w:rsidP="0081359F">
            <w:pPr>
              <w:spacing w:after="0" w:line="240" w:lineRule="auto"/>
              <w:rPr>
                <w:rFonts w:eastAsia="Times New Roman" w:cstheme="minorHAnsi"/>
                <w:color w:val="0000E1"/>
              </w:rPr>
            </w:pPr>
            <w:r w:rsidRPr="00AE18F6">
              <w:rPr>
                <w:rFonts w:eastAsia="Times New Roman" w:cstheme="minorHAnsi"/>
                <w:color w:val="0000E1"/>
              </w:rPr>
              <w:t> </w:t>
            </w:r>
          </w:p>
        </w:tc>
        <w:tc>
          <w:tcPr>
            <w:tcW w:w="830" w:type="dxa"/>
            <w:tcBorders>
              <w:top w:val="nil"/>
              <w:left w:val="nil"/>
              <w:bottom w:val="single" w:sz="4" w:space="0" w:color="auto"/>
              <w:right w:val="single" w:sz="4" w:space="0" w:color="auto"/>
            </w:tcBorders>
            <w:shd w:val="clear" w:color="auto" w:fill="auto"/>
            <w:vAlign w:val="center"/>
            <w:hideMark/>
          </w:tcPr>
          <w:p w14:paraId="6729AE20" w14:textId="77777777" w:rsidR="00E122BE" w:rsidRPr="00AE18F6" w:rsidRDefault="00E122BE" w:rsidP="0081359F">
            <w:pPr>
              <w:spacing w:after="0" w:line="240" w:lineRule="auto"/>
              <w:rPr>
                <w:rFonts w:eastAsia="Times New Roman" w:cstheme="minorHAnsi"/>
                <w:color w:val="0000E1"/>
              </w:rPr>
            </w:pPr>
            <w:r w:rsidRPr="00AE18F6">
              <w:rPr>
                <w:rFonts w:eastAsia="Times New Roman" w:cstheme="minorHAnsi"/>
                <w:color w:val="0000E1"/>
              </w:rPr>
              <w:t> </w:t>
            </w:r>
          </w:p>
        </w:tc>
      </w:tr>
      <w:tr w:rsidR="0081359F" w:rsidRPr="00AE18F6" w14:paraId="6D2EDE8F" w14:textId="77777777" w:rsidTr="00AE2BC8">
        <w:trPr>
          <w:trHeight w:val="247"/>
        </w:trPr>
        <w:tc>
          <w:tcPr>
            <w:tcW w:w="2292" w:type="dxa"/>
            <w:tcBorders>
              <w:top w:val="nil"/>
              <w:left w:val="single" w:sz="4" w:space="0" w:color="auto"/>
              <w:bottom w:val="single" w:sz="4" w:space="0" w:color="auto"/>
              <w:right w:val="single" w:sz="4" w:space="0" w:color="auto"/>
            </w:tcBorders>
            <w:shd w:val="clear" w:color="auto" w:fill="auto"/>
            <w:vAlign w:val="center"/>
            <w:hideMark/>
          </w:tcPr>
          <w:p w14:paraId="27298AE9" w14:textId="77777777" w:rsidR="0081359F" w:rsidRPr="00AE18F6" w:rsidRDefault="0081359F" w:rsidP="0081359F">
            <w:pPr>
              <w:spacing w:after="0" w:line="240" w:lineRule="auto"/>
              <w:jc w:val="right"/>
              <w:rPr>
                <w:rFonts w:eastAsia="Times New Roman" w:cstheme="minorHAnsi"/>
                <w:color w:val="0000E1"/>
              </w:rPr>
            </w:pPr>
            <w:r w:rsidRPr="00AE18F6">
              <w:rPr>
                <w:rFonts w:eastAsia="Times New Roman" w:cstheme="minorHAnsi"/>
                <w:color w:val="0000E1"/>
              </w:rPr>
              <w:t>18-54</w:t>
            </w:r>
          </w:p>
        </w:tc>
        <w:tc>
          <w:tcPr>
            <w:tcW w:w="1017" w:type="dxa"/>
            <w:tcBorders>
              <w:top w:val="nil"/>
              <w:left w:val="nil"/>
              <w:bottom w:val="single" w:sz="4" w:space="0" w:color="auto"/>
              <w:right w:val="single" w:sz="4" w:space="0" w:color="auto"/>
            </w:tcBorders>
            <w:shd w:val="clear" w:color="auto" w:fill="auto"/>
            <w:vAlign w:val="center"/>
          </w:tcPr>
          <w:p w14:paraId="7FC2E103" w14:textId="77777777" w:rsidR="0081359F" w:rsidRPr="00AE18F6" w:rsidRDefault="0081359F" w:rsidP="00AE2BC8">
            <w:pPr>
              <w:spacing w:after="0" w:line="240" w:lineRule="auto"/>
              <w:jc w:val="right"/>
              <w:rPr>
                <w:rFonts w:eastAsia="Times New Roman" w:cstheme="minorHAnsi"/>
                <w:color w:val="0000E1"/>
              </w:rPr>
            </w:pPr>
            <w:r w:rsidRPr="00AE18F6">
              <w:rPr>
                <w:rFonts w:ascii="Calibri" w:hAnsi="Calibri" w:cs="Calibri"/>
                <w:color w:val="0000E1"/>
              </w:rPr>
              <w:t>-0.5927</w:t>
            </w:r>
          </w:p>
        </w:tc>
        <w:tc>
          <w:tcPr>
            <w:tcW w:w="883" w:type="dxa"/>
            <w:tcBorders>
              <w:top w:val="nil"/>
              <w:left w:val="nil"/>
              <w:bottom w:val="single" w:sz="4" w:space="0" w:color="auto"/>
              <w:right w:val="single" w:sz="4" w:space="0" w:color="auto"/>
            </w:tcBorders>
            <w:shd w:val="clear" w:color="auto" w:fill="auto"/>
            <w:vAlign w:val="center"/>
          </w:tcPr>
          <w:p w14:paraId="723F1E28" w14:textId="77777777" w:rsidR="0081359F" w:rsidRPr="00AE18F6" w:rsidRDefault="0081359F" w:rsidP="00AE2BC8">
            <w:pPr>
              <w:spacing w:after="0" w:line="240" w:lineRule="auto"/>
              <w:jc w:val="right"/>
              <w:rPr>
                <w:rFonts w:eastAsia="Times New Roman" w:cstheme="minorHAnsi"/>
                <w:color w:val="0000E1"/>
              </w:rPr>
            </w:pPr>
            <w:r w:rsidRPr="00AE18F6">
              <w:rPr>
                <w:rFonts w:ascii="Calibri" w:hAnsi="Calibri" w:cs="Calibri"/>
                <w:color w:val="0000E1"/>
              </w:rPr>
              <w:t>0.55</w:t>
            </w:r>
          </w:p>
        </w:tc>
        <w:tc>
          <w:tcPr>
            <w:tcW w:w="1142" w:type="dxa"/>
            <w:tcBorders>
              <w:top w:val="nil"/>
              <w:left w:val="nil"/>
              <w:bottom w:val="single" w:sz="4" w:space="0" w:color="auto"/>
              <w:right w:val="single" w:sz="4" w:space="0" w:color="auto"/>
            </w:tcBorders>
            <w:shd w:val="clear" w:color="auto" w:fill="auto"/>
            <w:vAlign w:val="center"/>
          </w:tcPr>
          <w:p w14:paraId="7A74DE49" w14:textId="77777777" w:rsidR="0081359F" w:rsidRPr="00AE18F6" w:rsidRDefault="0081359F" w:rsidP="00AE2BC8">
            <w:pPr>
              <w:spacing w:after="0" w:line="240" w:lineRule="auto"/>
              <w:jc w:val="right"/>
              <w:rPr>
                <w:rFonts w:eastAsia="Times New Roman" w:cstheme="minorHAnsi"/>
                <w:color w:val="0000E1"/>
              </w:rPr>
            </w:pPr>
            <w:r w:rsidRPr="00AE18F6">
              <w:rPr>
                <w:color w:val="0000E1"/>
              </w:rPr>
              <w:t>0.54, 0.57</w:t>
            </w:r>
          </w:p>
        </w:tc>
        <w:tc>
          <w:tcPr>
            <w:tcW w:w="1076" w:type="dxa"/>
            <w:tcBorders>
              <w:top w:val="nil"/>
              <w:left w:val="nil"/>
              <w:bottom w:val="single" w:sz="4" w:space="0" w:color="auto"/>
              <w:right w:val="single" w:sz="4" w:space="0" w:color="auto"/>
            </w:tcBorders>
            <w:shd w:val="clear" w:color="auto" w:fill="auto"/>
            <w:vAlign w:val="center"/>
          </w:tcPr>
          <w:p w14:paraId="70809D2A" w14:textId="77777777" w:rsidR="0081359F" w:rsidRPr="00AE18F6" w:rsidRDefault="0081359F" w:rsidP="00AE2BC8">
            <w:pPr>
              <w:spacing w:after="0" w:line="240" w:lineRule="auto"/>
              <w:jc w:val="right"/>
              <w:rPr>
                <w:rFonts w:eastAsia="Times New Roman" w:cstheme="minorHAnsi"/>
                <w:color w:val="0000E1"/>
              </w:rPr>
            </w:pPr>
            <w:r w:rsidRPr="00AE18F6">
              <w:rPr>
                <w:color w:val="0000E1"/>
              </w:rPr>
              <w:t>-0.0631</w:t>
            </w:r>
          </w:p>
        </w:tc>
        <w:tc>
          <w:tcPr>
            <w:tcW w:w="798" w:type="dxa"/>
            <w:tcBorders>
              <w:top w:val="nil"/>
              <w:left w:val="nil"/>
              <w:bottom w:val="single" w:sz="4" w:space="0" w:color="auto"/>
              <w:right w:val="single" w:sz="4" w:space="0" w:color="auto"/>
            </w:tcBorders>
            <w:shd w:val="clear" w:color="auto" w:fill="auto"/>
            <w:vAlign w:val="center"/>
          </w:tcPr>
          <w:p w14:paraId="111A3DD6" w14:textId="77777777" w:rsidR="0081359F" w:rsidRPr="00AE18F6" w:rsidRDefault="0081359F" w:rsidP="00AE2BC8">
            <w:pPr>
              <w:spacing w:after="0" w:line="240" w:lineRule="auto"/>
              <w:jc w:val="right"/>
              <w:rPr>
                <w:rFonts w:eastAsia="Times New Roman" w:cstheme="minorHAnsi"/>
                <w:color w:val="0000E1"/>
              </w:rPr>
            </w:pPr>
            <w:r w:rsidRPr="00AE18F6">
              <w:rPr>
                <w:color w:val="0000E1"/>
              </w:rPr>
              <w:t>0.94</w:t>
            </w:r>
          </w:p>
        </w:tc>
        <w:tc>
          <w:tcPr>
            <w:tcW w:w="1142" w:type="dxa"/>
            <w:tcBorders>
              <w:top w:val="nil"/>
              <w:left w:val="nil"/>
              <w:bottom w:val="single" w:sz="4" w:space="0" w:color="auto"/>
              <w:right w:val="single" w:sz="4" w:space="0" w:color="auto"/>
            </w:tcBorders>
            <w:shd w:val="clear" w:color="auto" w:fill="auto"/>
            <w:vAlign w:val="center"/>
          </w:tcPr>
          <w:p w14:paraId="36C2EBAC"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0.90, 0.99</w:t>
            </w:r>
          </w:p>
        </w:tc>
        <w:tc>
          <w:tcPr>
            <w:tcW w:w="830" w:type="dxa"/>
            <w:tcBorders>
              <w:top w:val="nil"/>
              <w:left w:val="nil"/>
              <w:bottom w:val="single" w:sz="4" w:space="0" w:color="auto"/>
              <w:right w:val="single" w:sz="4" w:space="0" w:color="auto"/>
            </w:tcBorders>
            <w:shd w:val="clear" w:color="auto" w:fill="auto"/>
            <w:vAlign w:val="center"/>
          </w:tcPr>
          <w:p w14:paraId="6ED7F069"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0.0105</w:t>
            </w:r>
          </w:p>
        </w:tc>
      </w:tr>
      <w:tr w:rsidR="0081359F" w:rsidRPr="00AE18F6" w14:paraId="33612F61" w14:textId="77777777" w:rsidTr="00AE2BC8">
        <w:trPr>
          <w:trHeight w:val="247"/>
        </w:trPr>
        <w:tc>
          <w:tcPr>
            <w:tcW w:w="2292" w:type="dxa"/>
            <w:tcBorders>
              <w:top w:val="nil"/>
              <w:left w:val="single" w:sz="4" w:space="0" w:color="auto"/>
              <w:bottom w:val="single" w:sz="4" w:space="0" w:color="auto"/>
              <w:right w:val="single" w:sz="4" w:space="0" w:color="auto"/>
            </w:tcBorders>
            <w:shd w:val="clear" w:color="auto" w:fill="auto"/>
            <w:vAlign w:val="center"/>
            <w:hideMark/>
          </w:tcPr>
          <w:p w14:paraId="3A1CFBE0" w14:textId="77777777" w:rsidR="0081359F" w:rsidRPr="00AE18F6" w:rsidRDefault="0081359F" w:rsidP="0081359F">
            <w:pPr>
              <w:spacing w:after="0" w:line="240" w:lineRule="auto"/>
              <w:jc w:val="right"/>
              <w:rPr>
                <w:rFonts w:eastAsia="Times New Roman" w:cstheme="minorHAnsi"/>
                <w:color w:val="0000E1"/>
              </w:rPr>
            </w:pPr>
            <w:r w:rsidRPr="00AE18F6">
              <w:rPr>
                <w:rFonts w:eastAsia="Times New Roman" w:cstheme="minorHAnsi"/>
                <w:color w:val="0000E1"/>
              </w:rPr>
              <w:t>55-64</w:t>
            </w:r>
          </w:p>
        </w:tc>
        <w:tc>
          <w:tcPr>
            <w:tcW w:w="1017" w:type="dxa"/>
            <w:tcBorders>
              <w:top w:val="nil"/>
              <w:left w:val="nil"/>
              <w:bottom w:val="single" w:sz="4" w:space="0" w:color="auto"/>
              <w:right w:val="single" w:sz="4" w:space="0" w:color="auto"/>
            </w:tcBorders>
            <w:shd w:val="clear" w:color="auto" w:fill="auto"/>
            <w:vAlign w:val="center"/>
          </w:tcPr>
          <w:p w14:paraId="04F797D2" w14:textId="77777777" w:rsidR="0081359F" w:rsidRPr="00AE18F6" w:rsidRDefault="0081359F" w:rsidP="00AE2BC8">
            <w:pPr>
              <w:spacing w:after="0" w:line="240" w:lineRule="auto"/>
              <w:jc w:val="right"/>
              <w:rPr>
                <w:rFonts w:eastAsia="Times New Roman" w:cstheme="minorHAnsi"/>
                <w:color w:val="0000E1"/>
              </w:rPr>
            </w:pPr>
            <w:r w:rsidRPr="00AE18F6">
              <w:rPr>
                <w:rFonts w:ascii="Calibri" w:hAnsi="Calibri" w:cs="Calibri"/>
                <w:color w:val="0000E1"/>
              </w:rPr>
              <w:t>-0.2826</w:t>
            </w:r>
          </w:p>
        </w:tc>
        <w:tc>
          <w:tcPr>
            <w:tcW w:w="883" w:type="dxa"/>
            <w:tcBorders>
              <w:top w:val="nil"/>
              <w:left w:val="nil"/>
              <w:bottom w:val="single" w:sz="4" w:space="0" w:color="auto"/>
              <w:right w:val="single" w:sz="4" w:space="0" w:color="auto"/>
            </w:tcBorders>
            <w:shd w:val="clear" w:color="auto" w:fill="auto"/>
            <w:vAlign w:val="center"/>
          </w:tcPr>
          <w:p w14:paraId="298805CB" w14:textId="77777777" w:rsidR="0081359F" w:rsidRPr="00AE18F6" w:rsidRDefault="0081359F" w:rsidP="00AE2BC8">
            <w:pPr>
              <w:spacing w:after="0" w:line="240" w:lineRule="auto"/>
              <w:jc w:val="right"/>
              <w:rPr>
                <w:rFonts w:eastAsia="Times New Roman" w:cstheme="minorHAnsi"/>
                <w:color w:val="0000E1"/>
              </w:rPr>
            </w:pPr>
            <w:r w:rsidRPr="00AE18F6">
              <w:rPr>
                <w:rFonts w:ascii="Calibri" w:hAnsi="Calibri" w:cs="Calibri"/>
                <w:color w:val="0000E1"/>
              </w:rPr>
              <w:t>0.75</w:t>
            </w:r>
          </w:p>
        </w:tc>
        <w:tc>
          <w:tcPr>
            <w:tcW w:w="1142" w:type="dxa"/>
            <w:tcBorders>
              <w:top w:val="nil"/>
              <w:left w:val="nil"/>
              <w:bottom w:val="single" w:sz="4" w:space="0" w:color="auto"/>
              <w:right w:val="single" w:sz="4" w:space="0" w:color="auto"/>
            </w:tcBorders>
            <w:shd w:val="clear" w:color="auto" w:fill="auto"/>
            <w:vAlign w:val="center"/>
          </w:tcPr>
          <w:p w14:paraId="6253008E" w14:textId="77777777" w:rsidR="0081359F" w:rsidRPr="00AE18F6" w:rsidRDefault="0081359F" w:rsidP="00AE2BC8">
            <w:pPr>
              <w:spacing w:after="0" w:line="240" w:lineRule="auto"/>
              <w:jc w:val="right"/>
              <w:rPr>
                <w:rFonts w:eastAsia="Times New Roman" w:cstheme="minorHAnsi"/>
                <w:color w:val="0000E1"/>
              </w:rPr>
            </w:pPr>
            <w:r w:rsidRPr="00AE18F6">
              <w:rPr>
                <w:color w:val="0000E1"/>
              </w:rPr>
              <w:t>0.74, 0.77</w:t>
            </w:r>
          </w:p>
        </w:tc>
        <w:tc>
          <w:tcPr>
            <w:tcW w:w="1076" w:type="dxa"/>
            <w:tcBorders>
              <w:top w:val="nil"/>
              <w:left w:val="nil"/>
              <w:bottom w:val="single" w:sz="4" w:space="0" w:color="auto"/>
              <w:right w:val="single" w:sz="4" w:space="0" w:color="auto"/>
            </w:tcBorders>
            <w:shd w:val="clear" w:color="auto" w:fill="auto"/>
            <w:vAlign w:val="center"/>
          </w:tcPr>
          <w:p w14:paraId="25493030" w14:textId="77777777" w:rsidR="0081359F" w:rsidRPr="00AE18F6" w:rsidRDefault="0081359F" w:rsidP="00AE2BC8">
            <w:pPr>
              <w:spacing w:after="0" w:line="240" w:lineRule="auto"/>
              <w:jc w:val="right"/>
              <w:rPr>
                <w:rFonts w:eastAsia="Times New Roman" w:cstheme="minorHAnsi"/>
                <w:color w:val="0000E1"/>
              </w:rPr>
            </w:pPr>
            <w:r w:rsidRPr="00AE18F6">
              <w:rPr>
                <w:color w:val="0000E1"/>
              </w:rPr>
              <w:t>0.0857</w:t>
            </w:r>
          </w:p>
        </w:tc>
        <w:tc>
          <w:tcPr>
            <w:tcW w:w="798" w:type="dxa"/>
            <w:tcBorders>
              <w:top w:val="nil"/>
              <w:left w:val="nil"/>
              <w:bottom w:val="single" w:sz="4" w:space="0" w:color="auto"/>
              <w:right w:val="single" w:sz="4" w:space="0" w:color="auto"/>
            </w:tcBorders>
            <w:shd w:val="clear" w:color="auto" w:fill="auto"/>
            <w:vAlign w:val="center"/>
          </w:tcPr>
          <w:p w14:paraId="03CA6ACC" w14:textId="77777777" w:rsidR="0081359F" w:rsidRPr="00AE18F6" w:rsidRDefault="0081359F" w:rsidP="00AE2BC8">
            <w:pPr>
              <w:spacing w:after="0" w:line="240" w:lineRule="auto"/>
              <w:jc w:val="right"/>
              <w:rPr>
                <w:rFonts w:eastAsia="Times New Roman" w:cstheme="minorHAnsi"/>
                <w:color w:val="0000E1"/>
              </w:rPr>
            </w:pPr>
            <w:r w:rsidRPr="00AE18F6">
              <w:rPr>
                <w:color w:val="0000E1"/>
              </w:rPr>
              <w:t>1.09</w:t>
            </w:r>
          </w:p>
        </w:tc>
        <w:tc>
          <w:tcPr>
            <w:tcW w:w="1142" w:type="dxa"/>
            <w:tcBorders>
              <w:top w:val="nil"/>
              <w:left w:val="nil"/>
              <w:bottom w:val="single" w:sz="4" w:space="0" w:color="auto"/>
              <w:right w:val="single" w:sz="4" w:space="0" w:color="auto"/>
            </w:tcBorders>
            <w:shd w:val="clear" w:color="auto" w:fill="auto"/>
            <w:vAlign w:val="center"/>
          </w:tcPr>
          <w:p w14:paraId="076FC0EC"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1.05, 1.13</w:t>
            </w:r>
          </w:p>
        </w:tc>
        <w:tc>
          <w:tcPr>
            <w:tcW w:w="830" w:type="dxa"/>
            <w:tcBorders>
              <w:top w:val="nil"/>
              <w:left w:val="nil"/>
              <w:bottom w:val="single" w:sz="4" w:space="0" w:color="auto"/>
              <w:right w:val="single" w:sz="4" w:space="0" w:color="auto"/>
            </w:tcBorders>
            <w:shd w:val="clear" w:color="auto" w:fill="auto"/>
            <w:vAlign w:val="center"/>
          </w:tcPr>
          <w:p w14:paraId="6548C2AC"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&lt;.0001</w:t>
            </w:r>
          </w:p>
        </w:tc>
      </w:tr>
      <w:tr w:rsidR="0081359F" w:rsidRPr="00AE18F6" w14:paraId="233DF442" w14:textId="77777777" w:rsidTr="00AE2BC8">
        <w:trPr>
          <w:trHeight w:val="247"/>
        </w:trPr>
        <w:tc>
          <w:tcPr>
            <w:tcW w:w="2292" w:type="dxa"/>
            <w:tcBorders>
              <w:top w:val="nil"/>
              <w:left w:val="single" w:sz="4" w:space="0" w:color="auto"/>
              <w:bottom w:val="single" w:sz="4" w:space="0" w:color="auto"/>
              <w:right w:val="single" w:sz="4" w:space="0" w:color="auto"/>
            </w:tcBorders>
            <w:shd w:val="clear" w:color="auto" w:fill="auto"/>
            <w:vAlign w:val="center"/>
            <w:hideMark/>
          </w:tcPr>
          <w:p w14:paraId="32636F7C" w14:textId="77777777" w:rsidR="0081359F" w:rsidRPr="00AE18F6" w:rsidRDefault="0081359F" w:rsidP="0081359F">
            <w:pPr>
              <w:spacing w:after="0" w:line="240" w:lineRule="auto"/>
              <w:jc w:val="right"/>
              <w:rPr>
                <w:rFonts w:eastAsia="Times New Roman" w:cstheme="minorHAnsi"/>
                <w:color w:val="0000E1"/>
              </w:rPr>
            </w:pPr>
            <w:r w:rsidRPr="00AE18F6">
              <w:rPr>
                <w:rFonts w:eastAsia="Times New Roman" w:cstheme="minorHAnsi"/>
                <w:color w:val="0000E1"/>
              </w:rPr>
              <w:t>65-69</w:t>
            </w:r>
          </w:p>
        </w:tc>
        <w:tc>
          <w:tcPr>
            <w:tcW w:w="1017" w:type="dxa"/>
            <w:tcBorders>
              <w:top w:val="nil"/>
              <w:left w:val="nil"/>
              <w:bottom w:val="single" w:sz="4" w:space="0" w:color="auto"/>
              <w:right w:val="single" w:sz="4" w:space="0" w:color="auto"/>
            </w:tcBorders>
            <w:shd w:val="clear" w:color="auto" w:fill="auto"/>
            <w:vAlign w:val="center"/>
          </w:tcPr>
          <w:p w14:paraId="2BB8BA52" w14:textId="77777777" w:rsidR="0081359F" w:rsidRPr="00AE18F6" w:rsidRDefault="0081359F" w:rsidP="00AE2BC8">
            <w:pPr>
              <w:spacing w:after="0" w:line="240" w:lineRule="auto"/>
              <w:jc w:val="right"/>
              <w:rPr>
                <w:rFonts w:eastAsia="Times New Roman" w:cstheme="minorHAnsi"/>
                <w:color w:val="0000E1"/>
              </w:rPr>
            </w:pPr>
            <w:r w:rsidRPr="00AE18F6">
              <w:rPr>
                <w:rFonts w:ascii="Calibri" w:hAnsi="Calibri" w:cs="Calibri"/>
                <w:color w:val="0000E1"/>
              </w:rPr>
              <w:t>-0.1156</w:t>
            </w:r>
          </w:p>
        </w:tc>
        <w:tc>
          <w:tcPr>
            <w:tcW w:w="883" w:type="dxa"/>
            <w:tcBorders>
              <w:top w:val="nil"/>
              <w:left w:val="nil"/>
              <w:bottom w:val="single" w:sz="4" w:space="0" w:color="auto"/>
              <w:right w:val="single" w:sz="4" w:space="0" w:color="auto"/>
            </w:tcBorders>
            <w:shd w:val="clear" w:color="auto" w:fill="auto"/>
            <w:vAlign w:val="center"/>
          </w:tcPr>
          <w:p w14:paraId="68D0A032" w14:textId="77777777" w:rsidR="0081359F" w:rsidRPr="00AE18F6" w:rsidRDefault="0081359F" w:rsidP="00AE2BC8">
            <w:pPr>
              <w:spacing w:after="0" w:line="240" w:lineRule="auto"/>
              <w:jc w:val="right"/>
              <w:rPr>
                <w:rFonts w:eastAsia="Times New Roman" w:cstheme="minorHAnsi"/>
                <w:color w:val="0000E1"/>
              </w:rPr>
            </w:pPr>
            <w:r w:rsidRPr="00AE18F6">
              <w:rPr>
                <w:rFonts w:ascii="Calibri" w:hAnsi="Calibri" w:cs="Calibri"/>
                <w:color w:val="0000E1"/>
              </w:rPr>
              <w:t>0.89</w:t>
            </w:r>
          </w:p>
        </w:tc>
        <w:tc>
          <w:tcPr>
            <w:tcW w:w="1142" w:type="dxa"/>
            <w:tcBorders>
              <w:top w:val="nil"/>
              <w:left w:val="nil"/>
              <w:bottom w:val="single" w:sz="4" w:space="0" w:color="auto"/>
              <w:right w:val="single" w:sz="4" w:space="0" w:color="auto"/>
            </w:tcBorders>
            <w:shd w:val="clear" w:color="auto" w:fill="auto"/>
            <w:vAlign w:val="center"/>
          </w:tcPr>
          <w:p w14:paraId="269E9826" w14:textId="77777777" w:rsidR="0081359F" w:rsidRPr="00AE18F6" w:rsidRDefault="0081359F" w:rsidP="00AE2BC8">
            <w:pPr>
              <w:spacing w:after="0" w:line="240" w:lineRule="auto"/>
              <w:jc w:val="right"/>
              <w:rPr>
                <w:rFonts w:eastAsia="Times New Roman" w:cstheme="minorHAnsi"/>
                <w:color w:val="0000E1"/>
              </w:rPr>
            </w:pPr>
            <w:r w:rsidRPr="00AE18F6">
              <w:rPr>
                <w:color w:val="0000E1"/>
              </w:rPr>
              <w:t>0.88, 0.91</w:t>
            </w:r>
          </w:p>
        </w:tc>
        <w:tc>
          <w:tcPr>
            <w:tcW w:w="1076" w:type="dxa"/>
            <w:tcBorders>
              <w:top w:val="nil"/>
              <w:left w:val="nil"/>
              <w:bottom w:val="single" w:sz="4" w:space="0" w:color="auto"/>
              <w:right w:val="single" w:sz="4" w:space="0" w:color="auto"/>
            </w:tcBorders>
            <w:shd w:val="clear" w:color="auto" w:fill="auto"/>
            <w:vAlign w:val="center"/>
          </w:tcPr>
          <w:p w14:paraId="2D3FB88E" w14:textId="77777777" w:rsidR="0081359F" w:rsidRPr="00AE18F6" w:rsidRDefault="0081359F" w:rsidP="00AE2BC8">
            <w:pPr>
              <w:spacing w:after="0" w:line="240" w:lineRule="auto"/>
              <w:jc w:val="right"/>
              <w:rPr>
                <w:rFonts w:eastAsia="Times New Roman" w:cstheme="minorHAnsi"/>
                <w:color w:val="0000E1"/>
              </w:rPr>
            </w:pPr>
            <w:r w:rsidRPr="00AE18F6">
              <w:rPr>
                <w:color w:val="0000E1"/>
              </w:rPr>
              <w:t>-0.1408</w:t>
            </w:r>
          </w:p>
        </w:tc>
        <w:tc>
          <w:tcPr>
            <w:tcW w:w="798" w:type="dxa"/>
            <w:tcBorders>
              <w:top w:val="nil"/>
              <w:left w:val="nil"/>
              <w:bottom w:val="single" w:sz="4" w:space="0" w:color="auto"/>
              <w:right w:val="single" w:sz="4" w:space="0" w:color="auto"/>
            </w:tcBorders>
            <w:shd w:val="clear" w:color="auto" w:fill="auto"/>
            <w:vAlign w:val="center"/>
          </w:tcPr>
          <w:p w14:paraId="0097F5C2" w14:textId="77777777" w:rsidR="0081359F" w:rsidRPr="00AE18F6" w:rsidRDefault="0081359F" w:rsidP="00AE2BC8">
            <w:pPr>
              <w:spacing w:after="0" w:line="240" w:lineRule="auto"/>
              <w:jc w:val="right"/>
              <w:rPr>
                <w:rFonts w:eastAsia="Times New Roman" w:cstheme="minorHAnsi"/>
                <w:color w:val="0000E1"/>
              </w:rPr>
            </w:pPr>
            <w:r w:rsidRPr="00AE18F6">
              <w:rPr>
                <w:color w:val="0000E1"/>
              </w:rPr>
              <w:t>0.87</w:t>
            </w:r>
          </w:p>
        </w:tc>
        <w:tc>
          <w:tcPr>
            <w:tcW w:w="1142" w:type="dxa"/>
            <w:tcBorders>
              <w:top w:val="nil"/>
              <w:left w:val="nil"/>
              <w:bottom w:val="single" w:sz="4" w:space="0" w:color="auto"/>
              <w:right w:val="single" w:sz="4" w:space="0" w:color="auto"/>
            </w:tcBorders>
            <w:shd w:val="clear" w:color="auto" w:fill="auto"/>
            <w:vAlign w:val="center"/>
          </w:tcPr>
          <w:p w14:paraId="60BBC29B"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0.85, 0.88</w:t>
            </w:r>
          </w:p>
        </w:tc>
        <w:tc>
          <w:tcPr>
            <w:tcW w:w="830" w:type="dxa"/>
            <w:tcBorders>
              <w:top w:val="nil"/>
              <w:left w:val="nil"/>
              <w:bottom w:val="single" w:sz="4" w:space="0" w:color="auto"/>
              <w:right w:val="single" w:sz="4" w:space="0" w:color="auto"/>
            </w:tcBorders>
            <w:shd w:val="clear" w:color="auto" w:fill="auto"/>
            <w:vAlign w:val="center"/>
          </w:tcPr>
          <w:p w14:paraId="1E2597D1"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&lt;.0001</w:t>
            </w:r>
          </w:p>
        </w:tc>
      </w:tr>
      <w:tr w:rsidR="0081359F" w:rsidRPr="00AE18F6" w14:paraId="1FC898D3" w14:textId="77777777" w:rsidTr="00AE2BC8">
        <w:trPr>
          <w:trHeight w:val="247"/>
        </w:trPr>
        <w:tc>
          <w:tcPr>
            <w:tcW w:w="2292" w:type="dxa"/>
            <w:tcBorders>
              <w:top w:val="nil"/>
              <w:left w:val="single" w:sz="4" w:space="0" w:color="auto"/>
              <w:bottom w:val="single" w:sz="4" w:space="0" w:color="auto"/>
              <w:right w:val="single" w:sz="4" w:space="0" w:color="auto"/>
            </w:tcBorders>
            <w:shd w:val="clear" w:color="auto" w:fill="auto"/>
            <w:vAlign w:val="center"/>
            <w:hideMark/>
          </w:tcPr>
          <w:p w14:paraId="1AD05ED2" w14:textId="77777777" w:rsidR="0081359F" w:rsidRPr="00AE18F6" w:rsidRDefault="0081359F" w:rsidP="0081359F">
            <w:pPr>
              <w:spacing w:after="0" w:line="240" w:lineRule="auto"/>
              <w:jc w:val="right"/>
              <w:rPr>
                <w:rFonts w:eastAsia="Times New Roman" w:cstheme="minorHAnsi"/>
                <w:color w:val="0000E1"/>
              </w:rPr>
            </w:pPr>
            <w:r w:rsidRPr="00AE18F6">
              <w:rPr>
                <w:rFonts w:eastAsia="Times New Roman" w:cstheme="minorHAnsi"/>
                <w:color w:val="0000E1"/>
              </w:rPr>
              <w:t>70-74</w:t>
            </w:r>
          </w:p>
        </w:tc>
        <w:tc>
          <w:tcPr>
            <w:tcW w:w="1017" w:type="dxa"/>
            <w:tcBorders>
              <w:top w:val="nil"/>
              <w:left w:val="nil"/>
              <w:bottom w:val="single" w:sz="4" w:space="0" w:color="auto"/>
              <w:right w:val="single" w:sz="4" w:space="0" w:color="auto"/>
            </w:tcBorders>
            <w:shd w:val="clear" w:color="auto" w:fill="auto"/>
            <w:vAlign w:val="center"/>
          </w:tcPr>
          <w:p w14:paraId="46D265C5" w14:textId="77777777" w:rsidR="0081359F" w:rsidRPr="00AE18F6" w:rsidRDefault="0081359F" w:rsidP="00AE2BC8">
            <w:pPr>
              <w:spacing w:after="0" w:line="240" w:lineRule="auto"/>
              <w:jc w:val="right"/>
              <w:rPr>
                <w:rFonts w:eastAsia="Times New Roman" w:cstheme="minorHAnsi"/>
                <w:color w:val="0000E1"/>
              </w:rPr>
            </w:pPr>
            <w:r w:rsidRPr="00AE18F6">
              <w:rPr>
                <w:rFonts w:ascii="Calibri" w:hAnsi="Calibri" w:cs="Calibri"/>
                <w:color w:val="0000E1"/>
              </w:rPr>
              <w:t>-0.0566</w:t>
            </w:r>
          </w:p>
        </w:tc>
        <w:tc>
          <w:tcPr>
            <w:tcW w:w="883" w:type="dxa"/>
            <w:tcBorders>
              <w:top w:val="nil"/>
              <w:left w:val="nil"/>
              <w:bottom w:val="single" w:sz="4" w:space="0" w:color="auto"/>
              <w:right w:val="single" w:sz="4" w:space="0" w:color="auto"/>
            </w:tcBorders>
            <w:shd w:val="clear" w:color="auto" w:fill="auto"/>
            <w:vAlign w:val="center"/>
          </w:tcPr>
          <w:p w14:paraId="10971B59" w14:textId="77777777" w:rsidR="0081359F" w:rsidRPr="00AE18F6" w:rsidRDefault="0081359F" w:rsidP="00AE2BC8">
            <w:pPr>
              <w:spacing w:after="0" w:line="240" w:lineRule="auto"/>
              <w:jc w:val="right"/>
              <w:rPr>
                <w:rFonts w:eastAsia="Times New Roman" w:cstheme="minorHAnsi"/>
                <w:color w:val="0000E1"/>
              </w:rPr>
            </w:pPr>
            <w:r w:rsidRPr="00AE18F6">
              <w:rPr>
                <w:rFonts w:ascii="Calibri" w:hAnsi="Calibri" w:cs="Calibri"/>
                <w:color w:val="0000E1"/>
              </w:rPr>
              <w:t>0.95</w:t>
            </w:r>
          </w:p>
        </w:tc>
        <w:tc>
          <w:tcPr>
            <w:tcW w:w="1142" w:type="dxa"/>
            <w:tcBorders>
              <w:top w:val="nil"/>
              <w:left w:val="nil"/>
              <w:bottom w:val="single" w:sz="4" w:space="0" w:color="auto"/>
              <w:right w:val="single" w:sz="4" w:space="0" w:color="auto"/>
            </w:tcBorders>
            <w:shd w:val="clear" w:color="auto" w:fill="auto"/>
            <w:vAlign w:val="center"/>
          </w:tcPr>
          <w:p w14:paraId="1000E493" w14:textId="77777777" w:rsidR="0081359F" w:rsidRPr="00AE18F6" w:rsidRDefault="0081359F" w:rsidP="00AE2BC8">
            <w:pPr>
              <w:spacing w:after="0" w:line="240" w:lineRule="auto"/>
              <w:jc w:val="right"/>
              <w:rPr>
                <w:rFonts w:eastAsia="Times New Roman" w:cstheme="minorHAnsi"/>
                <w:color w:val="0000E1"/>
              </w:rPr>
            </w:pPr>
            <w:r w:rsidRPr="00AE18F6">
              <w:rPr>
                <w:color w:val="0000E1"/>
              </w:rPr>
              <w:t>0.93, 0.96</w:t>
            </w:r>
          </w:p>
        </w:tc>
        <w:tc>
          <w:tcPr>
            <w:tcW w:w="1076" w:type="dxa"/>
            <w:tcBorders>
              <w:top w:val="nil"/>
              <w:left w:val="nil"/>
              <w:bottom w:val="single" w:sz="4" w:space="0" w:color="auto"/>
              <w:right w:val="single" w:sz="4" w:space="0" w:color="auto"/>
            </w:tcBorders>
            <w:shd w:val="clear" w:color="auto" w:fill="auto"/>
            <w:vAlign w:val="center"/>
          </w:tcPr>
          <w:p w14:paraId="0D4D9A92" w14:textId="77777777" w:rsidR="0081359F" w:rsidRPr="00AE18F6" w:rsidRDefault="0081359F" w:rsidP="00AE2BC8">
            <w:pPr>
              <w:spacing w:after="0" w:line="240" w:lineRule="auto"/>
              <w:jc w:val="right"/>
              <w:rPr>
                <w:rFonts w:eastAsia="Times New Roman" w:cstheme="minorHAnsi"/>
                <w:color w:val="0000E1"/>
              </w:rPr>
            </w:pPr>
            <w:r w:rsidRPr="00AE18F6">
              <w:rPr>
                <w:color w:val="0000E1"/>
              </w:rPr>
              <w:t>-0.0826</w:t>
            </w:r>
          </w:p>
        </w:tc>
        <w:tc>
          <w:tcPr>
            <w:tcW w:w="798" w:type="dxa"/>
            <w:tcBorders>
              <w:top w:val="nil"/>
              <w:left w:val="nil"/>
              <w:bottom w:val="single" w:sz="4" w:space="0" w:color="auto"/>
              <w:right w:val="single" w:sz="4" w:space="0" w:color="auto"/>
            </w:tcBorders>
            <w:shd w:val="clear" w:color="auto" w:fill="auto"/>
            <w:vAlign w:val="center"/>
          </w:tcPr>
          <w:p w14:paraId="752F8B3B" w14:textId="77777777" w:rsidR="0081359F" w:rsidRPr="00AE18F6" w:rsidRDefault="0081359F" w:rsidP="00AE2BC8">
            <w:pPr>
              <w:spacing w:after="0" w:line="240" w:lineRule="auto"/>
              <w:jc w:val="right"/>
              <w:rPr>
                <w:rFonts w:eastAsia="Times New Roman" w:cstheme="minorHAnsi"/>
                <w:color w:val="0000E1"/>
              </w:rPr>
            </w:pPr>
            <w:r w:rsidRPr="00AE18F6">
              <w:rPr>
                <w:color w:val="0000E1"/>
              </w:rPr>
              <w:t>0.92</w:t>
            </w:r>
          </w:p>
        </w:tc>
        <w:tc>
          <w:tcPr>
            <w:tcW w:w="1142" w:type="dxa"/>
            <w:tcBorders>
              <w:top w:val="nil"/>
              <w:left w:val="nil"/>
              <w:bottom w:val="single" w:sz="4" w:space="0" w:color="auto"/>
              <w:right w:val="single" w:sz="4" w:space="0" w:color="auto"/>
            </w:tcBorders>
            <w:shd w:val="clear" w:color="auto" w:fill="auto"/>
            <w:vAlign w:val="center"/>
          </w:tcPr>
          <w:p w14:paraId="3BFD5F7A"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0.91, 0.94</w:t>
            </w:r>
          </w:p>
        </w:tc>
        <w:tc>
          <w:tcPr>
            <w:tcW w:w="830" w:type="dxa"/>
            <w:tcBorders>
              <w:top w:val="nil"/>
              <w:left w:val="nil"/>
              <w:bottom w:val="single" w:sz="4" w:space="0" w:color="auto"/>
              <w:right w:val="single" w:sz="4" w:space="0" w:color="auto"/>
            </w:tcBorders>
            <w:shd w:val="clear" w:color="auto" w:fill="auto"/>
            <w:vAlign w:val="center"/>
          </w:tcPr>
          <w:p w14:paraId="0244ADB5"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&lt;.0001</w:t>
            </w:r>
          </w:p>
        </w:tc>
      </w:tr>
      <w:tr w:rsidR="0081359F" w:rsidRPr="00AE18F6" w14:paraId="46A7B5E6" w14:textId="77777777" w:rsidTr="00AE2BC8">
        <w:trPr>
          <w:trHeight w:val="247"/>
        </w:trPr>
        <w:tc>
          <w:tcPr>
            <w:tcW w:w="2292" w:type="dxa"/>
            <w:tcBorders>
              <w:top w:val="nil"/>
              <w:left w:val="single" w:sz="4" w:space="0" w:color="auto"/>
              <w:bottom w:val="single" w:sz="4" w:space="0" w:color="auto"/>
              <w:right w:val="single" w:sz="4" w:space="0" w:color="auto"/>
            </w:tcBorders>
            <w:shd w:val="clear" w:color="auto" w:fill="auto"/>
            <w:vAlign w:val="center"/>
            <w:hideMark/>
          </w:tcPr>
          <w:p w14:paraId="6D9BA69A" w14:textId="77777777" w:rsidR="0081359F" w:rsidRPr="00AE18F6" w:rsidRDefault="0081359F" w:rsidP="0081359F">
            <w:pPr>
              <w:spacing w:after="0" w:line="240" w:lineRule="auto"/>
              <w:jc w:val="right"/>
              <w:rPr>
                <w:rFonts w:eastAsia="Times New Roman" w:cstheme="minorHAnsi"/>
                <w:color w:val="0000E1"/>
              </w:rPr>
            </w:pPr>
            <w:r w:rsidRPr="00AE18F6">
              <w:rPr>
                <w:rFonts w:eastAsia="Times New Roman" w:cstheme="minorHAnsi"/>
                <w:color w:val="0000E1"/>
              </w:rPr>
              <w:t>75-79</w:t>
            </w:r>
          </w:p>
        </w:tc>
        <w:tc>
          <w:tcPr>
            <w:tcW w:w="1017" w:type="dxa"/>
            <w:tcBorders>
              <w:top w:val="nil"/>
              <w:left w:val="nil"/>
              <w:bottom w:val="single" w:sz="4" w:space="0" w:color="auto"/>
              <w:right w:val="single" w:sz="4" w:space="0" w:color="auto"/>
            </w:tcBorders>
            <w:shd w:val="clear" w:color="auto" w:fill="auto"/>
            <w:vAlign w:val="center"/>
          </w:tcPr>
          <w:p w14:paraId="07534B86" w14:textId="77777777" w:rsidR="0081359F" w:rsidRPr="00AE18F6" w:rsidRDefault="0081359F" w:rsidP="00AE2BC8">
            <w:pPr>
              <w:spacing w:after="0" w:line="240" w:lineRule="auto"/>
              <w:jc w:val="right"/>
              <w:rPr>
                <w:rFonts w:eastAsia="Times New Roman" w:cstheme="minorHAnsi"/>
                <w:color w:val="0000E1"/>
              </w:rPr>
            </w:pPr>
            <w:r w:rsidRPr="00AE18F6">
              <w:rPr>
                <w:rFonts w:ascii="Calibri" w:hAnsi="Calibri" w:cs="Calibri"/>
                <w:color w:val="0000E1"/>
              </w:rPr>
              <w:t>-0.0543</w:t>
            </w:r>
          </w:p>
        </w:tc>
        <w:tc>
          <w:tcPr>
            <w:tcW w:w="883" w:type="dxa"/>
            <w:tcBorders>
              <w:top w:val="nil"/>
              <w:left w:val="nil"/>
              <w:bottom w:val="single" w:sz="4" w:space="0" w:color="auto"/>
              <w:right w:val="single" w:sz="4" w:space="0" w:color="auto"/>
            </w:tcBorders>
            <w:shd w:val="clear" w:color="auto" w:fill="auto"/>
            <w:vAlign w:val="center"/>
          </w:tcPr>
          <w:p w14:paraId="2185049C" w14:textId="77777777" w:rsidR="0081359F" w:rsidRPr="00AE18F6" w:rsidRDefault="0081359F" w:rsidP="00AE2BC8">
            <w:pPr>
              <w:spacing w:after="0" w:line="240" w:lineRule="auto"/>
              <w:jc w:val="right"/>
              <w:rPr>
                <w:rFonts w:eastAsia="Times New Roman" w:cstheme="minorHAnsi"/>
                <w:color w:val="0000E1"/>
              </w:rPr>
            </w:pPr>
            <w:r w:rsidRPr="00AE18F6">
              <w:rPr>
                <w:rFonts w:ascii="Calibri" w:hAnsi="Calibri" w:cs="Calibri"/>
                <w:color w:val="0000E1"/>
              </w:rPr>
              <w:t>0.95</w:t>
            </w:r>
          </w:p>
        </w:tc>
        <w:tc>
          <w:tcPr>
            <w:tcW w:w="1142" w:type="dxa"/>
            <w:tcBorders>
              <w:top w:val="nil"/>
              <w:left w:val="nil"/>
              <w:bottom w:val="single" w:sz="4" w:space="0" w:color="auto"/>
              <w:right w:val="single" w:sz="4" w:space="0" w:color="auto"/>
            </w:tcBorders>
            <w:shd w:val="clear" w:color="auto" w:fill="auto"/>
            <w:vAlign w:val="center"/>
          </w:tcPr>
          <w:p w14:paraId="070E9F9B" w14:textId="77777777" w:rsidR="0081359F" w:rsidRPr="00AE18F6" w:rsidRDefault="0081359F" w:rsidP="00AE2BC8">
            <w:pPr>
              <w:spacing w:after="0" w:line="240" w:lineRule="auto"/>
              <w:jc w:val="right"/>
              <w:rPr>
                <w:rFonts w:eastAsia="Times New Roman" w:cstheme="minorHAnsi"/>
                <w:color w:val="0000E1"/>
              </w:rPr>
            </w:pPr>
            <w:r w:rsidRPr="00AE18F6">
              <w:rPr>
                <w:color w:val="0000E1"/>
              </w:rPr>
              <w:t>0.93, 0.97</w:t>
            </w:r>
          </w:p>
        </w:tc>
        <w:tc>
          <w:tcPr>
            <w:tcW w:w="1076" w:type="dxa"/>
            <w:tcBorders>
              <w:top w:val="nil"/>
              <w:left w:val="nil"/>
              <w:bottom w:val="single" w:sz="4" w:space="0" w:color="auto"/>
              <w:right w:val="single" w:sz="4" w:space="0" w:color="auto"/>
            </w:tcBorders>
            <w:shd w:val="clear" w:color="auto" w:fill="auto"/>
            <w:vAlign w:val="center"/>
          </w:tcPr>
          <w:p w14:paraId="570DA2FF" w14:textId="77777777" w:rsidR="0081359F" w:rsidRPr="00AE18F6" w:rsidRDefault="0081359F" w:rsidP="00AE2BC8">
            <w:pPr>
              <w:spacing w:after="0" w:line="240" w:lineRule="auto"/>
              <w:jc w:val="right"/>
              <w:rPr>
                <w:rFonts w:eastAsia="Times New Roman" w:cstheme="minorHAnsi"/>
                <w:color w:val="0000E1"/>
              </w:rPr>
            </w:pPr>
            <w:r w:rsidRPr="00AE18F6">
              <w:rPr>
                <w:color w:val="0000E1"/>
              </w:rPr>
              <w:t>-0.0734</w:t>
            </w:r>
          </w:p>
        </w:tc>
        <w:tc>
          <w:tcPr>
            <w:tcW w:w="798" w:type="dxa"/>
            <w:tcBorders>
              <w:top w:val="nil"/>
              <w:left w:val="nil"/>
              <w:bottom w:val="single" w:sz="4" w:space="0" w:color="auto"/>
              <w:right w:val="single" w:sz="4" w:space="0" w:color="auto"/>
            </w:tcBorders>
            <w:shd w:val="clear" w:color="auto" w:fill="auto"/>
            <w:vAlign w:val="center"/>
          </w:tcPr>
          <w:p w14:paraId="4132F87D" w14:textId="77777777" w:rsidR="0081359F" w:rsidRPr="00AE18F6" w:rsidRDefault="0081359F" w:rsidP="00AE2BC8">
            <w:pPr>
              <w:spacing w:after="0" w:line="240" w:lineRule="auto"/>
              <w:jc w:val="right"/>
              <w:rPr>
                <w:rFonts w:eastAsia="Times New Roman" w:cstheme="minorHAnsi"/>
                <w:color w:val="0000E1"/>
              </w:rPr>
            </w:pPr>
            <w:r w:rsidRPr="00AE18F6">
              <w:rPr>
                <w:color w:val="0000E1"/>
              </w:rPr>
              <w:t>0.93</w:t>
            </w:r>
          </w:p>
        </w:tc>
        <w:tc>
          <w:tcPr>
            <w:tcW w:w="1142" w:type="dxa"/>
            <w:tcBorders>
              <w:top w:val="nil"/>
              <w:left w:val="nil"/>
              <w:bottom w:val="single" w:sz="4" w:space="0" w:color="auto"/>
              <w:right w:val="single" w:sz="4" w:space="0" w:color="auto"/>
            </w:tcBorders>
            <w:shd w:val="clear" w:color="auto" w:fill="auto"/>
            <w:vAlign w:val="center"/>
          </w:tcPr>
          <w:p w14:paraId="5B73A3CF"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0.91, 0.95</w:t>
            </w:r>
          </w:p>
        </w:tc>
        <w:tc>
          <w:tcPr>
            <w:tcW w:w="830" w:type="dxa"/>
            <w:tcBorders>
              <w:top w:val="nil"/>
              <w:left w:val="nil"/>
              <w:bottom w:val="single" w:sz="4" w:space="0" w:color="auto"/>
              <w:right w:val="single" w:sz="4" w:space="0" w:color="auto"/>
            </w:tcBorders>
            <w:shd w:val="clear" w:color="auto" w:fill="auto"/>
            <w:vAlign w:val="center"/>
          </w:tcPr>
          <w:p w14:paraId="7E601237"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&lt;.0001</w:t>
            </w:r>
          </w:p>
        </w:tc>
      </w:tr>
      <w:tr w:rsidR="0081359F" w:rsidRPr="00AE18F6" w14:paraId="6F7C75CB" w14:textId="77777777" w:rsidTr="00AE2BC8">
        <w:trPr>
          <w:trHeight w:val="247"/>
        </w:trPr>
        <w:tc>
          <w:tcPr>
            <w:tcW w:w="2292" w:type="dxa"/>
            <w:tcBorders>
              <w:top w:val="nil"/>
              <w:left w:val="single" w:sz="4" w:space="0" w:color="auto"/>
              <w:bottom w:val="single" w:sz="4" w:space="0" w:color="auto"/>
              <w:right w:val="single" w:sz="4" w:space="0" w:color="auto"/>
            </w:tcBorders>
            <w:shd w:val="clear" w:color="auto" w:fill="auto"/>
            <w:vAlign w:val="center"/>
            <w:hideMark/>
          </w:tcPr>
          <w:p w14:paraId="2AFA2461" w14:textId="77777777" w:rsidR="0081359F" w:rsidRPr="00AE18F6" w:rsidRDefault="0081359F" w:rsidP="0081359F">
            <w:pPr>
              <w:spacing w:after="0" w:line="240" w:lineRule="auto"/>
              <w:rPr>
                <w:rFonts w:eastAsia="Times New Roman" w:cstheme="minorHAnsi"/>
                <w:bCs/>
                <w:color w:val="0000E1"/>
              </w:rPr>
            </w:pPr>
            <w:r w:rsidRPr="00AE18F6">
              <w:rPr>
                <w:rFonts w:eastAsia="Times New Roman" w:cstheme="minorHAnsi"/>
                <w:bCs/>
                <w:color w:val="0000E1"/>
              </w:rPr>
              <w:t>Gender (Ref = Female)</w:t>
            </w:r>
          </w:p>
        </w:tc>
        <w:tc>
          <w:tcPr>
            <w:tcW w:w="1017" w:type="dxa"/>
            <w:tcBorders>
              <w:top w:val="nil"/>
              <w:left w:val="nil"/>
              <w:bottom w:val="single" w:sz="4" w:space="0" w:color="auto"/>
              <w:right w:val="single" w:sz="4" w:space="0" w:color="auto"/>
            </w:tcBorders>
            <w:shd w:val="clear" w:color="auto" w:fill="auto"/>
            <w:vAlign w:val="center"/>
          </w:tcPr>
          <w:p w14:paraId="59525F53" w14:textId="77777777" w:rsidR="0081359F" w:rsidRPr="00AE18F6" w:rsidRDefault="0081359F" w:rsidP="00AE2BC8">
            <w:pPr>
              <w:spacing w:after="0" w:line="240" w:lineRule="auto"/>
              <w:jc w:val="right"/>
              <w:rPr>
                <w:rFonts w:eastAsia="Times New Roman" w:cstheme="minorHAnsi"/>
                <w:color w:val="0000E1"/>
              </w:rPr>
            </w:pPr>
          </w:p>
        </w:tc>
        <w:tc>
          <w:tcPr>
            <w:tcW w:w="883" w:type="dxa"/>
            <w:tcBorders>
              <w:top w:val="nil"/>
              <w:left w:val="nil"/>
              <w:bottom w:val="single" w:sz="4" w:space="0" w:color="auto"/>
              <w:right w:val="single" w:sz="4" w:space="0" w:color="auto"/>
            </w:tcBorders>
            <w:shd w:val="clear" w:color="auto" w:fill="auto"/>
            <w:vAlign w:val="center"/>
          </w:tcPr>
          <w:p w14:paraId="481FD4EF" w14:textId="77777777" w:rsidR="0081359F" w:rsidRPr="00AE18F6" w:rsidRDefault="0081359F" w:rsidP="00AE2BC8">
            <w:pPr>
              <w:spacing w:after="0" w:line="240" w:lineRule="auto"/>
              <w:jc w:val="right"/>
              <w:rPr>
                <w:rFonts w:eastAsia="Times New Roman" w:cstheme="minorHAnsi"/>
                <w:color w:val="0000E1"/>
              </w:rPr>
            </w:pPr>
          </w:p>
        </w:tc>
        <w:tc>
          <w:tcPr>
            <w:tcW w:w="1142" w:type="dxa"/>
            <w:tcBorders>
              <w:top w:val="nil"/>
              <w:left w:val="nil"/>
              <w:bottom w:val="single" w:sz="4" w:space="0" w:color="auto"/>
              <w:right w:val="single" w:sz="4" w:space="0" w:color="auto"/>
            </w:tcBorders>
            <w:shd w:val="clear" w:color="auto" w:fill="auto"/>
            <w:vAlign w:val="center"/>
          </w:tcPr>
          <w:p w14:paraId="0838B03E" w14:textId="77777777" w:rsidR="0081359F" w:rsidRPr="00AE18F6" w:rsidRDefault="0081359F" w:rsidP="00AE2BC8">
            <w:pPr>
              <w:spacing w:after="0" w:line="240" w:lineRule="auto"/>
              <w:jc w:val="right"/>
              <w:rPr>
                <w:rFonts w:eastAsia="Times New Roman" w:cstheme="minorHAnsi"/>
                <w:color w:val="0000E1"/>
              </w:rPr>
            </w:pPr>
          </w:p>
        </w:tc>
        <w:tc>
          <w:tcPr>
            <w:tcW w:w="1076" w:type="dxa"/>
            <w:tcBorders>
              <w:top w:val="nil"/>
              <w:left w:val="nil"/>
              <w:bottom w:val="single" w:sz="4" w:space="0" w:color="auto"/>
              <w:right w:val="single" w:sz="4" w:space="0" w:color="auto"/>
            </w:tcBorders>
            <w:shd w:val="clear" w:color="auto" w:fill="auto"/>
            <w:vAlign w:val="center"/>
          </w:tcPr>
          <w:p w14:paraId="01CDDEB8" w14:textId="77777777" w:rsidR="0081359F" w:rsidRPr="00AE18F6" w:rsidRDefault="0081359F" w:rsidP="00AE2BC8">
            <w:pPr>
              <w:spacing w:after="0" w:line="240" w:lineRule="auto"/>
              <w:jc w:val="right"/>
              <w:rPr>
                <w:rFonts w:eastAsia="Times New Roman" w:cstheme="minorHAnsi"/>
                <w:color w:val="0000E1"/>
              </w:rPr>
            </w:pPr>
          </w:p>
        </w:tc>
        <w:tc>
          <w:tcPr>
            <w:tcW w:w="798" w:type="dxa"/>
            <w:tcBorders>
              <w:top w:val="nil"/>
              <w:left w:val="nil"/>
              <w:bottom w:val="single" w:sz="4" w:space="0" w:color="auto"/>
              <w:right w:val="single" w:sz="4" w:space="0" w:color="auto"/>
            </w:tcBorders>
            <w:shd w:val="clear" w:color="auto" w:fill="auto"/>
            <w:vAlign w:val="center"/>
          </w:tcPr>
          <w:p w14:paraId="51E5E20E" w14:textId="77777777" w:rsidR="0081359F" w:rsidRPr="00AE18F6" w:rsidRDefault="0081359F" w:rsidP="00AE2BC8">
            <w:pPr>
              <w:spacing w:after="0" w:line="240" w:lineRule="auto"/>
              <w:jc w:val="right"/>
              <w:rPr>
                <w:rFonts w:eastAsia="Times New Roman" w:cstheme="minorHAnsi"/>
                <w:color w:val="0000E1"/>
              </w:rPr>
            </w:pPr>
          </w:p>
        </w:tc>
        <w:tc>
          <w:tcPr>
            <w:tcW w:w="1142" w:type="dxa"/>
            <w:tcBorders>
              <w:top w:val="nil"/>
              <w:left w:val="nil"/>
              <w:bottom w:val="single" w:sz="4" w:space="0" w:color="auto"/>
              <w:right w:val="single" w:sz="4" w:space="0" w:color="auto"/>
            </w:tcBorders>
            <w:shd w:val="clear" w:color="auto" w:fill="auto"/>
            <w:vAlign w:val="center"/>
          </w:tcPr>
          <w:p w14:paraId="7B1E092D" w14:textId="77777777" w:rsidR="0081359F" w:rsidRPr="00AE18F6" w:rsidRDefault="0081359F" w:rsidP="00AE2BC8">
            <w:pPr>
              <w:spacing w:after="0" w:line="240" w:lineRule="auto"/>
              <w:jc w:val="right"/>
              <w:rPr>
                <w:rFonts w:eastAsia="Times New Roman" w:cstheme="minorHAnsi"/>
                <w:color w:val="0000E1"/>
              </w:rPr>
            </w:pPr>
          </w:p>
        </w:tc>
        <w:tc>
          <w:tcPr>
            <w:tcW w:w="830" w:type="dxa"/>
            <w:tcBorders>
              <w:top w:val="nil"/>
              <w:left w:val="nil"/>
              <w:bottom w:val="single" w:sz="4" w:space="0" w:color="auto"/>
              <w:right w:val="single" w:sz="4" w:space="0" w:color="auto"/>
            </w:tcBorders>
            <w:shd w:val="clear" w:color="auto" w:fill="auto"/>
            <w:vAlign w:val="center"/>
          </w:tcPr>
          <w:p w14:paraId="4A530F3D" w14:textId="77777777" w:rsidR="0081359F" w:rsidRPr="00AE18F6" w:rsidRDefault="0081359F" w:rsidP="00AE2BC8">
            <w:pPr>
              <w:spacing w:after="0" w:line="240" w:lineRule="auto"/>
              <w:jc w:val="right"/>
              <w:rPr>
                <w:rFonts w:eastAsia="Times New Roman" w:cstheme="minorHAnsi"/>
                <w:color w:val="0000E1"/>
              </w:rPr>
            </w:pPr>
          </w:p>
        </w:tc>
      </w:tr>
      <w:tr w:rsidR="0081359F" w:rsidRPr="00AE18F6" w14:paraId="290BF9F3" w14:textId="77777777" w:rsidTr="00AE2BC8">
        <w:trPr>
          <w:trHeight w:val="247"/>
        </w:trPr>
        <w:tc>
          <w:tcPr>
            <w:tcW w:w="2292" w:type="dxa"/>
            <w:tcBorders>
              <w:top w:val="nil"/>
              <w:left w:val="single" w:sz="4" w:space="0" w:color="auto"/>
              <w:bottom w:val="single" w:sz="4" w:space="0" w:color="auto"/>
              <w:right w:val="single" w:sz="4" w:space="0" w:color="auto"/>
            </w:tcBorders>
            <w:shd w:val="clear" w:color="auto" w:fill="auto"/>
            <w:vAlign w:val="center"/>
            <w:hideMark/>
          </w:tcPr>
          <w:p w14:paraId="14BFD666" w14:textId="77777777" w:rsidR="0081359F" w:rsidRPr="00AE18F6" w:rsidRDefault="0081359F" w:rsidP="0081359F">
            <w:pPr>
              <w:spacing w:after="0" w:line="240" w:lineRule="auto"/>
              <w:jc w:val="right"/>
              <w:rPr>
                <w:rFonts w:eastAsia="Times New Roman" w:cstheme="minorHAnsi"/>
                <w:color w:val="0000E1"/>
              </w:rPr>
            </w:pPr>
            <w:r w:rsidRPr="00AE18F6">
              <w:rPr>
                <w:rFonts w:eastAsia="Times New Roman" w:cstheme="minorHAnsi"/>
                <w:color w:val="0000E1"/>
              </w:rPr>
              <w:t>Male</w:t>
            </w:r>
          </w:p>
        </w:tc>
        <w:tc>
          <w:tcPr>
            <w:tcW w:w="1017" w:type="dxa"/>
            <w:tcBorders>
              <w:top w:val="nil"/>
              <w:left w:val="nil"/>
              <w:bottom w:val="single" w:sz="4" w:space="0" w:color="auto"/>
              <w:right w:val="single" w:sz="4" w:space="0" w:color="auto"/>
            </w:tcBorders>
            <w:shd w:val="clear" w:color="auto" w:fill="auto"/>
            <w:vAlign w:val="center"/>
          </w:tcPr>
          <w:p w14:paraId="1E90BF07"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-0.1490</w:t>
            </w:r>
          </w:p>
        </w:tc>
        <w:tc>
          <w:tcPr>
            <w:tcW w:w="883" w:type="dxa"/>
            <w:tcBorders>
              <w:top w:val="nil"/>
              <w:left w:val="nil"/>
              <w:bottom w:val="single" w:sz="4" w:space="0" w:color="auto"/>
              <w:right w:val="single" w:sz="4" w:space="0" w:color="auto"/>
            </w:tcBorders>
            <w:shd w:val="clear" w:color="auto" w:fill="auto"/>
            <w:vAlign w:val="center"/>
          </w:tcPr>
          <w:p w14:paraId="31FD3D52"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0.86</w:t>
            </w:r>
          </w:p>
        </w:tc>
        <w:tc>
          <w:tcPr>
            <w:tcW w:w="1142" w:type="dxa"/>
            <w:tcBorders>
              <w:top w:val="nil"/>
              <w:left w:val="nil"/>
              <w:bottom w:val="single" w:sz="4" w:space="0" w:color="auto"/>
              <w:right w:val="single" w:sz="4" w:space="0" w:color="auto"/>
            </w:tcBorders>
            <w:shd w:val="clear" w:color="auto" w:fill="auto"/>
            <w:vAlign w:val="center"/>
          </w:tcPr>
          <w:p w14:paraId="5B263B18"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0.85, 0.87</w:t>
            </w:r>
          </w:p>
        </w:tc>
        <w:tc>
          <w:tcPr>
            <w:tcW w:w="1076" w:type="dxa"/>
            <w:tcBorders>
              <w:top w:val="nil"/>
              <w:left w:val="nil"/>
              <w:bottom w:val="single" w:sz="4" w:space="0" w:color="auto"/>
              <w:right w:val="single" w:sz="4" w:space="0" w:color="auto"/>
            </w:tcBorders>
            <w:shd w:val="clear" w:color="auto" w:fill="auto"/>
            <w:vAlign w:val="center"/>
          </w:tcPr>
          <w:p w14:paraId="64B5EC6C"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-0.1473</w:t>
            </w:r>
          </w:p>
        </w:tc>
        <w:tc>
          <w:tcPr>
            <w:tcW w:w="798" w:type="dxa"/>
            <w:tcBorders>
              <w:top w:val="nil"/>
              <w:left w:val="nil"/>
              <w:bottom w:val="single" w:sz="4" w:space="0" w:color="auto"/>
              <w:right w:val="single" w:sz="4" w:space="0" w:color="auto"/>
            </w:tcBorders>
            <w:shd w:val="clear" w:color="auto" w:fill="auto"/>
            <w:vAlign w:val="center"/>
          </w:tcPr>
          <w:p w14:paraId="323BC9DF"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0.86</w:t>
            </w:r>
          </w:p>
        </w:tc>
        <w:tc>
          <w:tcPr>
            <w:tcW w:w="1142" w:type="dxa"/>
            <w:tcBorders>
              <w:top w:val="nil"/>
              <w:left w:val="nil"/>
              <w:bottom w:val="single" w:sz="4" w:space="0" w:color="auto"/>
              <w:right w:val="single" w:sz="4" w:space="0" w:color="auto"/>
            </w:tcBorders>
            <w:shd w:val="clear" w:color="auto" w:fill="auto"/>
            <w:vAlign w:val="center"/>
          </w:tcPr>
          <w:p w14:paraId="3ABC334C"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0.85, 0.87</w:t>
            </w:r>
          </w:p>
        </w:tc>
        <w:tc>
          <w:tcPr>
            <w:tcW w:w="830" w:type="dxa"/>
            <w:tcBorders>
              <w:top w:val="nil"/>
              <w:left w:val="nil"/>
              <w:bottom w:val="single" w:sz="4" w:space="0" w:color="auto"/>
              <w:right w:val="single" w:sz="4" w:space="0" w:color="auto"/>
            </w:tcBorders>
            <w:shd w:val="clear" w:color="auto" w:fill="auto"/>
            <w:vAlign w:val="center"/>
          </w:tcPr>
          <w:p w14:paraId="6108C8CB"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&lt;.0001</w:t>
            </w:r>
          </w:p>
        </w:tc>
      </w:tr>
      <w:tr w:rsidR="0081359F" w:rsidRPr="00AE18F6" w14:paraId="369F315D" w14:textId="77777777" w:rsidTr="00DD0554">
        <w:trPr>
          <w:trHeight w:val="247"/>
        </w:trPr>
        <w:tc>
          <w:tcPr>
            <w:tcW w:w="2292" w:type="dxa"/>
            <w:tcBorders>
              <w:top w:val="nil"/>
              <w:left w:val="single" w:sz="4" w:space="0" w:color="auto"/>
              <w:bottom w:val="single" w:sz="4" w:space="0" w:color="auto"/>
              <w:right w:val="single" w:sz="4" w:space="0" w:color="auto"/>
            </w:tcBorders>
            <w:shd w:val="clear" w:color="auto" w:fill="auto"/>
            <w:vAlign w:val="center"/>
            <w:hideMark/>
          </w:tcPr>
          <w:p w14:paraId="4B80AFD3" w14:textId="77777777" w:rsidR="0081359F" w:rsidRPr="00AE18F6" w:rsidRDefault="0081359F" w:rsidP="0081359F">
            <w:pPr>
              <w:spacing w:after="0" w:line="240" w:lineRule="auto"/>
              <w:rPr>
                <w:rFonts w:eastAsia="Times New Roman" w:cstheme="minorHAnsi"/>
                <w:bCs/>
                <w:color w:val="0000E1"/>
              </w:rPr>
            </w:pPr>
            <w:r w:rsidRPr="00AE18F6">
              <w:rPr>
                <w:rFonts w:eastAsia="Times New Roman" w:cstheme="minorHAnsi"/>
                <w:bCs/>
                <w:color w:val="0000E1"/>
              </w:rPr>
              <w:t>LIS or Dual (Ref = Non-LIS/Non-Dual)</w:t>
            </w:r>
          </w:p>
        </w:tc>
        <w:tc>
          <w:tcPr>
            <w:tcW w:w="1017" w:type="dxa"/>
            <w:tcBorders>
              <w:top w:val="nil"/>
              <w:left w:val="nil"/>
              <w:bottom w:val="single" w:sz="4" w:space="0" w:color="auto"/>
              <w:right w:val="single" w:sz="4" w:space="0" w:color="auto"/>
            </w:tcBorders>
            <w:shd w:val="clear" w:color="auto" w:fill="auto"/>
            <w:vAlign w:val="center"/>
          </w:tcPr>
          <w:p w14:paraId="22E6159C" w14:textId="79CDCD92"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-0.</w:t>
            </w:r>
            <w:r w:rsidR="002B1491">
              <w:rPr>
                <w:rFonts w:eastAsia="Times New Roman" w:cstheme="minorHAnsi"/>
                <w:color w:val="0000E1"/>
              </w:rPr>
              <w:t>3569</w:t>
            </w:r>
          </w:p>
        </w:tc>
        <w:tc>
          <w:tcPr>
            <w:tcW w:w="883" w:type="dxa"/>
            <w:tcBorders>
              <w:top w:val="nil"/>
              <w:left w:val="nil"/>
              <w:bottom w:val="single" w:sz="4" w:space="0" w:color="auto"/>
              <w:right w:val="single" w:sz="4" w:space="0" w:color="auto"/>
            </w:tcBorders>
            <w:shd w:val="clear" w:color="auto" w:fill="auto"/>
            <w:vAlign w:val="center"/>
          </w:tcPr>
          <w:p w14:paraId="6FD7C0FC"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0.70</w:t>
            </w:r>
          </w:p>
        </w:tc>
        <w:tc>
          <w:tcPr>
            <w:tcW w:w="1142" w:type="dxa"/>
            <w:tcBorders>
              <w:top w:val="nil"/>
              <w:left w:val="nil"/>
              <w:bottom w:val="single" w:sz="4" w:space="0" w:color="auto"/>
              <w:right w:val="single" w:sz="4" w:space="0" w:color="auto"/>
            </w:tcBorders>
            <w:shd w:val="clear" w:color="auto" w:fill="auto"/>
            <w:vAlign w:val="center"/>
          </w:tcPr>
          <w:p w14:paraId="4313700B"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0.69, 0.71</w:t>
            </w:r>
          </w:p>
        </w:tc>
        <w:tc>
          <w:tcPr>
            <w:tcW w:w="1076" w:type="dxa"/>
            <w:tcBorders>
              <w:top w:val="nil"/>
              <w:left w:val="nil"/>
              <w:bottom w:val="single" w:sz="4" w:space="0" w:color="auto"/>
              <w:right w:val="single" w:sz="4" w:space="0" w:color="auto"/>
            </w:tcBorders>
            <w:shd w:val="clear" w:color="auto" w:fill="auto"/>
            <w:vAlign w:val="center"/>
          </w:tcPr>
          <w:p w14:paraId="5BBE306F"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-0.2581</w:t>
            </w:r>
          </w:p>
        </w:tc>
        <w:tc>
          <w:tcPr>
            <w:tcW w:w="798" w:type="dxa"/>
            <w:tcBorders>
              <w:top w:val="nil"/>
              <w:left w:val="nil"/>
              <w:bottom w:val="single" w:sz="4" w:space="0" w:color="auto"/>
              <w:right w:val="single" w:sz="4" w:space="0" w:color="auto"/>
            </w:tcBorders>
            <w:shd w:val="clear" w:color="auto" w:fill="auto"/>
            <w:vAlign w:val="center"/>
          </w:tcPr>
          <w:p w14:paraId="2A54F562"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0.77</w:t>
            </w:r>
          </w:p>
        </w:tc>
        <w:tc>
          <w:tcPr>
            <w:tcW w:w="1142" w:type="dxa"/>
            <w:tcBorders>
              <w:top w:val="nil"/>
              <w:left w:val="nil"/>
              <w:bottom w:val="single" w:sz="4" w:space="0" w:color="auto"/>
              <w:right w:val="single" w:sz="4" w:space="0" w:color="auto"/>
            </w:tcBorders>
            <w:shd w:val="clear" w:color="auto" w:fill="auto"/>
            <w:vAlign w:val="center"/>
          </w:tcPr>
          <w:p w14:paraId="18566906"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0.76, 0.78</w:t>
            </w:r>
          </w:p>
        </w:tc>
        <w:tc>
          <w:tcPr>
            <w:tcW w:w="830" w:type="dxa"/>
            <w:tcBorders>
              <w:top w:val="nil"/>
              <w:left w:val="nil"/>
              <w:bottom w:val="single" w:sz="4" w:space="0" w:color="auto"/>
              <w:right w:val="single" w:sz="4" w:space="0" w:color="auto"/>
            </w:tcBorders>
            <w:shd w:val="clear" w:color="auto" w:fill="auto"/>
            <w:vAlign w:val="center"/>
          </w:tcPr>
          <w:p w14:paraId="4607DC67"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&lt;.0001</w:t>
            </w:r>
          </w:p>
        </w:tc>
      </w:tr>
      <w:tr w:rsidR="0081359F" w:rsidRPr="00AE18F6" w14:paraId="062AFD2F" w14:textId="77777777" w:rsidTr="00DD0554">
        <w:trPr>
          <w:trHeight w:val="247"/>
        </w:trPr>
        <w:tc>
          <w:tcPr>
            <w:tcW w:w="2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57D60" w14:textId="77777777" w:rsidR="0081359F" w:rsidRPr="00AE18F6" w:rsidRDefault="0081359F" w:rsidP="0081359F">
            <w:pPr>
              <w:spacing w:after="0" w:line="240" w:lineRule="auto"/>
              <w:rPr>
                <w:rFonts w:eastAsia="Times New Roman" w:cstheme="minorHAnsi"/>
                <w:bCs/>
                <w:color w:val="0000E1"/>
              </w:rPr>
            </w:pPr>
            <w:r w:rsidRPr="00AE18F6">
              <w:rPr>
                <w:rFonts w:eastAsia="Times New Roman" w:cstheme="minorHAnsi"/>
                <w:bCs/>
                <w:color w:val="0000E1"/>
              </w:rPr>
              <w:t>Disability (Ref = No Disability)</w:t>
            </w:r>
          </w:p>
        </w:tc>
        <w:tc>
          <w:tcPr>
            <w:tcW w:w="1017" w:type="dxa"/>
            <w:tcBorders>
              <w:top w:val="single" w:sz="4" w:space="0" w:color="auto"/>
              <w:left w:val="nil"/>
              <w:bottom w:val="single" w:sz="4" w:space="0" w:color="auto"/>
              <w:right w:val="single" w:sz="4" w:space="0" w:color="auto"/>
            </w:tcBorders>
            <w:shd w:val="clear" w:color="auto" w:fill="auto"/>
            <w:vAlign w:val="center"/>
          </w:tcPr>
          <w:p w14:paraId="63179561"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-0.4255</w:t>
            </w:r>
          </w:p>
        </w:tc>
        <w:tc>
          <w:tcPr>
            <w:tcW w:w="883" w:type="dxa"/>
            <w:tcBorders>
              <w:top w:val="single" w:sz="4" w:space="0" w:color="auto"/>
              <w:left w:val="nil"/>
              <w:bottom w:val="single" w:sz="4" w:space="0" w:color="auto"/>
              <w:right w:val="single" w:sz="4" w:space="0" w:color="auto"/>
            </w:tcBorders>
            <w:shd w:val="clear" w:color="auto" w:fill="auto"/>
            <w:vAlign w:val="center"/>
          </w:tcPr>
          <w:p w14:paraId="1ACA8B59"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0.65</w:t>
            </w:r>
          </w:p>
        </w:tc>
        <w:tc>
          <w:tcPr>
            <w:tcW w:w="1142" w:type="dxa"/>
            <w:tcBorders>
              <w:top w:val="single" w:sz="4" w:space="0" w:color="auto"/>
              <w:left w:val="nil"/>
              <w:bottom w:val="single" w:sz="4" w:space="0" w:color="auto"/>
              <w:right w:val="single" w:sz="4" w:space="0" w:color="auto"/>
            </w:tcBorders>
            <w:shd w:val="clear" w:color="auto" w:fill="auto"/>
            <w:vAlign w:val="center"/>
          </w:tcPr>
          <w:p w14:paraId="67509864"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0.64, 0.66</w:t>
            </w:r>
          </w:p>
        </w:tc>
        <w:tc>
          <w:tcPr>
            <w:tcW w:w="1076" w:type="dxa"/>
            <w:tcBorders>
              <w:top w:val="single" w:sz="4" w:space="0" w:color="auto"/>
              <w:left w:val="nil"/>
              <w:bottom w:val="single" w:sz="4" w:space="0" w:color="auto"/>
              <w:right w:val="single" w:sz="4" w:space="0" w:color="auto"/>
            </w:tcBorders>
            <w:shd w:val="clear" w:color="auto" w:fill="auto"/>
            <w:vAlign w:val="center"/>
          </w:tcPr>
          <w:p w14:paraId="19F323F9"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-0.4393</w:t>
            </w:r>
          </w:p>
        </w:tc>
        <w:tc>
          <w:tcPr>
            <w:tcW w:w="798" w:type="dxa"/>
            <w:tcBorders>
              <w:top w:val="single" w:sz="4" w:space="0" w:color="auto"/>
              <w:left w:val="nil"/>
              <w:bottom w:val="single" w:sz="4" w:space="0" w:color="auto"/>
              <w:right w:val="single" w:sz="4" w:space="0" w:color="auto"/>
            </w:tcBorders>
            <w:shd w:val="clear" w:color="auto" w:fill="auto"/>
            <w:vAlign w:val="center"/>
          </w:tcPr>
          <w:p w14:paraId="1FB7D3A9"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0.64</w:t>
            </w:r>
          </w:p>
        </w:tc>
        <w:tc>
          <w:tcPr>
            <w:tcW w:w="1142" w:type="dxa"/>
            <w:tcBorders>
              <w:top w:val="single" w:sz="4" w:space="0" w:color="auto"/>
              <w:left w:val="nil"/>
              <w:bottom w:val="single" w:sz="4" w:space="0" w:color="auto"/>
              <w:right w:val="single" w:sz="4" w:space="0" w:color="auto"/>
            </w:tcBorders>
            <w:shd w:val="clear" w:color="auto" w:fill="auto"/>
            <w:vAlign w:val="center"/>
          </w:tcPr>
          <w:p w14:paraId="6A3FC9D1"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0.62, 0.67</w:t>
            </w:r>
          </w:p>
        </w:tc>
        <w:tc>
          <w:tcPr>
            <w:tcW w:w="830" w:type="dxa"/>
            <w:tcBorders>
              <w:top w:val="single" w:sz="4" w:space="0" w:color="auto"/>
              <w:left w:val="nil"/>
              <w:bottom w:val="single" w:sz="4" w:space="0" w:color="auto"/>
              <w:right w:val="single" w:sz="4" w:space="0" w:color="auto"/>
            </w:tcBorders>
            <w:shd w:val="clear" w:color="auto" w:fill="auto"/>
            <w:vAlign w:val="center"/>
          </w:tcPr>
          <w:p w14:paraId="2C2E4572" w14:textId="77777777" w:rsidR="0081359F" w:rsidRPr="00AE18F6" w:rsidRDefault="0081359F" w:rsidP="00AE2BC8">
            <w:pPr>
              <w:spacing w:after="0" w:line="240" w:lineRule="auto"/>
              <w:jc w:val="right"/>
              <w:rPr>
                <w:rFonts w:eastAsia="Times New Roman" w:cstheme="minorHAnsi"/>
                <w:color w:val="0000E1"/>
              </w:rPr>
            </w:pPr>
            <w:r w:rsidRPr="00AE18F6">
              <w:rPr>
                <w:rFonts w:eastAsia="Times New Roman" w:cstheme="minorHAnsi"/>
                <w:color w:val="0000E1"/>
              </w:rPr>
              <w:t>&lt;.0001</w:t>
            </w:r>
          </w:p>
        </w:tc>
      </w:tr>
      <w:tr w:rsidR="000A5FE4" w:rsidRPr="00AE18F6" w14:paraId="38FFC764" w14:textId="77777777" w:rsidTr="00DD0554">
        <w:trPr>
          <w:trHeight w:val="247"/>
        </w:trPr>
        <w:tc>
          <w:tcPr>
            <w:tcW w:w="9180" w:type="dxa"/>
            <w:gridSpan w:val="8"/>
            <w:tcBorders>
              <w:top w:val="single" w:sz="4" w:space="0" w:color="auto"/>
            </w:tcBorders>
            <w:shd w:val="clear" w:color="auto" w:fill="auto"/>
            <w:vAlign w:val="center"/>
          </w:tcPr>
          <w:p w14:paraId="3A3FB497" w14:textId="77777777" w:rsidR="000A5FE4" w:rsidRPr="0061194B" w:rsidRDefault="000A5FE4" w:rsidP="0024252B">
            <w:pPr>
              <w:spacing w:after="0" w:line="240" w:lineRule="auto"/>
              <w:rPr>
                <w:rFonts w:eastAsia="Times New Roman" w:cstheme="minorHAnsi"/>
                <w:i/>
                <w:color w:val="0000E1"/>
              </w:rPr>
            </w:pPr>
            <w:proofErr w:type="spellStart"/>
            <w:r w:rsidRPr="0061194B">
              <w:rPr>
                <w:rFonts w:ascii="Calibri" w:hAnsi="Calibri" w:cs="Calibri"/>
                <w:i/>
                <w:color w:val="0000E1"/>
                <w:sz w:val="20"/>
              </w:rPr>
              <w:t>Coeff</w:t>
            </w:r>
            <w:proofErr w:type="spellEnd"/>
            <w:r w:rsidRPr="0061194B">
              <w:rPr>
                <w:rFonts w:ascii="Calibri" w:hAnsi="Calibri" w:cs="Calibri"/>
                <w:i/>
                <w:color w:val="0000E1"/>
                <w:sz w:val="20"/>
              </w:rPr>
              <w:t>: Coefficient; CI: confidence interval; OR: odds ratio; Ref: reference group; LIS: low-income subsidy</w:t>
            </w:r>
          </w:p>
        </w:tc>
      </w:tr>
    </w:tbl>
    <w:p w14:paraId="47912C8E" w14:textId="77777777" w:rsidR="00BA16BB" w:rsidRDefault="00BA16BB" w:rsidP="00001D73">
      <w:pPr>
        <w:autoSpaceDE w:val="0"/>
        <w:autoSpaceDN w:val="0"/>
        <w:adjustRightInd w:val="0"/>
        <w:spacing w:after="0" w:line="240" w:lineRule="auto"/>
        <w:rPr>
          <w:rFonts w:cs="Calibri"/>
          <w:bCs/>
        </w:rPr>
      </w:pPr>
    </w:p>
    <w:p w14:paraId="27672CA3" w14:textId="77777777" w:rsidR="00001D73" w:rsidRDefault="009C7513" w:rsidP="00001D73">
      <w:pPr>
        <w:autoSpaceDE w:val="0"/>
        <w:autoSpaceDN w:val="0"/>
        <w:adjustRightInd w:val="0"/>
        <w:spacing w:after="0" w:line="240" w:lineRule="auto"/>
        <w:rPr>
          <w:rFonts w:cstheme="minorHAnsi"/>
          <w:b/>
          <w:bCs/>
        </w:rPr>
      </w:pPr>
      <w:r w:rsidRPr="00FC5FE7">
        <w:rPr>
          <w:rFonts w:cstheme="minorHAnsi"/>
          <w:b/>
          <w:bCs/>
        </w:rPr>
        <w:t>2b3</w:t>
      </w:r>
      <w:r w:rsidR="00C1695E" w:rsidRPr="00FC5FE7">
        <w:rPr>
          <w:rFonts w:cstheme="minorHAnsi"/>
          <w:b/>
          <w:bCs/>
        </w:rPr>
        <w:t xml:space="preserve">.4b. Describe the analyses and interpretation resulting in the decision to select </w:t>
      </w:r>
      <w:r w:rsidR="00AF2D68" w:rsidRPr="00FC5FE7">
        <w:rPr>
          <w:rFonts w:cstheme="minorHAnsi"/>
          <w:b/>
          <w:bCs/>
        </w:rPr>
        <w:t>social risk</w:t>
      </w:r>
      <w:r w:rsidR="00C1695E" w:rsidRPr="00FC5FE7">
        <w:rPr>
          <w:rFonts w:cstheme="minorHAnsi"/>
          <w:b/>
          <w:bCs/>
        </w:rPr>
        <w:t xml:space="preserve"> factors </w:t>
      </w:r>
      <w:r w:rsidR="00C1695E" w:rsidRPr="00FC5FE7">
        <w:rPr>
          <w:rFonts w:cstheme="minorHAnsi"/>
          <w:bCs/>
          <w:i/>
        </w:rPr>
        <w:t>(e.g. prevalence of the factor across measured entities, empirical association with the outcome, contribution of unique variation in the outcome, assessment of between-unit effects and within-unit effects</w:t>
      </w:r>
      <w:r w:rsidR="00CE284E" w:rsidRPr="00FC5FE7">
        <w:rPr>
          <w:rFonts w:cstheme="minorHAnsi"/>
          <w:bCs/>
          <w:i/>
        </w:rPr>
        <w:t xml:space="preserve">.)  </w:t>
      </w:r>
      <w:r w:rsidR="00CE284E" w:rsidRPr="00FC5FE7">
        <w:rPr>
          <w:rFonts w:cstheme="minorHAnsi"/>
          <w:b/>
          <w:bCs/>
        </w:rPr>
        <w:t>Also describe the</w:t>
      </w:r>
      <w:r w:rsidR="00AF2D68" w:rsidRPr="00FC5FE7">
        <w:rPr>
          <w:rFonts w:cstheme="minorHAnsi"/>
          <w:b/>
          <w:bCs/>
        </w:rPr>
        <w:t xml:space="preserve"> impact of adjusting for social risk (or not) on providers</w:t>
      </w:r>
      <w:r w:rsidR="00CE284E" w:rsidRPr="00FC5FE7">
        <w:rPr>
          <w:rFonts w:cstheme="minorHAnsi"/>
          <w:b/>
          <w:bCs/>
        </w:rPr>
        <w:t xml:space="preserve"> at high or low extremes of risk.</w:t>
      </w:r>
    </w:p>
    <w:p w14:paraId="3C283604" w14:textId="77777777" w:rsidR="000B6D9E" w:rsidRDefault="000B6D9E" w:rsidP="00001D73">
      <w:pPr>
        <w:autoSpaceDE w:val="0"/>
        <w:autoSpaceDN w:val="0"/>
        <w:adjustRightInd w:val="0"/>
        <w:spacing w:after="0" w:line="240" w:lineRule="auto"/>
        <w:rPr>
          <w:rFonts w:cstheme="minorHAnsi"/>
          <w:b/>
          <w:bCs/>
        </w:rPr>
      </w:pPr>
    </w:p>
    <w:p w14:paraId="6DAD1842" w14:textId="2489DBC6" w:rsidR="000B6D9E" w:rsidRPr="00C41AA9" w:rsidRDefault="000B6D9E" w:rsidP="000B6D9E">
      <w:pPr>
        <w:autoSpaceDE w:val="0"/>
        <w:autoSpaceDN w:val="0"/>
        <w:adjustRightInd w:val="0"/>
        <w:spacing w:after="0" w:line="240" w:lineRule="auto"/>
        <w:rPr>
          <w:rFonts w:cstheme="minorHAnsi"/>
          <w:bCs/>
          <w:color w:val="0000E1"/>
          <w:u w:val="single"/>
        </w:rPr>
      </w:pPr>
      <w:r w:rsidRPr="00C41AA9">
        <w:rPr>
          <w:rFonts w:cstheme="minorHAnsi"/>
          <w:bCs/>
          <w:color w:val="0000E1"/>
          <w:u w:val="single"/>
        </w:rPr>
        <w:t xml:space="preserve">Empirical </w:t>
      </w:r>
      <w:r w:rsidR="00162872">
        <w:rPr>
          <w:rFonts w:cstheme="minorHAnsi"/>
          <w:bCs/>
          <w:color w:val="0000E1"/>
          <w:u w:val="single"/>
        </w:rPr>
        <w:t>A</w:t>
      </w:r>
      <w:r w:rsidR="00162872" w:rsidRPr="00C41AA9">
        <w:rPr>
          <w:rFonts w:cstheme="minorHAnsi"/>
          <w:bCs/>
          <w:color w:val="0000E1"/>
          <w:u w:val="single"/>
        </w:rPr>
        <w:t xml:space="preserve">ssociation </w:t>
      </w:r>
      <w:r w:rsidRPr="00C41AA9">
        <w:rPr>
          <w:rFonts w:cstheme="minorHAnsi"/>
          <w:bCs/>
          <w:color w:val="0000E1"/>
          <w:u w:val="single"/>
        </w:rPr>
        <w:t xml:space="preserve">with </w:t>
      </w:r>
      <w:r w:rsidR="00162872">
        <w:rPr>
          <w:rFonts w:cstheme="minorHAnsi"/>
          <w:bCs/>
          <w:color w:val="0000E1"/>
          <w:u w:val="single"/>
        </w:rPr>
        <w:t>O</w:t>
      </w:r>
      <w:r w:rsidRPr="00C41AA9">
        <w:rPr>
          <w:rFonts w:cstheme="minorHAnsi"/>
          <w:bCs/>
          <w:color w:val="0000E1"/>
          <w:u w:val="single"/>
        </w:rPr>
        <w:t>utcome</w:t>
      </w:r>
      <w:r w:rsidR="00B6472A">
        <w:rPr>
          <w:rFonts w:cstheme="minorHAnsi"/>
          <w:bCs/>
          <w:color w:val="0000E1"/>
          <w:u w:val="single"/>
        </w:rPr>
        <w:t xml:space="preserve"> (Univariate Analysi</w:t>
      </w:r>
      <w:r w:rsidR="002B534F" w:rsidRPr="00C41AA9">
        <w:rPr>
          <w:rFonts w:cstheme="minorHAnsi"/>
          <w:bCs/>
          <w:color w:val="0000E1"/>
          <w:u w:val="single"/>
        </w:rPr>
        <w:t>s)</w:t>
      </w:r>
    </w:p>
    <w:p w14:paraId="24888FE5" w14:textId="4BF5A5E8" w:rsidR="000B6D9E" w:rsidRPr="00C41AA9" w:rsidRDefault="000B6D9E" w:rsidP="000B6D9E">
      <w:pPr>
        <w:autoSpaceDE w:val="0"/>
        <w:autoSpaceDN w:val="0"/>
        <w:adjustRightInd w:val="0"/>
        <w:spacing w:after="0" w:line="240" w:lineRule="auto"/>
        <w:rPr>
          <w:rFonts w:cstheme="minorHAnsi"/>
          <w:bCs/>
          <w:color w:val="0000E1"/>
        </w:rPr>
      </w:pPr>
      <w:r w:rsidRPr="00C41AA9">
        <w:rPr>
          <w:rFonts w:cstheme="minorHAnsi"/>
          <w:bCs/>
          <w:color w:val="0000E1"/>
        </w:rPr>
        <w:t>For all three therapeutic categories, younger beneficiaries</w:t>
      </w:r>
      <w:r w:rsidR="00B6472A">
        <w:rPr>
          <w:rFonts w:cstheme="minorHAnsi"/>
          <w:bCs/>
          <w:color w:val="0000E1"/>
        </w:rPr>
        <w:t xml:space="preserve"> </w:t>
      </w:r>
      <w:r w:rsidRPr="00C41AA9">
        <w:rPr>
          <w:rFonts w:cstheme="minorHAnsi"/>
          <w:bCs/>
          <w:color w:val="0000E1"/>
        </w:rPr>
        <w:t>were less likely to be adherent compared to the older population (</w:t>
      </w:r>
      <w:r w:rsidR="00360719">
        <w:rPr>
          <w:rFonts w:cstheme="minorHAnsi"/>
          <w:bCs/>
          <w:color w:val="0000E1"/>
        </w:rPr>
        <w:t xml:space="preserve">e.g., </w:t>
      </w:r>
      <w:r w:rsidRPr="00C41AA9">
        <w:rPr>
          <w:rFonts w:cstheme="minorHAnsi"/>
          <w:bCs/>
          <w:color w:val="0000E1"/>
        </w:rPr>
        <w:t>OR</w:t>
      </w:r>
      <w:r w:rsidR="00292C33">
        <w:rPr>
          <w:rFonts w:cstheme="minorHAnsi"/>
          <w:bCs/>
          <w:color w:val="0000E1"/>
        </w:rPr>
        <w:t xml:space="preserve"> </w:t>
      </w:r>
      <w:r w:rsidRPr="00C41AA9">
        <w:rPr>
          <w:rFonts w:cstheme="minorHAnsi"/>
          <w:bCs/>
          <w:color w:val="0000E1"/>
        </w:rPr>
        <w:t>=</w:t>
      </w:r>
      <w:r w:rsidR="00292C33">
        <w:rPr>
          <w:rFonts w:cstheme="minorHAnsi"/>
          <w:bCs/>
          <w:color w:val="0000E1"/>
        </w:rPr>
        <w:t xml:space="preserve"> </w:t>
      </w:r>
      <w:r w:rsidRPr="00C41AA9">
        <w:rPr>
          <w:rFonts w:cstheme="minorHAnsi"/>
          <w:bCs/>
          <w:color w:val="0000E1"/>
        </w:rPr>
        <w:t>0.5</w:t>
      </w:r>
      <w:r w:rsidR="00E96B78" w:rsidRPr="00C41AA9">
        <w:rPr>
          <w:rFonts w:cstheme="minorHAnsi"/>
          <w:bCs/>
          <w:color w:val="0000E1"/>
        </w:rPr>
        <w:t>3</w:t>
      </w:r>
      <w:r w:rsidRPr="00C41AA9">
        <w:rPr>
          <w:rFonts w:cstheme="minorHAnsi"/>
          <w:bCs/>
          <w:color w:val="0000E1"/>
        </w:rPr>
        <w:t>, 0.</w:t>
      </w:r>
      <w:r w:rsidR="00E96B78" w:rsidRPr="00C41AA9">
        <w:rPr>
          <w:rFonts w:cstheme="minorHAnsi"/>
          <w:bCs/>
          <w:color w:val="0000E1"/>
        </w:rPr>
        <w:t>48</w:t>
      </w:r>
      <w:r w:rsidRPr="00C41AA9">
        <w:rPr>
          <w:rFonts w:cstheme="minorHAnsi"/>
          <w:bCs/>
          <w:color w:val="0000E1"/>
        </w:rPr>
        <w:t xml:space="preserve"> and 0.</w:t>
      </w:r>
      <w:r w:rsidR="00E96B78" w:rsidRPr="00C41AA9">
        <w:rPr>
          <w:rFonts w:cstheme="minorHAnsi"/>
          <w:bCs/>
          <w:color w:val="0000E1"/>
        </w:rPr>
        <w:t>55</w:t>
      </w:r>
      <w:r w:rsidRPr="00C41AA9">
        <w:rPr>
          <w:rFonts w:cstheme="minorHAnsi"/>
          <w:bCs/>
          <w:color w:val="0000E1"/>
        </w:rPr>
        <w:t xml:space="preserve"> for age group 18-54 years, for Diabetes, </w:t>
      </w:r>
      <w:r w:rsidR="00C363A0">
        <w:rPr>
          <w:rFonts w:cstheme="minorHAnsi"/>
          <w:bCs/>
          <w:color w:val="0000E1"/>
        </w:rPr>
        <w:t>RASA</w:t>
      </w:r>
      <w:r w:rsidRPr="00C41AA9">
        <w:rPr>
          <w:rFonts w:cstheme="minorHAnsi"/>
          <w:bCs/>
          <w:color w:val="0000E1"/>
        </w:rPr>
        <w:t xml:space="preserve">, and </w:t>
      </w:r>
      <w:r w:rsidR="00C363A0">
        <w:rPr>
          <w:rFonts w:cstheme="minorHAnsi"/>
          <w:bCs/>
          <w:color w:val="0000E1"/>
        </w:rPr>
        <w:t>Statins</w:t>
      </w:r>
      <w:r w:rsidRPr="00C41AA9">
        <w:rPr>
          <w:rFonts w:cstheme="minorHAnsi"/>
          <w:bCs/>
          <w:color w:val="0000E1"/>
        </w:rPr>
        <w:t>, respectively; OR</w:t>
      </w:r>
      <w:r w:rsidR="00292C33">
        <w:rPr>
          <w:rFonts w:cstheme="minorHAnsi"/>
          <w:bCs/>
          <w:color w:val="0000E1"/>
        </w:rPr>
        <w:t xml:space="preserve"> </w:t>
      </w:r>
      <w:r w:rsidRPr="00C41AA9">
        <w:rPr>
          <w:rFonts w:cstheme="minorHAnsi"/>
          <w:bCs/>
          <w:color w:val="0000E1"/>
        </w:rPr>
        <w:t>=</w:t>
      </w:r>
      <w:r w:rsidR="00292C33">
        <w:rPr>
          <w:rFonts w:cstheme="minorHAnsi"/>
          <w:bCs/>
          <w:color w:val="0000E1"/>
        </w:rPr>
        <w:t xml:space="preserve"> </w:t>
      </w:r>
      <w:r w:rsidRPr="00C41AA9">
        <w:rPr>
          <w:rFonts w:cstheme="minorHAnsi"/>
          <w:bCs/>
          <w:color w:val="0000E1"/>
        </w:rPr>
        <w:t>0.</w:t>
      </w:r>
      <w:r w:rsidR="002B534F" w:rsidRPr="00C41AA9">
        <w:rPr>
          <w:rFonts w:cstheme="minorHAnsi"/>
          <w:bCs/>
          <w:color w:val="0000E1"/>
        </w:rPr>
        <w:t>99, 1.09</w:t>
      </w:r>
      <w:r w:rsidRPr="00C41AA9">
        <w:rPr>
          <w:rFonts w:cstheme="minorHAnsi"/>
          <w:bCs/>
          <w:color w:val="0000E1"/>
        </w:rPr>
        <w:t xml:space="preserve">, and </w:t>
      </w:r>
      <w:r w:rsidR="002B534F" w:rsidRPr="00C41AA9">
        <w:rPr>
          <w:rFonts w:cstheme="minorHAnsi"/>
          <w:bCs/>
          <w:color w:val="0000E1"/>
        </w:rPr>
        <w:t>0.89 for age group 65-69</w:t>
      </w:r>
      <w:r w:rsidRPr="00C41AA9">
        <w:rPr>
          <w:rFonts w:cstheme="minorHAnsi"/>
          <w:bCs/>
          <w:color w:val="0000E1"/>
        </w:rPr>
        <w:t xml:space="preserve"> years for Diabetes, </w:t>
      </w:r>
      <w:r w:rsidR="00A11EFA">
        <w:rPr>
          <w:rFonts w:cstheme="minorHAnsi"/>
          <w:bCs/>
          <w:color w:val="0000E1"/>
        </w:rPr>
        <w:t>RASA</w:t>
      </w:r>
      <w:r w:rsidRPr="00C41AA9">
        <w:rPr>
          <w:rFonts w:cstheme="minorHAnsi"/>
          <w:bCs/>
          <w:color w:val="0000E1"/>
        </w:rPr>
        <w:t xml:space="preserve">, and </w:t>
      </w:r>
      <w:r w:rsidR="00A11EFA">
        <w:rPr>
          <w:rFonts w:cstheme="minorHAnsi"/>
          <w:bCs/>
          <w:color w:val="0000E1"/>
        </w:rPr>
        <w:t>Statins</w:t>
      </w:r>
      <w:r w:rsidRPr="00C41AA9">
        <w:rPr>
          <w:rFonts w:cstheme="minorHAnsi"/>
          <w:bCs/>
          <w:color w:val="0000E1"/>
        </w:rPr>
        <w:t xml:space="preserve">, </w:t>
      </w:r>
      <w:r w:rsidRPr="00C41AA9">
        <w:rPr>
          <w:rFonts w:cstheme="minorHAnsi"/>
          <w:bCs/>
          <w:color w:val="0000E1"/>
        </w:rPr>
        <w:lastRenderedPageBreak/>
        <w:t>respectively). For Diabetes and Statins, males were less likely to be adherent than females (OR</w:t>
      </w:r>
      <w:r w:rsidR="00764A69">
        <w:rPr>
          <w:rFonts w:cstheme="minorHAnsi"/>
          <w:bCs/>
          <w:color w:val="0000E1"/>
        </w:rPr>
        <w:t xml:space="preserve"> </w:t>
      </w:r>
      <w:r w:rsidRPr="00C41AA9">
        <w:rPr>
          <w:rFonts w:cstheme="minorHAnsi"/>
          <w:bCs/>
          <w:color w:val="0000E1"/>
        </w:rPr>
        <w:t>=</w:t>
      </w:r>
      <w:r w:rsidR="00764A69">
        <w:rPr>
          <w:rFonts w:cstheme="minorHAnsi"/>
          <w:bCs/>
          <w:color w:val="0000E1"/>
        </w:rPr>
        <w:t xml:space="preserve"> </w:t>
      </w:r>
      <w:r w:rsidRPr="00C41AA9">
        <w:rPr>
          <w:rFonts w:cstheme="minorHAnsi"/>
          <w:bCs/>
          <w:color w:val="0000E1"/>
        </w:rPr>
        <w:t>0.</w:t>
      </w:r>
      <w:r w:rsidR="002B534F" w:rsidRPr="00C41AA9">
        <w:rPr>
          <w:rFonts w:cstheme="minorHAnsi"/>
          <w:bCs/>
          <w:color w:val="0000E1"/>
        </w:rPr>
        <w:t>87</w:t>
      </w:r>
      <w:r w:rsidRPr="00C41AA9">
        <w:rPr>
          <w:rFonts w:cstheme="minorHAnsi"/>
          <w:bCs/>
          <w:color w:val="0000E1"/>
        </w:rPr>
        <w:t xml:space="preserve"> and 0.86, respectively) while for RASA, </w:t>
      </w:r>
      <w:r w:rsidR="002B534F" w:rsidRPr="00C41AA9">
        <w:rPr>
          <w:rFonts w:cstheme="minorHAnsi"/>
          <w:bCs/>
          <w:color w:val="0000E1"/>
        </w:rPr>
        <w:t>there was no statistical difference in adherence between males and females.</w:t>
      </w:r>
      <w:r w:rsidRPr="00C41AA9">
        <w:rPr>
          <w:rFonts w:cstheme="minorHAnsi"/>
          <w:bCs/>
          <w:color w:val="0000E1"/>
        </w:rPr>
        <w:t xml:space="preserve"> The LIS/Dual population was </w:t>
      </w:r>
      <w:r w:rsidR="002B534F" w:rsidRPr="00C41AA9">
        <w:rPr>
          <w:rFonts w:cstheme="minorHAnsi"/>
          <w:bCs/>
          <w:color w:val="0000E1"/>
        </w:rPr>
        <w:t>less</w:t>
      </w:r>
      <w:r w:rsidRPr="00C41AA9">
        <w:rPr>
          <w:rFonts w:cstheme="minorHAnsi"/>
          <w:bCs/>
          <w:color w:val="0000E1"/>
        </w:rPr>
        <w:t xml:space="preserve"> likely to be adherent to medications for</w:t>
      </w:r>
      <w:r w:rsidR="002B534F" w:rsidRPr="00C41AA9">
        <w:rPr>
          <w:rFonts w:cstheme="minorHAnsi"/>
          <w:bCs/>
          <w:color w:val="0000E1"/>
        </w:rPr>
        <w:t xml:space="preserve"> all three therapeutic categories (OR = 0.74. for Diabetes, OR = 0.59 for RASA, and OR = 0.70 for Statins). </w:t>
      </w:r>
      <w:r w:rsidRPr="00C41AA9">
        <w:rPr>
          <w:rFonts w:cstheme="minorHAnsi"/>
          <w:bCs/>
          <w:color w:val="0000E1"/>
        </w:rPr>
        <w:t>For all therapeutic categories, those persons with disability as the reason for Medicare entitlement were less likely to be adherent to their medications (OR</w:t>
      </w:r>
      <w:r w:rsidR="00764A69">
        <w:rPr>
          <w:rFonts w:cstheme="minorHAnsi"/>
          <w:bCs/>
          <w:color w:val="0000E1"/>
        </w:rPr>
        <w:t xml:space="preserve"> </w:t>
      </w:r>
      <w:r w:rsidRPr="00C41AA9">
        <w:rPr>
          <w:rFonts w:cstheme="minorHAnsi"/>
          <w:bCs/>
          <w:color w:val="0000E1"/>
        </w:rPr>
        <w:t>=</w:t>
      </w:r>
      <w:r w:rsidR="00764A69">
        <w:rPr>
          <w:rFonts w:cstheme="minorHAnsi"/>
          <w:bCs/>
          <w:color w:val="0000E1"/>
        </w:rPr>
        <w:t xml:space="preserve"> </w:t>
      </w:r>
      <w:r w:rsidRPr="00C41AA9">
        <w:rPr>
          <w:rFonts w:cstheme="minorHAnsi"/>
          <w:bCs/>
          <w:color w:val="0000E1"/>
        </w:rPr>
        <w:t>0.</w:t>
      </w:r>
      <w:r w:rsidR="002B534F" w:rsidRPr="00C41AA9">
        <w:rPr>
          <w:rFonts w:cstheme="minorHAnsi"/>
          <w:bCs/>
          <w:color w:val="0000E1"/>
        </w:rPr>
        <w:t>60</w:t>
      </w:r>
      <w:r w:rsidRPr="00C41AA9">
        <w:rPr>
          <w:rFonts w:cstheme="minorHAnsi"/>
          <w:bCs/>
          <w:color w:val="0000E1"/>
        </w:rPr>
        <w:t xml:space="preserve"> for Diabetes, OR = 0.</w:t>
      </w:r>
      <w:r w:rsidR="002B534F" w:rsidRPr="00C41AA9">
        <w:rPr>
          <w:rFonts w:cstheme="minorHAnsi"/>
          <w:bCs/>
          <w:color w:val="0000E1"/>
        </w:rPr>
        <w:t>55</w:t>
      </w:r>
      <w:r w:rsidRPr="00C41AA9">
        <w:rPr>
          <w:rFonts w:cstheme="minorHAnsi"/>
          <w:bCs/>
          <w:color w:val="0000E1"/>
        </w:rPr>
        <w:t xml:space="preserve"> for RASA, and OR</w:t>
      </w:r>
      <w:r w:rsidR="00292C33">
        <w:rPr>
          <w:rFonts w:cstheme="minorHAnsi"/>
          <w:bCs/>
          <w:color w:val="0000E1"/>
        </w:rPr>
        <w:t xml:space="preserve"> </w:t>
      </w:r>
      <w:r w:rsidRPr="00C41AA9">
        <w:rPr>
          <w:rFonts w:cstheme="minorHAnsi"/>
          <w:bCs/>
          <w:color w:val="0000E1"/>
        </w:rPr>
        <w:t>=</w:t>
      </w:r>
      <w:r w:rsidR="00292C33">
        <w:rPr>
          <w:rFonts w:cstheme="minorHAnsi"/>
          <w:bCs/>
          <w:color w:val="0000E1"/>
        </w:rPr>
        <w:t xml:space="preserve"> </w:t>
      </w:r>
      <w:r w:rsidRPr="00C41AA9">
        <w:rPr>
          <w:rFonts w:cstheme="minorHAnsi"/>
          <w:bCs/>
          <w:color w:val="0000E1"/>
        </w:rPr>
        <w:t>0.</w:t>
      </w:r>
      <w:r w:rsidR="002B534F" w:rsidRPr="00C41AA9">
        <w:rPr>
          <w:rFonts w:cstheme="minorHAnsi"/>
          <w:bCs/>
          <w:color w:val="0000E1"/>
        </w:rPr>
        <w:t>65 for</w:t>
      </w:r>
      <w:r w:rsidRPr="00C41AA9">
        <w:rPr>
          <w:rFonts w:cstheme="minorHAnsi"/>
          <w:bCs/>
          <w:color w:val="0000E1"/>
        </w:rPr>
        <w:t xml:space="preserve"> Statins).</w:t>
      </w:r>
    </w:p>
    <w:p w14:paraId="2604F7AB" w14:textId="77777777" w:rsidR="000B6D9E" w:rsidRPr="00C41AA9" w:rsidRDefault="000B6D9E" w:rsidP="000B6D9E">
      <w:pPr>
        <w:autoSpaceDE w:val="0"/>
        <w:autoSpaceDN w:val="0"/>
        <w:adjustRightInd w:val="0"/>
        <w:spacing w:after="0" w:line="240" w:lineRule="auto"/>
        <w:rPr>
          <w:rFonts w:cstheme="minorHAnsi"/>
          <w:b/>
          <w:bCs/>
          <w:color w:val="0000E1"/>
        </w:rPr>
      </w:pPr>
    </w:p>
    <w:p w14:paraId="279E2CCB" w14:textId="08510620" w:rsidR="000B6D9E" w:rsidRPr="00C41AA9" w:rsidRDefault="000B6D9E" w:rsidP="000B6D9E">
      <w:pPr>
        <w:autoSpaceDE w:val="0"/>
        <w:autoSpaceDN w:val="0"/>
        <w:adjustRightInd w:val="0"/>
        <w:spacing w:after="0" w:line="240" w:lineRule="auto"/>
        <w:rPr>
          <w:rFonts w:cstheme="minorHAnsi"/>
          <w:bCs/>
          <w:color w:val="0000E1"/>
          <w:u w:val="single"/>
        </w:rPr>
      </w:pPr>
      <w:r w:rsidRPr="00C41AA9">
        <w:rPr>
          <w:rFonts w:cstheme="minorHAnsi"/>
          <w:bCs/>
          <w:color w:val="0000E1"/>
          <w:u w:val="single"/>
        </w:rPr>
        <w:t xml:space="preserve">Low </w:t>
      </w:r>
      <w:r w:rsidR="00DA0358">
        <w:rPr>
          <w:rFonts w:cstheme="minorHAnsi"/>
          <w:bCs/>
          <w:color w:val="0000E1"/>
          <w:u w:val="single"/>
        </w:rPr>
        <w:t xml:space="preserve">vs. </w:t>
      </w:r>
      <w:r w:rsidR="00F30621">
        <w:rPr>
          <w:rFonts w:cstheme="minorHAnsi"/>
          <w:bCs/>
          <w:color w:val="0000E1"/>
          <w:u w:val="single"/>
        </w:rPr>
        <w:t>H</w:t>
      </w:r>
      <w:r w:rsidRPr="00C41AA9">
        <w:rPr>
          <w:rFonts w:cstheme="minorHAnsi"/>
          <w:bCs/>
          <w:color w:val="0000E1"/>
          <w:u w:val="single"/>
        </w:rPr>
        <w:t xml:space="preserve">igh </w:t>
      </w:r>
      <w:r w:rsidR="00162872">
        <w:rPr>
          <w:rFonts w:cstheme="minorHAnsi"/>
          <w:bCs/>
          <w:color w:val="0000E1"/>
          <w:u w:val="single"/>
        </w:rPr>
        <w:t>P</w:t>
      </w:r>
      <w:r w:rsidR="00162872" w:rsidRPr="00C41AA9">
        <w:rPr>
          <w:rFonts w:cstheme="minorHAnsi"/>
          <w:bCs/>
          <w:color w:val="0000E1"/>
          <w:u w:val="single"/>
        </w:rPr>
        <w:t xml:space="preserve">erforming </w:t>
      </w:r>
      <w:r w:rsidR="00162872">
        <w:rPr>
          <w:rFonts w:cstheme="minorHAnsi"/>
          <w:bCs/>
          <w:color w:val="0000E1"/>
          <w:u w:val="single"/>
        </w:rPr>
        <w:t>P</w:t>
      </w:r>
      <w:r w:rsidRPr="00C41AA9">
        <w:rPr>
          <w:rFonts w:cstheme="minorHAnsi"/>
          <w:bCs/>
          <w:color w:val="0000E1"/>
          <w:u w:val="single"/>
        </w:rPr>
        <w:t>lan-</w:t>
      </w:r>
      <w:r w:rsidR="00162872">
        <w:rPr>
          <w:rFonts w:cstheme="minorHAnsi"/>
          <w:bCs/>
          <w:color w:val="0000E1"/>
          <w:u w:val="single"/>
        </w:rPr>
        <w:t>C</w:t>
      </w:r>
      <w:r w:rsidRPr="00C41AA9">
        <w:rPr>
          <w:rFonts w:cstheme="minorHAnsi"/>
          <w:bCs/>
          <w:color w:val="0000E1"/>
          <w:u w:val="single"/>
        </w:rPr>
        <w:t>ontracts</w:t>
      </w:r>
      <w:r w:rsidR="00B01718" w:rsidRPr="00C41AA9">
        <w:rPr>
          <w:rFonts w:cstheme="minorHAnsi"/>
          <w:bCs/>
          <w:color w:val="0000E1"/>
          <w:u w:val="single"/>
        </w:rPr>
        <w:t xml:space="preserve"> (</w:t>
      </w:r>
      <w:r w:rsidR="00162872">
        <w:rPr>
          <w:rFonts w:cstheme="minorHAnsi"/>
          <w:bCs/>
          <w:color w:val="0000E1"/>
          <w:u w:val="single"/>
        </w:rPr>
        <w:t>M</w:t>
      </w:r>
      <w:r w:rsidR="00162872" w:rsidRPr="00C41AA9">
        <w:rPr>
          <w:rFonts w:cstheme="minorHAnsi"/>
          <w:bCs/>
          <w:color w:val="0000E1"/>
          <w:u w:val="single"/>
        </w:rPr>
        <w:t xml:space="preserve">ultivariable </w:t>
      </w:r>
      <w:r w:rsidR="00162872">
        <w:rPr>
          <w:rFonts w:cstheme="minorHAnsi"/>
          <w:bCs/>
          <w:color w:val="0000E1"/>
          <w:u w:val="single"/>
        </w:rPr>
        <w:t>A</w:t>
      </w:r>
      <w:r w:rsidR="00B01718" w:rsidRPr="00C41AA9">
        <w:rPr>
          <w:rFonts w:cstheme="minorHAnsi"/>
          <w:bCs/>
          <w:color w:val="0000E1"/>
          <w:u w:val="single"/>
        </w:rPr>
        <w:t>nalysis)</w:t>
      </w:r>
    </w:p>
    <w:p w14:paraId="7A294122" w14:textId="0EDDA8A6" w:rsidR="00AD7095" w:rsidRPr="00C41AA9" w:rsidRDefault="00AD7095" w:rsidP="000B6D9E">
      <w:pPr>
        <w:autoSpaceDE w:val="0"/>
        <w:autoSpaceDN w:val="0"/>
        <w:adjustRightInd w:val="0"/>
        <w:spacing w:after="0" w:line="240" w:lineRule="auto"/>
        <w:rPr>
          <w:rFonts w:cstheme="minorHAnsi"/>
          <w:bCs/>
          <w:color w:val="0000E1"/>
        </w:rPr>
      </w:pPr>
      <w:r w:rsidRPr="00C41AA9">
        <w:rPr>
          <w:rFonts w:cstheme="minorHAnsi"/>
          <w:bCs/>
          <w:color w:val="0000E1"/>
        </w:rPr>
        <w:t xml:space="preserve">Several members of the RAAP expressed concerns that SDS risk adjustment may mask real disparities and create lower standards of performance for beneficiaries in disadvantaged populations. To assess the impact of risk adjustment on the highest and lowest performing plan-contracts, plan-contracts were </w:t>
      </w:r>
      <w:r w:rsidR="00AA3D11" w:rsidRPr="00C41AA9">
        <w:rPr>
          <w:rFonts w:cstheme="minorHAnsi"/>
          <w:bCs/>
          <w:color w:val="0000E1"/>
        </w:rPr>
        <w:t>rank</w:t>
      </w:r>
      <w:r w:rsidR="00D2318C">
        <w:rPr>
          <w:rFonts w:cstheme="minorHAnsi"/>
          <w:bCs/>
          <w:color w:val="0000E1"/>
        </w:rPr>
        <w:t>ed based on unadjusted and risk-</w:t>
      </w:r>
      <w:r w:rsidR="00AA3D11" w:rsidRPr="00C41AA9">
        <w:rPr>
          <w:rFonts w:cstheme="minorHAnsi"/>
          <w:bCs/>
          <w:color w:val="0000E1"/>
        </w:rPr>
        <w:t>adjusted scores</w:t>
      </w:r>
      <w:r w:rsidR="00292C33">
        <w:rPr>
          <w:rFonts w:cstheme="minorHAnsi"/>
          <w:bCs/>
          <w:color w:val="0000E1"/>
        </w:rPr>
        <w:t>. (see Figures 1-</w:t>
      </w:r>
      <w:r w:rsidRPr="00C41AA9">
        <w:rPr>
          <w:rFonts w:cstheme="minorHAnsi"/>
          <w:bCs/>
          <w:color w:val="0000E1"/>
        </w:rPr>
        <w:t xml:space="preserve">3). </w:t>
      </w:r>
      <w:r w:rsidR="000B6D9E" w:rsidRPr="00C41AA9">
        <w:rPr>
          <w:rFonts w:cstheme="minorHAnsi"/>
          <w:bCs/>
          <w:color w:val="0000E1"/>
        </w:rPr>
        <w:t>For all three therapeutic categor</w:t>
      </w:r>
      <w:r w:rsidR="00EC4E2A" w:rsidRPr="00C41AA9">
        <w:rPr>
          <w:rFonts w:cstheme="minorHAnsi"/>
          <w:bCs/>
          <w:color w:val="0000E1"/>
        </w:rPr>
        <w:t>ies, the lowest performing plan-contracts</w:t>
      </w:r>
      <w:r w:rsidR="000B6D9E" w:rsidRPr="00C41AA9">
        <w:rPr>
          <w:rFonts w:cstheme="minorHAnsi"/>
          <w:bCs/>
          <w:color w:val="0000E1"/>
        </w:rPr>
        <w:t xml:space="preserve"> prior to SDS risk adjustment continued to perform poorly </w:t>
      </w:r>
      <w:r w:rsidR="00A34BB5" w:rsidRPr="00C41AA9">
        <w:rPr>
          <w:rFonts w:cstheme="minorHAnsi"/>
          <w:bCs/>
          <w:color w:val="0000E1"/>
        </w:rPr>
        <w:t>after</w:t>
      </w:r>
      <w:r w:rsidR="000B6D9E" w:rsidRPr="00C41AA9">
        <w:rPr>
          <w:rFonts w:cstheme="minorHAnsi"/>
          <w:bCs/>
          <w:color w:val="0000E1"/>
        </w:rPr>
        <w:t xml:space="preserve"> risk adjustment. This trend also held true </w:t>
      </w:r>
      <w:r w:rsidR="00EC4E2A" w:rsidRPr="00C41AA9">
        <w:rPr>
          <w:rFonts w:cstheme="minorHAnsi"/>
          <w:bCs/>
          <w:color w:val="0000E1"/>
        </w:rPr>
        <w:t>for the highest performing plan-contracts</w:t>
      </w:r>
      <w:r w:rsidR="00AA3D11" w:rsidRPr="00C41AA9">
        <w:rPr>
          <w:rFonts w:cstheme="minorHAnsi"/>
          <w:bCs/>
          <w:color w:val="0000E1"/>
        </w:rPr>
        <w:t>.</w:t>
      </w:r>
    </w:p>
    <w:p w14:paraId="1BB4A9F1" w14:textId="77777777" w:rsidR="00AD7095" w:rsidRPr="00C41AA9" w:rsidRDefault="00AD7095" w:rsidP="000B6D9E">
      <w:pPr>
        <w:autoSpaceDE w:val="0"/>
        <w:autoSpaceDN w:val="0"/>
        <w:adjustRightInd w:val="0"/>
        <w:spacing w:after="0" w:line="240" w:lineRule="auto"/>
        <w:rPr>
          <w:rFonts w:cstheme="minorHAnsi"/>
          <w:bCs/>
          <w:color w:val="0000E1"/>
        </w:rPr>
      </w:pPr>
    </w:p>
    <w:p w14:paraId="7CE84E4D" w14:textId="77777777" w:rsidR="00AA3D11" w:rsidRDefault="00AD7095" w:rsidP="00092566">
      <w:pPr>
        <w:autoSpaceDE w:val="0"/>
        <w:autoSpaceDN w:val="0"/>
        <w:adjustRightInd w:val="0"/>
        <w:spacing w:after="0" w:line="240" w:lineRule="auto"/>
        <w:rPr>
          <w:rFonts w:cstheme="minorHAnsi"/>
          <w:bCs/>
          <w:color w:val="0000E1"/>
        </w:rPr>
      </w:pPr>
      <w:r w:rsidRPr="00C41AA9">
        <w:rPr>
          <w:rFonts w:cstheme="minorHAnsi"/>
          <w:bCs/>
          <w:color w:val="0000E1"/>
        </w:rPr>
        <w:t>This showed that very poor performers and top performers stay the same after risk adjustment, with most of the movement occurring in the middle performing plan-contracts</w:t>
      </w:r>
      <w:r w:rsidR="00E57C81">
        <w:rPr>
          <w:rFonts w:cstheme="minorHAnsi"/>
          <w:bCs/>
          <w:color w:val="0000E1"/>
        </w:rPr>
        <w:t xml:space="preserve">. </w:t>
      </w:r>
      <w:r w:rsidR="00D425AD">
        <w:rPr>
          <w:rFonts w:cstheme="minorHAnsi"/>
          <w:bCs/>
          <w:color w:val="0000E1"/>
        </w:rPr>
        <w:t>Thus, risk</w:t>
      </w:r>
      <w:r w:rsidRPr="00C41AA9">
        <w:rPr>
          <w:rFonts w:cstheme="minorHAnsi"/>
          <w:bCs/>
          <w:color w:val="0000E1"/>
        </w:rPr>
        <w:t xml:space="preserve"> adjustment provided a more accurate reflection of the relative risk of the population of the plan-contra</w:t>
      </w:r>
      <w:r w:rsidR="003705F7" w:rsidRPr="00C41AA9">
        <w:rPr>
          <w:rFonts w:cstheme="minorHAnsi"/>
          <w:bCs/>
          <w:color w:val="0000E1"/>
        </w:rPr>
        <w:t>ct, but still showed which plan-contracts</w:t>
      </w:r>
      <w:r w:rsidRPr="00C41AA9">
        <w:rPr>
          <w:rFonts w:cstheme="minorHAnsi"/>
          <w:bCs/>
          <w:color w:val="0000E1"/>
        </w:rPr>
        <w:t xml:space="preserve"> were performing worse compared to plan-contracts serving similar beneficiaries</w:t>
      </w:r>
      <w:r w:rsidR="00E57C81">
        <w:rPr>
          <w:rFonts w:cstheme="minorHAnsi"/>
          <w:bCs/>
          <w:color w:val="0000E1"/>
        </w:rPr>
        <w:t xml:space="preserve">. </w:t>
      </w:r>
    </w:p>
    <w:p w14:paraId="7710D24F" w14:textId="77777777" w:rsidR="00D63AE9" w:rsidRPr="00C41AA9" w:rsidRDefault="00D63AE9" w:rsidP="00092566">
      <w:pPr>
        <w:autoSpaceDE w:val="0"/>
        <w:autoSpaceDN w:val="0"/>
        <w:adjustRightInd w:val="0"/>
        <w:spacing w:after="0" w:line="240" w:lineRule="auto"/>
        <w:rPr>
          <w:rFonts w:cstheme="minorHAnsi"/>
          <w:b/>
          <w:bCs/>
          <w:color w:val="0000E1"/>
        </w:rPr>
      </w:pPr>
    </w:p>
    <w:p w14:paraId="5B612818" w14:textId="77777777" w:rsidR="000F4171" w:rsidRPr="00DD0554" w:rsidRDefault="00E842D7" w:rsidP="00092566">
      <w:pPr>
        <w:autoSpaceDE w:val="0"/>
        <w:autoSpaceDN w:val="0"/>
        <w:adjustRightInd w:val="0"/>
        <w:spacing w:after="0" w:line="240" w:lineRule="auto"/>
        <w:rPr>
          <w:rFonts w:cstheme="minorHAnsi"/>
          <w:bCs/>
          <w:i/>
          <w:color w:val="0000E1"/>
        </w:rPr>
      </w:pPr>
      <w:r w:rsidRPr="00C41AA9">
        <w:rPr>
          <w:rFonts w:cstheme="minorHAnsi"/>
          <w:bCs/>
          <w:i/>
          <w:color w:val="0000E1"/>
        </w:rPr>
        <w:t xml:space="preserve">Note: The </w:t>
      </w:r>
      <w:r w:rsidR="00767C96" w:rsidRPr="00C41AA9">
        <w:rPr>
          <w:rFonts w:cstheme="minorHAnsi"/>
          <w:bCs/>
          <w:i/>
          <w:color w:val="0000E1"/>
        </w:rPr>
        <w:t>higher</w:t>
      </w:r>
      <w:r w:rsidRPr="00C41AA9">
        <w:rPr>
          <w:rFonts w:cstheme="minorHAnsi"/>
          <w:bCs/>
          <w:i/>
          <w:color w:val="0000E1"/>
        </w:rPr>
        <w:t xml:space="preserve"> the ranking, the </w:t>
      </w:r>
      <w:r w:rsidR="00F70BB3" w:rsidRPr="00C41AA9">
        <w:rPr>
          <w:rFonts w:cstheme="minorHAnsi"/>
          <w:bCs/>
          <w:i/>
          <w:color w:val="0000E1"/>
        </w:rPr>
        <w:t>better</w:t>
      </w:r>
      <w:r w:rsidRPr="00C41AA9">
        <w:rPr>
          <w:rFonts w:cstheme="minorHAnsi"/>
          <w:bCs/>
          <w:i/>
          <w:color w:val="0000E1"/>
        </w:rPr>
        <w:t xml:space="preserve"> the plan-contract performance</w:t>
      </w:r>
      <w:r w:rsidR="004B200D" w:rsidRPr="00C41AA9">
        <w:rPr>
          <w:rFonts w:cstheme="minorHAnsi"/>
          <w:bCs/>
          <w:i/>
          <w:color w:val="0000E1"/>
        </w:rPr>
        <w:t xml:space="preserve"> </w:t>
      </w:r>
    </w:p>
    <w:p w14:paraId="394C0340" w14:textId="77777777" w:rsidR="000F4171" w:rsidRDefault="000F4171" w:rsidP="00092566">
      <w:pPr>
        <w:autoSpaceDE w:val="0"/>
        <w:autoSpaceDN w:val="0"/>
        <w:adjustRightInd w:val="0"/>
        <w:spacing w:after="0" w:line="240" w:lineRule="auto"/>
        <w:rPr>
          <w:rFonts w:cstheme="minorHAnsi"/>
          <w:b/>
          <w:bCs/>
          <w:color w:val="0000E1"/>
        </w:rPr>
      </w:pPr>
    </w:p>
    <w:p w14:paraId="3425829F" w14:textId="77777777" w:rsidR="00514AB6" w:rsidRPr="00C41AA9" w:rsidRDefault="00514AB6" w:rsidP="00092566">
      <w:pPr>
        <w:autoSpaceDE w:val="0"/>
        <w:autoSpaceDN w:val="0"/>
        <w:adjustRightInd w:val="0"/>
        <w:spacing w:after="0" w:line="240" w:lineRule="auto"/>
        <w:rPr>
          <w:rFonts w:cstheme="minorHAnsi"/>
          <w:b/>
          <w:bCs/>
          <w:color w:val="0000E1"/>
        </w:rPr>
      </w:pPr>
      <w:r w:rsidRPr="00C41AA9">
        <w:rPr>
          <w:rFonts w:cstheme="minorHAnsi"/>
          <w:b/>
          <w:bCs/>
          <w:color w:val="0000E1"/>
        </w:rPr>
        <w:t xml:space="preserve">Figure 1. Unadjusted </w:t>
      </w:r>
      <w:r w:rsidR="00DA0358">
        <w:rPr>
          <w:rFonts w:cstheme="minorHAnsi"/>
          <w:b/>
          <w:bCs/>
          <w:color w:val="0000E1"/>
        </w:rPr>
        <w:t>vs.</w:t>
      </w:r>
      <w:r w:rsidR="00DA0358" w:rsidRPr="00C41AA9">
        <w:rPr>
          <w:rFonts w:cstheme="minorHAnsi"/>
          <w:b/>
          <w:bCs/>
          <w:color w:val="0000E1"/>
        </w:rPr>
        <w:t xml:space="preserve"> Risk</w:t>
      </w:r>
      <w:r w:rsidRPr="00C41AA9">
        <w:rPr>
          <w:rFonts w:cstheme="minorHAnsi"/>
          <w:b/>
          <w:bCs/>
          <w:color w:val="0000E1"/>
        </w:rPr>
        <w:t>-Adjusted Rankings – Diabetes</w:t>
      </w:r>
    </w:p>
    <w:p w14:paraId="1E10D578" w14:textId="77777777" w:rsidR="00514AB6" w:rsidRPr="00C41AA9" w:rsidRDefault="00477E55" w:rsidP="00092566">
      <w:pPr>
        <w:autoSpaceDE w:val="0"/>
        <w:autoSpaceDN w:val="0"/>
        <w:adjustRightInd w:val="0"/>
        <w:spacing w:after="0" w:line="240" w:lineRule="auto"/>
        <w:rPr>
          <w:rFonts w:cstheme="minorHAnsi"/>
          <w:b/>
          <w:bCs/>
          <w:color w:val="0000E1"/>
        </w:rPr>
      </w:pPr>
      <w:r w:rsidRPr="00C41AA9">
        <w:rPr>
          <w:noProof/>
          <w:color w:val="0000E1"/>
        </w:rPr>
        <w:drawing>
          <wp:inline distT="0" distB="0" distL="0" distR="0" wp14:anchorId="569FC865" wp14:editId="4AD7B0F8">
            <wp:extent cx="5943600" cy="1927860"/>
            <wp:effectExtent l="0" t="0" r="0" b="15240"/>
            <wp:docPr id="4" name="Chart 4">
              <a:extLst xmlns:a="http://schemas.openxmlformats.org/drawingml/2006/main">
                <a:ext uri="{FF2B5EF4-FFF2-40B4-BE49-F238E27FC236}">
                  <a16:creationId xmlns:a16="http://schemas.microsoft.com/office/drawing/2014/main" id="{12B12E87-3E75-4FA7-8E72-52B31BABEDD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14:paraId="2A945733" w14:textId="77777777" w:rsidR="004C5272" w:rsidRDefault="004C5272" w:rsidP="00092566">
      <w:pPr>
        <w:autoSpaceDE w:val="0"/>
        <w:autoSpaceDN w:val="0"/>
        <w:adjustRightInd w:val="0"/>
        <w:spacing w:after="0" w:line="240" w:lineRule="auto"/>
        <w:rPr>
          <w:rFonts w:cstheme="minorHAnsi"/>
          <w:b/>
          <w:bCs/>
          <w:color w:val="0000E1"/>
        </w:rPr>
      </w:pPr>
    </w:p>
    <w:p w14:paraId="57AC200D" w14:textId="77777777" w:rsidR="004C5272" w:rsidRDefault="004C5272" w:rsidP="00092566">
      <w:pPr>
        <w:autoSpaceDE w:val="0"/>
        <w:autoSpaceDN w:val="0"/>
        <w:adjustRightInd w:val="0"/>
        <w:spacing w:after="0" w:line="240" w:lineRule="auto"/>
        <w:rPr>
          <w:rFonts w:cstheme="minorHAnsi"/>
          <w:b/>
          <w:bCs/>
          <w:color w:val="0000E1"/>
        </w:rPr>
      </w:pPr>
    </w:p>
    <w:p w14:paraId="6F6F555D" w14:textId="77777777" w:rsidR="004C5272" w:rsidRDefault="004C5272" w:rsidP="00092566">
      <w:pPr>
        <w:autoSpaceDE w:val="0"/>
        <w:autoSpaceDN w:val="0"/>
        <w:adjustRightInd w:val="0"/>
        <w:spacing w:after="0" w:line="240" w:lineRule="auto"/>
        <w:rPr>
          <w:rFonts w:cstheme="minorHAnsi"/>
          <w:b/>
          <w:bCs/>
          <w:color w:val="0000E1"/>
        </w:rPr>
      </w:pPr>
    </w:p>
    <w:p w14:paraId="0E35FBE9" w14:textId="77777777" w:rsidR="004C5272" w:rsidRDefault="004C5272" w:rsidP="00092566">
      <w:pPr>
        <w:autoSpaceDE w:val="0"/>
        <w:autoSpaceDN w:val="0"/>
        <w:adjustRightInd w:val="0"/>
        <w:spacing w:after="0" w:line="240" w:lineRule="auto"/>
        <w:rPr>
          <w:rFonts w:cstheme="minorHAnsi"/>
          <w:b/>
          <w:bCs/>
          <w:color w:val="0000E1"/>
        </w:rPr>
      </w:pPr>
    </w:p>
    <w:p w14:paraId="54241433" w14:textId="77777777" w:rsidR="004C5272" w:rsidRDefault="004C5272" w:rsidP="00092566">
      <w:pPr>
        <w:autoSpaceDE w:val="0"/>
        <w:autoSpaceDN w:val="0"/>
        <w:adjustRightInd w:val="0"/>
        <w:spacing w:after="0" w:line="240" w:lineRule="auto"/>
        <w:rPr>
          <w:rFonts w:cstheme="minorHAnsi"/>
          <w:b/>
          <w:bCs/>
          <w:color w:val="0000E1"/>
        </w:rPr>
      </w:pPr>
    </w:p>
    <w:p w14:paraId="1E691E84" w14:textId="77777777" w:rsidR="004C5272" w:rsidRDefault="004C5272" w:rsidP="00092566">
      <w:pPr>
        <w:autoSpaceDE w:val="0"/>
        <w:autoSpaceDN w:val="0"/>
        <w:adjustRightInd w:val="0"/>
        <w:spacing w:after="0" w:line="240" w:lineRule="auto"/>
        <w:rPr>
          <w:rFonts w:cstheme="minorHAnsi"/>
          <w:b/>
          <w:bCs/>
          <w:color w:val="0000E1"/>
        </w:rPr>
      </w:pPr>
    </w:p>
    <w:p w14:paraId="29A8FECB" w14:textId="77777777" w:rsidR="004C5272" w:rsidRDefault="004C5272" w:rsidP="00092566">
      <w:pPr>
        <w:autoSpaceDE w:val="0"/>
        <w:autoSpaceDN w:val="0"/>
        <w:adjustRightInd w:val="0"/>
        <w:spacing w:after="0" w:line="240" w:lineRule="auto"/>
        <w:rPr>
          <w:rFonts w:cstheme="minorHAnsi"/>
          <w:b/>
          <w:bCs/>
          <w:color w:val="0000E1"/>
        </w:rPr>
      </w:pPr>
    </w:p>
    <w:p w14:paraId="5ED9477C" w14:textId="77777777" w:rsidR="004C5272" w:rsidRDefault="004C5272" w:rsidP="00092566">
      <w:pPr>
        <w:autoSpaceDE w:val="0"/>
        <w:autoSpaceDN w:val="0"/>
        <w:adjustRightInd w:val="0"/>
        <w:spacing w:after="0" w:line="240" w:lineRule="auto"/>
        <w:rPr>
          <w:rFonts w:cstheme="minorHAnsi"/>
          <w:b/>
          <w:bCs/>
          <w:color w:val="0000E1"/>
        </w:rPr>
      </w:pPr>
    </w:p>
    <w:p w14:paraId="7DE5891F" w14:textId="77777777" w:rsidR="004C5272" w:rsidRDefault="004C5272" w:rsidP="00092566">
      <w:pPr>
        <w:autoSpaceDE w:val="0"/>
        <w:autoSpaceDN w:val="0"/>
        <w:adjustRightInd w:val="0"/>
        <w:spacing w:after="0" w:line="240" w:lineRule="auto"/>
        <w:rPr>
          <w:rFonts w:cstheme="minorHAnsi"/>
          <w:b/>
          <w:bCs/>
          <w:color w:val="0000E1"/>
        </w:rPr>
      </w:pPr>
    </w:p>
    <w:p w14:paraId="13DF1A5D" w14:textId="77777777" w:rsidR="004C5272" w:rsidRDefault="004C5272" w:rsidP="00092566">
      <w:pPr>
        <w:autoSpaceDE w:val="0"/>
        <w:autoSpaceDN w:val="0"/>
        <w:adjustRightInd w:val="0"/>
        <w:spacing w:after="0" w:line="240" w:lineRule="auto"/>
        <w:rPr>
          <w:rFonts w:cstheme="minorHAnsi"/>
          <w:b/>
          <w:bCs/>
          <w:color w:val="0000E1"/>
        </w:rPr>
      </w:pPr>
    </w:p>
    <w:p w14:paraId="2124FC8E" w14:textId="77777777" w:rsidR="004C5272" w:rsidRDefault="004C5272" w:rsidP="00092566">
      <w:pPr>
        <w:autoSpaceDE w:val="0"/>
        <w:autoSpaceDN w:val="0"/>
        <w:adjustRightInd w:val="0"/>
        <w:spacing w:after="0" w:line="240" w:lineRule="auto"/>
        <w:rPr>
          <w:rFonts w:cstheme="minorHAnsi"/>
          <w:b/>
          <w:bCs/>
          <w:color w:val="0000E1"/>
        </w:rPr>
      </w:pPr>
    </w:p>
    <w:p w14:paraId="3C6315AE" w14:textId="71032811" w:rsidR="00514AB6" w:rsidRPr="00C41AA9" w:rsidRDefault="00514AB6" w:rsidP="00092566">
      <w:pPr>
        <w:autoSpaceDE w:val="0"/>
        <w:autoSpaceDN w:val="0"/>
        <w:adjustRightInd w:val="0"/>
        <w:spacing w:after="0" w:line="240" w:lineRule="auto"/>
        <w:rPr>
          <w:rFonts w:cstheme="minorHAnsi"/>
          <w:b/>
          <w:bCs/>
          <w:color w:val="0000E1"/>
        </w:rPr>
      </w:pPr>
      <w:r w:rsidRPr="00C41AA9">
        <w:rPr>
          <w:rFonts w:cstheme="minorHAnsi"/>
          <w:b/>
          <w:bCs/>
          <w:color w:val="0000E1"/>
        </w:rPr>
        <w:lastRenderedPageBreak/>
        <w:t xml:space="preserve">Figure 2. Unadjusted </w:t>
      </w:r>
      <w:r w:rsidR="00DA0358">
        <w:rPr>
          <w:rFonts w:cstheme="minorHAnsi"/>
          <w:b/>
          <w:bCs/>
          <w:color w:val="0000E1"/>
        </w:rPr>
        <w:t>vs.</w:t>
      </w:r>
      <w:r w:rsidR="00DA0358" w:rsidRPr="00C41AA9">
        <w:rPr>
          <w:rFonts w:cstheme="minorHAnsi"/>
          <w:b/>
          <w:bCs/>
          <w:color w:val="0000E1"/>
        </w:rPr>
        <w:t xml:space="preserve"> Risk</w:t>
      </w:r>
      <w:r w:rsidRPr="00C41AA9">
        <w:rPr>
          <w:rFonts w:cstheme="minorHAnsi"/>
          <w:b/>
          <w:bCs/>
          <w:color w:val="0000E1"/>
        </w:rPr>
        <w:t xml:space="preserve">-Adjusted Rankings – RASA </w:t>
      </w:r>
    </w:p>
    <w:p w14:paraId="40437E64" w14:textId="77777777" w:rsidR="00514AB6" w:rsidRPr="00C41AA9" w:rsidRDefault="00BE7459" w:rsidP="00092566">
      <w:pPr>
        <w:autoSpaceDE w:val="0"/>
        <w:autoSpaceDN w:val="0"/>
        <w:adjustRightInd w:val="0"/>
        <w:spacing w:after="0" w:line="240" w:lineRule="auto"/>
        <w:rPr>
          <w:rFonts w:cstheme="minorHAnsi"/>
          <w:b/>
          <w:bCs/>
          <w:color w:val="0000E1"/>
        </w:rPr>
      </w:pPr>
      <w:r w:rsidRPr="00C41AA9">
        <w:rPr>
          <w:noProof/>
          <w:color w:val="0000E1"/>
        </w:rPr>
        <w:drawing>
          <wp:inline distT="0" distB="0" distL="0" distR="0" wp14:anchorId="4FACF19C" wp14:editId="38BDCD82">
            <wp:extent cx="5943600" cy="1882140"/>
            <wp:effectExtent l="0" t="0" r="0" b="3810"/>
            <wp:docPr id="1" name="Chart 1">
              <a:extLst xmlns:a="http://schemas.openxmlformats.org/drawingml/2006/main">
                <a:ext uri="{FF2B5EF4-FFF2-40B4-BE49-F238E27FC236}">
                  <a16:creationId xmlns:a16="http://schemas.microsoft.com/office/drawing/2014/main" id="{70747462-7976-44DE-B3B7-21B83F22BA7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14:paraId="7854956C" w14:textId="77777777" w:rsidR="00514AB6" w:rsidRPr="00C41AA9" w:rsidRDefault="00514AB6" w:rsidP="00092566">
      <w:pPr>
        <w:autoSpaceDE w:val="0"/>
        <w:autoSpaceDN w:val="0"/>
        <w:adjustRightInd w:val="0"/>
        <w:spacing w:after="0" w:line="240" w:lineRule="auto"/>
        <w:rPr>
          <w:rFonts w:cstheme="minorHAnsi"/>
          <w:b/>
          <w:bCs/>
          <w:color w:val="0000E1"/>
        </w:rPr>
      </w:pPr>
    </w:p>
    <w:p w14:paraId="5FF53AEE" w14:textId="77777777" w:rsidR="00AA3D11" w:rsidRPr="00C41AA9" w:rsidRDefault="00AA3D11" w:rsidP="00092566">
      <w:pPr>
        <w:autoSpaceDE w:val="0"/>
        <w:autoSpaceDN w:val="0"/>
        <w:adjustRightInd w:val="0"/>
        <w:spacing w:after="0" w:line="240" w:lineRule="auto"/>
        <w:rPr>
          <w:rFonts w:cstheme="minorHAnsi"/>
          <w:b/>
          <w:bCs/>
          <w:color w:val="0000E1"/>
        </w:rPr>
      </w:pPr>
      <w:r w:rsidRPr="00C41AA9">
        <w:rPr>
          <w:rFonts w:cstheme="minorHAnsi"/>
          <w:b/>
          <w:bCs/>
          <w:color w:val="0000E1"/>
        </w:rPr>
        <w:t xml:space="preserve">Figure 3. </w:t>
      </w:r>
      <w:r w:rsidR="00514AB6" w:rsidRPr="00C41AA9">
        <w:rPr>
          <w:rFonts w:cstheme="minorHAnsi"/>
          <w:b/>
          <w:bCs/>
          <w:color w:val="0000E1"/>
        </w:rPr>
        <w:t>Unadjusted vs. Risk-</w:t>
      </w:r>
      <w:r w:rsidR="00E42960" w:rsidRPr="00C41AA9">
        <w:rPr>
          <w:rFonts w:cstheme="minorHAnsi"/>
          <w:b/>
          <w:bCs/>
          <w:color w:val="0000E1"/>
        </w:rPr>
        <w:t xml:space="preserve">Adjusted Rankings </w:t>
      </w:r>
      <w:r w:rsidR="00514AB6" w:rsidRPr="00C41AA9">
        <w:rPr>
          <w:rFonts w:cstheme="minorHAnsi"/>
          <w:b/>
          <w:bCs/>
          <w:color w:val="0000E1"/>
        </w:rPr>
        <w:t>–</w:t>
      </w:r>
      <w:r w:rsidR="00E42960" w:rsidRPr="00C41AA9">
        <w:rPr>
          <w:rFonts w:cstheme="minorHAnsi"/>
          <w:b/>
          <w:bCs/>
          <w:color w:val="0000E1"/>
        </w:rPr>
        <w:t xml:space="preserve"> Statins</w:t>
      </w:r>
    </w:p>
    <w:p w14:paraId="5DE2AF79" w14:textId="77777777" w:rsidR="00686E66" w:rsidRPr="00C41AA9" w:rsidRDefault="00686E66" w:rsidP="00092566">
      <w:pPr>
        <w:autoSpaceDE w:val="0"/>
        <w:autoSpaceDN w:val="0"/>
        <w:adjustRightInd w:val="0"/>
        <w:spacing w:after="0" w:line="240" w:lineRule="auto"/>
        <w:rPr>
          <w:rFonts w:cstheme="minorHAnsi"/>
          <w:b/>
          <w:bCs/>
          <w:color w:val="0000E1"/>
        </w:rPr>
      </w:pPr>
      <w:r w:rsidRPr="00C41AA9">
        <w:rPr>
          <w:noProof/>
          <w:color w:val="0000E1"/>
        </w:rPr>
        <w:drawing>
          <wp:inline distT="0" distB="0" distL="0" distR="0" wp14:anchorId="6481B3EA" wp14:editId="5EE000FB">
            <wp:extent cx="5943600" cy="1771650"/>
            <wp:effectExtent l="0" t="0" r="0" b="0"/>
            <wp:docPr id="3" name="Chart 3">
              <a:extLst xmlns:a="http://schemas.openxmlformats.org/drawingml/2006/main">
                <a:ext uri="{FF2B5EF4-FFF2-40B4-BE49-F238E27FC236}">
                  <a16:creationId xmlns:a16="http://schemas.microsoft.com/office/drawing/2014/main" id="{ED415073-3846-40FC-97B7-CF43DF2FE48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14:paraId="5C72AE31" w14:textId="77777777" w:rsidR="00E1567D" w:rsidRDefault="00E1567D" w:rsidP="00092566">
      <w:pPr>
        <w:autoSpaceDE w:val="0"/>
        <w:autoSpaceDN w:val="0"/>
        <w:adjustRightInd w:val="0"/>
        <w:spacing w:after="0" w:line="240" w:lineRule="auto"/>
        <w:rPr>
          <w:rFonts w:cstheme="minorHAnsi"/>
          <w:b/>
          <w:bCs/>
        </w:rPr>
      </w:pPr>
    </w:p>
    <w:p w14:paraId="36916398" w14:textId="77777777" w:rsidR="00092566" w:rsidRDefault="009C7513" w:rsidP="00092566">
      <w:pPr>
        <w:autoSpaceDE w:val="0"/>
        <w:autoSpaceDN w:val="0"/>
        <w:adjustRightInd w:val="0"/>
        <w:spacing w:after="0" w:line="240" w:lineRule="auto"/>
        <w:rPr>
          <w:rFonts w:cstheme="minorHAnsi"/>
          <w:bCs/>
        </w:rPr>
      </w:pPr>
      <w:r w:rsidRPr="00FC5FE7">
        <w:rPr>
          <w:rFonts w:cstheme="minorHAnsi"/>
          <w:b/>
          <w:bCs/>
        </w:rPr>
        <w:t>2b3</w:t>
      </w:r>
      <w:r w:rsidR="00E1508F" w:rsidRPr="00FC5FE7">
        <w:rPr>
          <w:rFonts w:cstheme="minorHAnsi"/>
          <w:b/>
          <w:bCs/>
        </w:rPr>
        <w:t>.</w:t>
      </w:r>
      <w:r w:rsidR="00092566" w:rsidRPr="00FC5FE7">
        <w:rPr>
          <w:rFonts w:cstheme="minorHAnsi"/>
          <w:b/>
          <w:bCs/>
        </w:rPr>
        <w:t xml:space="preserve">5. </w:t>
      </w:r>
      <w:r w:rsidR="008871A9" w:rsidRPr="00FC5FE7">
        <w:rPr>
          <w:rFonts w:cstheme="minorHAnsi"/>
          <w:b/>
          <w:bCs/>
        </w:rPr>
        <w:t>Describe the method of</w:t>
      </w:r>
      <w:r w:rsidR="00092566" w:rsidRPr="00FC5FE7">
        <w:rPr>
          <w:rFonts w:cstheme="minorHAnsi"/>
          <w:b/>
          <w:bCs/>
        </w:rPr>
        <w:t xml:space="preserve"> </w:t>
      </w:r>
      <w:r w:rsidR="008871A9" w:rsidRPr="00FC5FE7">
        <w:rPr>
          <w:rFonts w:cstheme="minorHAnsi"/>
          <w:b/>
          <w:bCs/>
        </w:rPr>
        <w:t xml:space="preserve">testing/analysis used </w:t>
      </w:r>
      <w:r w:rsidR="00092566" w:rsidRPr="00FC5FE7">
        <w:rPr>
          <w:rFonts w:cstheme="minorHAnsi"/>
          <w:b/>
          <w:bCs/>
        </w:rPr>
        <w:t xml:space="preserve">to develop and validate the adequacy of the statistical model </w:t>
      </w:r>
      <w:r w:rsidR="00092566" w:rsidRPr="00FC5FE7">
        <w:rPr>
          <w:rFonts w:cstheme="minorHAnsi"/>
          <w:b/>
          <w:bCs/>
          <w:u w:val="single"/>
        </w:rPr>
        <w:t>or</w:t>
      </w:r>
      <w:r w:rsidR="00092566" w:rsidRPr="00FC5FE7">
        <w:rPr>
          <w:rFonts w:cstheme="minorHAnsi"/>
          <w:b/>
          <w:bCs/>
        </w:rPr>
        <w:t xml:space="preserve"> stratification approach</w:t>
      </w:r>
      <w:r w:rsidR="00092566" w:rsidRPr="00FC5FE7">
        <w:rPr>
          <w:rFonts w:cstheme="minorHAnsi"/>
          <w:bCs/>
        </w:rPr>
        <w:t xml:space="preserve"> (</w:t>
      </w:r>
      <w:r w:rsidR="008871A9" w:rsidRPr="00FC5FE7">
        <w:rPr>
          <w:rFonts w:cstheme="minorHAnsi"/>
          <w:bCs/>
          <w:i/>
        </w:rPr>
        <w:t>describe the steps―do not just name a method</w:t>
      </w:r>
      <w:r w:rsidR="006C3A4F" w:rsidRPr="00FC5FE7">
        <w:rPr>
          <w:rFonts w:cstheme="minorHAnsi"/>
          <w:bCs/>
          <w:i/>
        </w:rPr>
        <w:t>; what statistical analysis was used</w:t>
      </w:r>
      <w:r w:rsidR="00CE0D1E" w:rsidRPr="00FC5FE7">
        <w:rPr>
          <w:rFonts w:cstheme="minorHAnsi"/>
          <w:bCs/>
        </w:rPr>
        <w:t>)</w:t>
      </w:r>
    </w:p>
    <w:p w14:paraId="02A6973D" w14:textId="77777777" w:rsidR="0050411D" w:rsidRDefault="0050411D" w:rsidP="00092566">
      <w:pPr>
        <w:autoSpaceDE w:val="0"/>
        <w:autoSpaceDN w:val="0"/>
        <w:adjustRightInd w:val="0"/>
        <w:spacing w:after="0" w:line="240" w:lineRule="auto"/>
        <w:rPr>
          <w:rFonts w:cstheme="minorHAnsi"/>
          <w:bCs/>
        </w:rPr>
      </w:pPr>
    </w:p>
    <w:p w14:paraId="4C04AA8B" w14:textId="77777777" w:rsidR="00390886" w:rsidRPr="00390886" w:rsidRDefault="00DC48C1" w:rsidP="00092566">
      <w:pPr>
        <w:autoSpaceDE w:val="0"/>
        <w:autoSpaceDN w:val="0"/>
        <w:adjustRightInd w:val="0"/>
        <w:spacing w:after="0" w:line="240" w:lineRule="auto"/>
        <w:rPr>
          <w:rFonts w:cstheme="minorHAnsi"/>
          <w:bCs/>
          <w:color w:val="0000E1"/>
        </w:rPr>
      </w:pPr>
      <w:r w:rsidRPr="00390886">
        <w:rPr>
          <w:rFonts w:cstheme="minorHAnsi"/>
          <w:bCs/>
          <w:color w:val="0000E1"/>
        </w:rPr>
        <w:t xml:space="preserve">Risk adjustment is important </w:t>
      </w:r>
      <w:r w:rsidR="00A11EFA">
        <w:rPr>
          <w:rFonts w:cstheme="minorHAnsi"/>
          <w:bCs/>
          <w:color w:val="0000E1"/>
        </w:rPr>
        <w:t>in making fair</w:t>
      </w:r>
      <w:r w:rsidR="00EE2C33" w:rsidRPr="00390886">
        <w:rPr>
          <w:rFonts w:cstheme="minorHAnsi"/>
          <w:bCs/>
          <w:color w:val="0000E1"/>
        </w:rPr>
        <w:t xml:space="preserve"> comparisons among plan-contracts. However, it may introduce an uncertainty when alternative statistical methodologies do not agree on which plan-contracts are identified as high-</w:t>
      </w:r>
      <w:r w:rsidR="0049323E" w:rsidRPr="00390886">
        <w:rPr>
          <w:rFonts w:cstheme="minorHAnsi"/>
          <w:bCs/>
          <w:color w:val="0000E1"/>
        </w:rPr>
        <w:t xml:space="preserve"> and low-quality.</w:t>
      </w:r>
      <w:r w:rsidR="002A5AFA" w:rsidRPr="00390886">
        <w:rPr>
          <w:rFonts w:cstheme="minorHAnsi"/>
          <w:bCs/>
          <w:color w:val="0000E1"/>
          <w:vertAlign w:val="superscript"/>
        </w:rPr>
        <w:t>1-3</w:t>
      </w:r>
      <w:r w:rsidR="00EE2C33" w:rsidRPr="00390886">
        <w:rPr>
          <w:rFonts w:cstheme="minorHAnsi"/>
          <w:bCs/>
          <w:color w:val="0000E1"/>
        </w:rPr>
        <w:t xml:space="preserve"> </w:t>
      </w:r>
      <w:r w:rsidR="00807EAA" w:rsidRPr="00390886">
        <w:rPr>
          <w:rFonts w:cstheme="minorHAnsi"/>
          <w:bCs/>
          <w:color w:val="0000E1"/>
        </w:rPr>
        <w:t>Based on literature review</w:t>
      </w:r>
      <w:r w:rsidR="00807EAA" w:rsidRPr="00390886">
        <w:rPr>
          <w:rFonts w:cstheme="minorHAnsi"/>
          <w:bCs/>
          <w:color w:val="0000E1"/>
          <w:vertAlign w:val="superscript"/>
        </w:rPr>
        <w:t>4-6</w:t>
      </w:r>
      <w:r w:rsidR="00807EAA" w:rsidRPr="00390886">
        <w:rPr>
          <w:rFonts w:cstheme="minorHAnsi"/>
          <w:bCs/>
          <w:color w:val="0000E1"/>
        </w:rPr>
        <w:t xml:space="preserve"> and discussions with subject matter experts, the RAAP identified </w:t>
      </w:r>
      <w:r w:rsidR="006B3F1E" w:rsidRPr="00390886">
        <w:rPr>
          <w:rFonts w:cstheme="minorHAnsi"/>
          <w:bCs/>
          <w:color w:val="0000E1"/>
        </w:rPr>
        <w:t>the</w:t>
      </w:r>
      <w:r w:rsidR="00807EAA" w:rsidRPr="00390886">
        <w:rPr>
          <w:rFonts w:cstheme="minorHAnsi"/>
          <w:bCs/>
          <w:color w:val="0000E1"/>
        </w:rPr>
        <w:t xml:space="preserve"> multivariable, random effects logistic regression model as the </w:t>
      </w:r>
      <w:r w:rsidR="006B3F1E" w:rsidRPr="00390886">
        <w:rPr>
          <w:rFonts w:cstheme="minorHAnsi"/>
          <w:bCs/>
          <w:color w:val="0000E1"/>
        </w:rPr>
        <w:t xml:space="preserve">suitable </w:t>
      </w:r>
      <w:r w:rsidR="00807EAA" w:rsidRPr="00390886">
        <w:rPr>
          <w:rFonts w:cstheme="minorHAnsi"/>
          <w:bCs/>
          <w:color w:val="0000E1"/>
        </w:rPr>
        <w:t>method for SDS risk adjustment</w:t>
      </w:r>
      <w:r w:rsidR="00E57C81">
        <w:rPr>
          <w:rFonts w:cstheme="minorHAnsi"/>
          <w:bCs/>
          <w:color w:val="0000E1"/>
        </w:rPr>
        <w:t xml:space="preserve">. </w:t>
      </w:r>
      <w:r w:rsidR="00807EAA" w:rsidRPr="00390886">
        <w:rPr>
          <w:rFonts w:cstheme="minorHAnsi"/>
          <w:bCs/>
          <w:color w:val="0000E1"/>
        </w:rPr>
        <w:t xml:space="preserve">To validate this statistical methodology, we considered an alternative approach, using the classical logistic regression model, which assumes that individuals are independent observations in the dataset, </w:t>
      </w:r>
      <w:r w:rsidR="002108B0" w:rsidRPr="00390886">
        <w:rPr>
          <w:rFonts w:cstheme="minorHAnsi"/>
          <w:bCs/>
          <w:color w:val="0000E1"/>
        </w:rPr>
        <w:t>and does not account for the nesting of contracts within plans</w:t>
      </w:r>
      <w:r w:rsidR="00E57C81">
        <w:rPr>
          <w:rFonts w:cstheme="minorHAnsi"/>
          <w:bCs/>
          <w:color w:val="0000E1"/>
        </w:rPr>
        <w:t xml:space="preserve">. </w:t>
      </w:r>
    </w:p>
    <w:p w14:paraId="6A0F76DB" w14:textId="77777777" w:rsidR="00390886" w:rsidRPr="00390886" w:rsidRDefault="00390886" w:rsidP="00092566">
      <w:pPr>
        <w:autoSpaceDE w:val="0"/>
        <w:autoSpaceDN w:val="0"/>
        <w:adjustRightInd w:val="0"/>
        <w:spacing w:after="0" w:line="240" w:lineRule="auto"/>
        <w:rPr>
          <w:rFonts w:cstheme="minorHAnsi"/>
          <w:bCs/>
          <w:color w:val="0000E1"/>
        </w:rPr>
      </w:pPr>
    </w:p>
    <w:p w14:paraId="6E4F90AA" w14:textId="77777777" w:rsidR="00852846" w:rsidRPr="00FA2447" w:rsidRDefault="008C4AB7" w:rsidP="00092566">
      <w:pPr>
        <w:autoSpaceDE w:val="0"/>
        <w:autoSpaceDN w:val="0"/>
        <w:adjustRightInd w:val="0"/>
        <w:spacing w:after="0" w:line="240" w:lineRule="auto"/>
        <w:rPr>
          <w:rFonts w:cstheme="minorHAnsi"/>
          <w:bCs/>
          <w:color w:val="0000E1"/>
        </w:rPr>
      </w:pPr>
      <w:r w:rsidRPr="00390886">
        <w:rPr>
          <w:rFonts w:cstheme="minorHAnsi"/>
          <w:bCs/>
          <w:color w:val="0000E1"/>
        </w:rPr>
        <w:t>We hypothesized that risk-</w:t>
      </w:r>
      <w:r w:rsidR="00807EAA" w:rsidRPr="00390886">
        <w:rPr>
          <w:rFonts w:cstheme="minorHAnsi"/>
          <w:bCs/>
          <w:color w:val="0000E1"/>
        </w:rPr>
        <w:t xml:space="preserve">adjusted measure scores would show better overall agreement with each other than with the unadjusted compared to each risk-adjusted </w:t>
      </w:r>
      <w:r w:rsidR="00624AFB" w:rsidRPr="00390886">
        <w:rPr>
          <w:rFonts w:cstheme="minorHAnsi"/>
          <w:bCs/>
          <w:color w:val="0000E1"/>
        </w:rPr>
        <w:t>score</w:t>
      </w:r>
      <w:r w:rsidR="00E57C81">
        <w:rPr>
          <w:rFonts w:cstheme="minorHAnsi"/>
          <w:bCs/>
          <w:color w:val="0000E1"/>
        </w:rPr>
        <w:t xml:space="preserve">. </w:t>
      </w:r>
      <w:r w:rsidR="00624AFB" w:rsidRPr="00390886">
        <w:rPr>
          <w:rFonts w:cstheme="minorHAnsi"/>
          <w:bCs/>
          <w:color w:val="0000E1"/>
        </w:rPr>
        <w:t>We c</w:t>
      </w:r>
      <w:r w:rsidR="00852846" w:rsidRPr="00390886">
        <w:rPr>
          <w:rFonts w:cstheme="minorHAnsi"/>
          <w:bCs/>
          <w:color w:val="0000E1"/>
        </w:rPr>
        <w:t xml:space="preserve">ompared the two methods and looked at the weighted kappa </w:t>
      </w:r>
      <w:r w:rsidR="00624AFB" w:rsidRPr="00390886">
        <w:rPr>
          <w:rFonts w:cstheme="minorHAnsi"/>
          <w:bCs/>
          <w:color w:val="0000E1"/>
        </w:rPr>
        <w:t>as the measure of agreement.</w:t>
      </w:r>
      <w:r w:rsidR="00624AFB" w:rsidRPr="00FA2447">
        <w:rPr>
          <w:rFonts w:cstheme="minorHAnsi"/>
          <w:bCs/>
          <w:color w:val="0000E1"/>
        </w:rPr>
        <w:t xml:space="preserve"> </w:t>
      </w:r>
    </w:p>
    <w:p w14:paraId="7D6DB32E" w14:textId="77777777" w:rsidR="00BB6237" w:rsidRDefault="00BB6237" w:rsidP="00092566">
      <w:pPr>
        <w:autoSpaceDE w:val="0"/>
        <w:autoSpaceDN w:val="0"/>
        <w:adjustRightInd w:val="0"/>
        <w:spacing w:after="0" w:line="240" w:lineRule="auto"/>
        <w:rPr>
          <w:rFonts w:cstheme="minorHAnsi"/>
          <w:bCs/>
        </w:rPr>
      </w:pPr>
    </w:p>
    <w:p w14:paraId="747FDB6D" w14:textId="77777777" w:rsidR="008D03BA" w:rsidRPr="00614C70" w:rsidRDefault="008D03BA" w:rsidP="008D03BA">
      <w:pPr>
        <w:autoSpaceDE w:val="0"/>
        <w:autoSpaceDN w:val="0"/>
        <w:adjustRightInd w:val="0"/>
        <w:spacing w:after="0" w:line="240" w:lineRule="auto"/>
        <w:rPr>
          <w:rFonts w:cstheme="minorHAnsi"/>
          <w:b/>
          <w:bCs/>
          <w:color w:val="0000E1"/>
        </w:rPr>
      </w:pPr>
      <w:r w:rsidRPr="00614C70">
        <w:rPr>
          <w:rFonts w:cstheme="minorHAnsi"/>
          <w:b/>
          <w:bCs/>
          <w:color w:val="0000E1"/>
        </w:rPr>
        <w:t>References:</w:t>
      </w:r>
    </w:p>
    <w:p w14:paraId="6811DE34" w14:textId="77777777" w:rsidR="008D03BA" w:rsidRPr="00614C70" w:rsidRDefault="008D03BA" w:rsidP="00597F27">
      <w:pPr>
        <w:pStyle w:val="HTMLPreformatted"/>
        <w:numPr>
          <w:ilvl w:val="0"/>
          <w:numId w:val="13"/>
        </w:numPr>
        <w:ind w:left="360"/>
        <w:rPr>
          <w:rFonts w:asciiTheme="minorHAnsi" w:hAnsiTheme="minorHAnsi"/>
          <w:color w:val="0000E1"/>
          <w:sz w:val="22"/>
          <w:szCs w:val="22"/>
        </w:rPr>
      </w:pPr>
      <w:proofErr w:type="spellStart"/>
      <w:r w:rsidRPr="00614C70">
        <w:rPr>
          <w:rFonts w:asciiTheme="minorHAnsi" w:hAnsiTheme="minorHAnsi"/>
          <w:color w:val="0000E1"/>
          <w:sz w:val="22"/>
          <w:szCs w:val="22"/>
        </w:rPr>
        <w:t>Iezzoni</w:t>
      </w:r>
      <w:proofErr w:type="spellEnd"/>
      <w:r w:rsidRPr="00614C70">
        <w:rPr>
          <w:rFonts w:asciiTheme="minorHAnsi" w:hAnsiTheme="minorHAnsi"/>
          <w:color w:val="0000E1"/>
          <w:sz w:val="22"/>
          <w:szCs w:val="22"/>
        </w:rPr>
        <w:t xml:space="preserve"> LI. The risks of risk adjustment. JAMA. 1997;278(19):1600-7.</w:t>
      </w:r>
      <w:r>
        <w:rPr>
          <w:rFonts w:asciiTheme="minorHAnsi" w:hAnsiTheme="minorHAnsi"/>
          <w:color w:val="0000E1"/>
          <w:sz w:val="22"/>
          <w:szCs w:val="22"/>
        </w:rPr>
        <w:t xml:space="preserve"> </w:t>
      </w:r>
      <w:hyperlink r:id="rId58" w:history="1">
        <w:r w:rsidRPr="00614C70">
          <w:rPr>
            <w:rStyle w:val="Hyperlink"/>
            <w:rFonts w:asciiTheme="minorHAnsi" w:hAnsiTheme="minorHAnsi"/>
            <w:color w:val="0000E1"/>
            <w:sz w:val="22"/>
            <w:szCs w:val="22"/>
          </w:rPr>
          <w:t>PMID: 9370507</w:t>
        </w:r>
      </w:hyperlink>
      <w:r w:rsidRPr="00614C70">
        <w:rPr>
          <w:rFonts w:asciiTheme="minorHAnsi" w:hAnsiTheme="minorHAnsi"/>
          <w:color w:val="0000E1"/>
          <w:sz w:val="22"/>
          <w:szCs w:val="22"/>
        </w:rPr>
        <w:t>.</w:t>
      </w:r>
    </w:p>
    <w:p w14:paraId="1086699A" w14:textId="77777777" w:rsidR="008D03BA" w:rsidRPr="00614C70" w:rsidRDefault="008D03BA" w:rsidP="00597F27">
      <w:pPr>
        <w:pStyle w:val="HTMLPreformatted"/>
        <w:numPr>
          <w:ilvl w:val="0"/>
          <w:numId w:val="13"/>
        </w:numPr>
        <w:ind w:left="360"/>
        <w:rPr>
          <w:rFonts w:asciiTheme="minorHAnsi" w:hAnsiTheme="minorHAnsi"/>
          <w:color w:val="0000E1"/>
          <w:sz w:val="22"/>
          <w:szCs w:val="22"/>
        </w:rPr>
      </w:pPr>
      <w:r w:rsidRPr="00614C70">
        <w:rPr>
          <w:rFonts w:asciiTheme="minorHAnsi" w:hAnsiTheme="minorHAnsi"/>
          <w:color w:val="0000E1"/>
          <w:sz w:val="22"/>
          <w:szCs w:val="22"/>
        </w:rPr>
        <w:t xml:space="preserve">DeLong ER, Peterson ED, DeLong DM, </w:t>
      </w:r>
      <w:proofErr w:type="spellStart"/>
      <w:r w:rsidRPr="00614C70">
        <w:rPr>
          <w:rFonts w:asciiTheme="minorHAnsi" w:hAnsiTheme="minorHAnsi"/>
          <w:color w:val="0000E1"/>
          <w:sz w:val="22"/>
          <w:szCs w:val="22"/>
        </w:rPr>
        <w:t>Muhlbaier</w:t>
      </w:r>
      <w:proofErr w:type="spellEnd"/>
      <w:r w:rsidRPr="00614C70">
        <w:rPr>
          <w:rFonts w:asciiTheme="minorHAnsi" w:hAnsiTheme="minorHAnsi"/>
          <w:color w:val="0000E1"/>
          <w:sz w:val="22"/>
          <w:szCs w:val="22"/>
        </w:rPr>
        <w:t xml:space="preserve"> LH, Hackett S, Mark DB. Comparing</w:t>
      </w:r>
      <w:r>
        <w:rPr>
          <w:rFonts w:asciiTheme="minorHAnsi" w:hAnsiTheme="minorHAnsi"/>
          <w:color w:val="0000E1"/>
          <w:sz w:val="22"/>
          <w:szCs w:val="22"/>
        </w:rPr>
        <w:t xml:space="preserve"> </w:t>
      </w:r>
      <w:r w:rsidRPr="00614C70">
        <w:rPr>
          <w:rFonts w:asciiTheme="minorHAnsi" w:hAnsiTheme="minorHAnsi"/>
          <w:color w:val="0000E1"/>
          <w:sz w:val="22"/>
          <w:szCs w:val="22"/>
        </w:rPr>
        <w:t>risk-adjustment methods for provid</w:t>
      </w:r>
      <w:r>
        <w:rPr>
          <w:rFonts w:asciiTheme="minorHAnsi" w:hAnsiTheme="minorHAnsi"/>
          <w:color w:val="0000E1"/>
          <w:sz w:val="22"/>
          <w:szCs w:val="22"/>
        </w:rPr>
        <w:t>er profiling. Stat Med. 1997</w:t>
      </w:r>
      <w:r w:rsidRPr="00614C70">
        <w:rPr>
          <w:rFonts w:asciiTheme="minorHAnsi" w:hAnsiTheme="minorHAnsi"/>
          <w:color w:val="0000E1"/>
          <w:sz w:val="22"/>
          <w:szCs w:val="22"/>
        </w:rPr>
        <w:t xml:space="preserve">;16(23):2645-64. </w:t>
      </w:r>
      <w:hyperlink r:id="rId59" w:history="1">
        <w:r w:rsidRPr="00614C70">
          <w:rPr>
            <w:rStyle w:val="Hyperlink"/>
            <w:rFonts w:asciiTheme="minorHAnsi" w:hAnsiTheme="minorHAnsi"/>
            <w:color w:val="0000E1"/>
            <w:sz w:val="22"/>
            <w:szCs w:val="22"/>
          </w:rPr>
          <w:t>PMID: 9421867</w:t>
        </w:r>
      </w:hyperlink>
      <w:r w:rsidRPr="00614C70">
        <w:rPr>
          <w:rFonts w:asciiTheme="minorHAnsi" w:hAnsiTheme="minorHAnsi"/>
          <w:color w:val="0000E1"/>
          <w:sz w:val="22"/>
          <w:szCs w:val="22"/>
        </w:rPr>
        <w:t>.</w:t>
      </w:r>
    </w:p>
    <w:p w14:paraId="0F8E0454" w14:textId="77777777" w:rsidR="008D03BA" w:rsidRPr="00614C70" w:rsidRDefault="008D03BA" w:rsidP="00597F27">
      <w:pPr>
        <w:pStyle w:val="Default"/>
        <w:numPr>
          <w:ilvl w:val="0"/>
          <w:numId w:val="13"/>
        </w:numPr>
        <w:ind w:left="360"/>
        <w:rPr>
          <w:rFonts w:asciiTheme="minorHAnsi" w:hAnsiTheme="minorHAnsi"/>
          <w:color w:val="0000E1"/>
          <w:sz w:val="22"/>
          <w:szCs w:val="22"/>
        </w:rPr>
      </w:pPr>
      <w:r>
        <w:rPr>
          <w:rFonts w:asciiTheme="minorHAnsi" w:hAnsiTheme="minorHAnsi"/>
          <w:color w:val="0000E1"/>
          <w:sz w:val="22"/>
          <w:szCs w:val="22"/>
        </w:rPr>
        <w:lastRenderedPageBreak/>
        <w:t>Li Y</w:t>
      </w:r>
      <w:r w:rsidRPr="00614C70">
        <w:rPr>
          <w:rFonts w:asciiTheme="minorHAnsi" w:hAnsiTheme="minorHAnsi"/>
          <w:color w:val="0000E1"/>
          <w:sz w:val="22"/>
          <w:szCs w:val="22"/>
        </w:rPr>
        <w:t xml:space="preserve">, </w:t>
      </w:r>
      <w:r>
        <w:rPr>
          <w:rFonts w:asciiTheme="minorHAnsi" w:hAnsiTheme="minorHAnsi"/>
          <w:color w:val="0000E1"/>
          <w:sz w:val="22"/>
          <w:szCs w:val="22"/>
        </w:rPr>
        <w:t>Dick AW</w:t>
      </w:r>
      <w:r w:rsidRPr="00614C70">
        <w:rPr>
          <w:rFonts w:asciiTheme="minorHAnsi" w:hAnsiTheme="minorHAnsi"/>
          <w:color w:val="0000E1"/>
          <w:sz w:val="22"/>
          <w:szCs w:val="22"/>
        </w:rPr>
        <w:t xml:space="preserve">, </w:t>
      </w:r>
      <w:r>
        <w:rPr>
          <w:rFonts w:asciiTheme="minorHAnsi" w:hAnsiTheme="minorHAnsi"/>
          <w:color w:val="0000E1"/>
          <w:sz w:val="22"/>
          <w:szCs w:val="22"/>
        </w:rPr>
        <w:t xml:space="preserve">Glance LG, et al. </w:t>
      </w:r>
      <w:r w:rsidRPr="00614C70">
        <w:rPr>
          <w:rFonts w:asciiTheme="minorHAnsi" w:hAnsiTheme="minorHAnsi"/>
          <w:color w:val="0000E1"/>
          <w:sz w:val="22"/>
          <w:szCs w:val="22"/>
        </w:rPr>
        <w:t>Misspecification Issues in Risk Adjustment and Construction of Outc</w:t>
      </w:r>
      <w:r>
        <w:rPr>
          <w:rFonts w:asciiTheme="minorHAnsi" w:hAnsiTheme="minorHAnsi"/>
          <w:color w:val="0000E1"/>
          <w:sz w:val="22"/>
          <w:szCs w:val="22"/>
        </w:rPr>
        <w:t xml:space="preserve">ome-Based Quality Indicators.’ </w:t>
      </w:r>
      <w:r w:rsidRPr="00614C70">
        <w:rPr>
          <w:rFonts w:asciiTheme="minorHAnsi" w:hAnsiTheme="minorHAnsi"/>
          <w:color w:val="0000E1"/>
          <w:sz w:val="22"/>
          <w:szCs w:val="22"/>
        </w:rPr>
        <w:t xml:space="preserve">Health Services and Outcomes Research Methodology </w:t>
      </w:r>
      <w:r>
        <w:rPr>
          <w:rFonts w:asciiTheme="minorHAnsi" w:hAnsiTheme="minorHAnsi"/>
          <w:color w:val="0000E1"/>
          <w:sz w:val="22"/>
          <w:szCs w:val="22"/>
        </w:rPr>
        <w:t>2007;</w:t>
      </w:r>
      <w:r w:rsidRPr="00614C70">
        <w:rPr>
          <w:rFonts w:asciiTheme="minorHAnsi" w:hAnsiTheme="minorHAnsi"/>
          <w:color w:val="0000E1"/>
          <w:sz w:val="22"/>
          <w:szCs w:val="22"/>
        </w:rPr>
        <w:t>7: 39–56.</w:t>
      </w:r>
    </w:p>
    <w:p w14:paraId="5648B3A6" w14:textId="77777777" w:rsidR="008D03BA" w:rsidRPr="00614C70" w:rsidRDefault="008D03BA" w:rsidP="00597F27">
      <w:pPr>
        <w:pStyle w:val="HTMLPreformatted"/>
        <w:numPr>
          <w:ilvl w:val="0"/>
          <w:numId w:val="13"/>
        </w:numPr>
        <w:ind w:left="360"/>
        <w:rPr>
          <w:rFonts w:asciiTheme="minorHAnsi" w:hAnsiTheme="minorHAnsi"/>
          <w:color w:val="0000E1"/>
          <w:sz w:val="22"/>
          <w:szCs w:val="22"/>
        </w:rPr>
      </w:pPr>
      <w:proofErr w:type="spellStart"/>
      <w:r w:rsidRPr="00614C70">
        <w:rPr>
          <w:rFonts w:asciiTheme="minorHAnsi" w:hAnsiTheme="minorHAnsi"/>
          <w:color w:val="0000E1"/>
          <w:sz w:val="22"/>
          <w:szCs w:val="22"/>
        </w:rPr>
        <w:t>Dharmarajan</w:t>
      </w:r>
      <w:proofErr w:type="spellEnd"/>
      <w:r w:rsidRPr="00614C70">
        <w:rPr>
          <w:rFonts w:asciiTheme="minorHAnsi" w:hAnsiTheme="minorHAnsi"/>
          <w:color w:val="0000E1"/>
          <w:sz w:val="22"/>
          <w:szCs w:val="22"/>
        </w:rPr>
        <w:t xml:space="preserve"> S, Bentley JP, Banahan Iii BF, West-Strum DS. Measuring pharmacy</w:t>
      </w:r>
      <w:r>
        <w:rPr>
          <w:rFonts w:asciiTheme="minorHAnsi" w:hAnsiTheme="minorHAnsi"/>
          <w:color w:val="0000E1"/>
          <w:sz w:val="22"/>
          <w:szCs w:val="22"/>
        </w:rPr>
        <w:t xml:space="preserve"> </w:t>
      </w:r>
      <w:r w:rsidRPr="00614C70">
        <w:rPr>
          <w:rFonts w:asciiTheme="minorHAnsi" w:hAnsiTheme="minorHAnsi"/>
          <w:color w:val="0000E1"/>
          <w:sz w:val="22"/>
          <w:szCs w:val="22"/>
        </w:rPr>
        <w:t xml:space="preserve">performance </w:t>
      </w:r>
      <w:proofErr w:type="gramStart"/>
      <w:r w:rsidRPr="00614C70">
        <w:rPr>
          <w:rFonts w:asciiTheme="minorHAnsi" w:hAnsiTheme="minorHAnsi"/>
          <w:color w:val="0000E1"/>
          <w:sz w:val="22"/>
          <w:szCs w:val="22"/>
        </w:rPr>
        <w:t>in the area of</w:t>
      </w:r>
      <w:proofErr w:type="gramEnd"/>
      <w:r w:rsidRPr="00614C70">
        <w:rPr>
          <w:rFonts w:asciiTheme="minorHAnsi" w:hAnsiTheme="minorHAnsi"/>
          <w:color w:val="0000E1"/>
          <w:sz w:val="22"/>
          <w:szCs w:val="22"/>
        </w:rPr>
        <w:t xml:space="preserve"> medication adherence: addressing the issue of risk</w:t>
      </w:r>
      <w:r>
        <w:rPr>
          <w:rFonts w:asciiTheme="minorHAnsi" w:hAnsiTheme="minorHAnsi"/>
          <w:color w:val="0000E1"/>
          <w:sz w:val="22"/>
          <w:szCs w:val="22"/>
        </w:rPr>
        <w:t xml:space="preserve"> </w:t>
      </w:r>
      <w:r w:rsidRPr="00614C70">
        <w:rPr>
          <w:rFonts w:asciiTheme="minorHAnsi" w:hAnsiTheme="minorHAnsi"/>
          <w:color w:val="0000E1"/>
          <w:sz w:val="22"/>
          <w:szCs w:val="22"/>
        </w:rPr>
        <w:t>adjustment. J</w:t>
      </w:r>
      <w:r>
        <w:rPr>
          <w:rFonts w:asciiTheme="minorHAnsi" w:hAnsiTheme="minorHAnsi"/>
          <w:color w:val="0000E1"/>
          <w:sz w:val="22"/>
          <w:szCs w:val="22"/>
        </w:rPr>
        <w:t xml:space="preserve"> </w:t>
      </w:r>
      <w:proofErr w:type="spellStart"/>
      <w:r>
        <w:rPr>
          <w:rFonts w:asciiTheme="minorHAnsi" w:hAnsiTheme="minorHAnsi"/>
          <w:color w:val="0000E1"/>
          <w:sz w:val="22"/>
          <w:szCs w:val="22"/>
        </w:rPr>
        <w:t>Manag</w:t>
      </w:r>
      <w:proofErr w:type="spellEnd"/>
      <w:r>
        <w:rPr>
          <w:rFonts w:asciiTheme="minorHAnsi" w:hAnsiTheme="minorHAnsi"/>
          <w:color w:val="0000E1"/>
          <w:sz w:val="22"/>
          <w:szCs w:val="22"/>
        </w:rPr>
        <w:t xml:space="preserve"> Care Spec Pharm. 2014;20(10):1057-68. </w:t>
      </w:r>
      <w:hyperlink r:id="rId60" w:history="1">
        <w:r w:rsidRPr="00614C70">
          <w:rPr>
            <w:rStyle w:val="Hyperlink"/>
            <w:rFonts w:asciiTheme="minorHAnsi" w:hAnsiTheme="minorHAnsi"/>
            <w:color w:val="0000E1"/>
            <w:sz w:val="22"/>
            <w:szCs w:val="22"/>
          </w:rPr>
          <w:t>PMID:</w:t>
        </w:r>
        <w:r>
          <w:rPr>
            <w:rStyle w:val="Hyperlink"/>
            <w:rFonts w:asciiTheme="minorHAnsi" w:hAnsiTheme="minorHAnsi"/>
            <w:color w:val="0000E1"/>
            <w:sz w:val="22"/>
            <w:szCs w:val="22"/>
          </w:rPr>
          <w:t xml:space="preserve"> </w:t>
        </w:r>
        <w:r w:rsidRPr="00614C70">
          <w:rPr>
            <w:rStyle w:val="Hyperlink"/>
            <w:rFonts w:asciiTheme="minorHAnsi" w:hAnsiTheme="minorHAnsi"/>
            <w:color w:val="0000E1"/>
            <w:sz w:val="22"/>
            <w:szCs w:val="22"/>
          </w:rPr>
          <w:t>25278328</w:t>
        </w:r>
      </w:hyperlink>
      <w:r w:rsidRPr="00614C70">
        <w:rPr>
          <w:rFonts w:asciiTheme="minorHAnsi" w:hAnsiTheme="minorHAnsi"/>
          <w:color w:val="0000E1"/>
          <w:sz w:val="22"/>
          <w:szCs w:val="22"/>
        </w:rPr>
        <w:t>.</w:t>
      </w:r>
    </w:p>
    <w:p w14:paraId="3E20DCCB" w14:textId="77777777" w:rsidR="008D03BA" w:rsidRPr="00614C70" w:rsidRDefault="008D03BA" w:rsidP="00597F27">
      <w:pPr>
        <w:pStyle w:val="HTMLPreformatted"/>
        <w:numPr>
          <w:ilvl w:val="0"/>
          <w:numId w:val="13"/>
        </w:numPr>
        <w:ind w:left="360"/>
        <w:rPr>
          <w:rFonts w:asciiTheme="minorHAnsi" w:hAnsiTheme="minorHAnsi"/>
          <w:color w:val="0000E1"/>
          <w:sz w:val="22"/>
          <w:szCs w:val="22"/>
        </w:rPr>
      </w:pPr>
      <w:r w:rsidRPr="00614C70">
        <w:rPr>
          <w:rFonts w:asciiTheme="minorHAnsi" w:hAnsiTheme="minorHAnsi"/>
          <w:color w:val="0000E1"/>
          <w:sz w:val="22"/>
          <w:szCs w:val="22"/>
        </w:rPr>
        <w:t>Young GJ, Rickles NM, Chou CH, Raver E. Socioeconomic characteristics of</w:t>
      </w:r>
      <w:r>
        <w:rPr>
          <w:rFonts w:asciiTheme="minorHAnsi" w:hAnsiTheme="minorHAnsi"/>
          <w:color w:val="0000E1"/>
          <w:sz w:val="22"/>
          <w:szCs w:val="22"/>
        </w:rPr>
        <w:t xml:space="preserve"> </w:t>
      </w:r>
      <w:r w:rsidRPr="00614C70">
        <w:rPr>
          <w:rFonts w:asciiTheme="minorHAnsi" w:hAnsiTheme="minorHAnsi"/>
          <w:color w:val="0000E1"/>
          <w:sz w:val="22"/>
          <w:szCs w:val="22"/>
        </w:rPr>
        <w:t xml:space="preserve">enrollees appear to influence performance scores for </w:t>
      </w:r>
      <w:r w:rsidR="00DA0358" w:rsidRPr="00614C70">
        <w:rPr>
          <w:rFonts w:asciiTheme="minorHAnsi" w:hAnsiTheme="minorHAnsi"/>
          <w:color w:val="0000E1"/>
          <w:sz w:val="22"/>
          <w:szCs w:val="22"/>
        </w:rPr>
        <w:t>Medicare</w:t>
      </w:r>
      <w:r w:rsidRPr="00614C70">
        <w:rPr>
          <w:rFonts w:asciiTheme="minorHAnsi" w:hAnsiTheme="minorHAnsi"/>
          <w:color w:val="0000E1"/>
          <w:sz w:val="22"/>
          <w:szCs w:val="22"/>
        </w:rPr>
        <w:t xml:space="preserve"> part D contractors.</w:t>
      </w:r>
      <w:r>
        <w:rPr>
          <w:rFonts w:asciiTheme="minorHAnsi" w:hAnsiTheme="minorHAnsi"/>
          <w:color w:val="0000E1"/>
          <w:sz w:val="22"/>
          <w:szCs w:val="22"/>
        </w:rPr>
        <w:t xml:space="preserve"> Health </w:t>
      </w:r>
      <w:proofErr w:type="spellStart"/>
      <w:r>
        <w:rPr>
          <w:rFonts w:asciiTheme="minorHAnsi" w:hAnsiTheme="minorHAnsi"/>
          <w:color w:val="0000E1"/>
          <w:sz w:val="22"/>
          <w:szCs w:val="22"/>
        </w:rPr>
        <w:t>Aff</w:t>
      </w:r>
      <w:proofErr w:type="spellEnd"/>
      <w:r>
        <w:rPr>
          <w:rFonts w:asciiTheme="minorHAnsi" w:hAnsiTheme="minorHAnsi"/>
          <w:color w:val="0000E1"/>
          <w:sz w:val="22"/>
          <w:szCs w:val="22"/>
        </w:rPr>
        <w:t>. 2014</w:t>
      </w:r>
      <w:r w:rsidRPr="00614C70">
        <w:rPr>
          <w:rFonts w:asciiTheme="minorHAnsi" w:hAnsiTheme="minorHAnsi"/>
          <w:color w:val="0000E1"/>
          <w:sz w:val="22"/>
          <w:szCs w:val="22"/>
        </w:rPr>
        <w:t xml:space="preserve">;33(1):140-6. </w:t>
      </w:r>
      <w:hyperlink r:id="rId61" w:history="1">
        <w:r w:rsidRPr="00614C70">
          <w:rPr>
            <w:rStyle w:val="Hyperlink"/>
            <w:rFonts w:asciiTheme="minorHAnsi" w:hAnsiTheme="minorHAnsi"/>
            <w:color w:val="0000E1"/>
            <w:sz w:val="22"/>
            <w:szCs w:val="22"/>
          </w:rPr>
          <w:t>PMID: 24395946</w:t>
        </w:r>
      </w:hyperlink>
      <w:r w:rsidRPr="00614C70">
        <w:rPr>
          <w:rFonts w:asciiTheme="minorHAnsi" w:hAnsiTheme="minorHAnsi"/>
          <w:color w:val="0000E1"/>
          <w:sz w:val="22"/>
          <w:szCs w:val="22"/>
        </w:rPr>
        <w:t>.</w:t>
      </w:r>
      <w:r>
        <w:rPr>
          <w:rFonts w:asciiTheme="minorHAnsi" w:hAnsiTheme="minorHAnsi"/>
          <w:color w:val="0000E1"/>
          <w:sz w:val="22"/>
          <w:szCs w:val="22"/>
        </w:rPr>
        <w:t xml:space="preserve"> </w:t>
      </w:r>
    </w:p>
    <w:p w14:paraId="0DC32A65" w14:textId="77777777" w:rsidR="008D03BA" w:rsidRPr="00614C70" w:rsidRDefault="008D03BA" w:rsidP="00597F27">
      <w:pPr>
        <w:pStyle w:val="HTMLPreformatted"/>
        <w:numPr>
          <w:ilvl w:val="0"/>
          <w:numId w:val="13"/>
        </w:numPr>
        <w:ind w:left="360"/>
        <w:rPr>
          <w:rFonts w:asciiTheme="minorHAnsi" w:hAnsiTheme="minorHAnsi"/>
          <w:color w:val="0000E1"/>
          <w:sz w:val="22"/>
          <w:szCs w:val="22"/>
        </w:rPr>
      </w:pPr>
      <w:r w:rsidRPr="00614C70">
        <w:rPr>
          <w:rFonts w:asciiTheme="minorHAnsi" w:hAnsiTheme="minorHAnsi"/>
          <w:color w:val="0000E1"/>
          <w:sz w:val="22"/>
          <w:szCs w:val="22"/>
        </w:rPr>
        <w:t xml:space="preserve">Li Y, Cai X, Glance LG, Spector WD, </w:t>
      </w:r>
      <w:proofErr w:type="spellStart"/>
      <w:r w:rsidRPr="00614C70">
        <w:rPr>
          <w:rFonts w:asciiTheme="minorHAnsi" w:hAnsiTheme="minorHAnsi"/>
          <w:color w:val="0000E1"/>
          <w:sz w:val="22"/>
          <w:szCs w:val="22"/>
        </w:rPr>
        <w:t>Mukamel</w:t>
      </w:r>
      <w:proofErr w:type="spellEnd"/>
      <w:r w:rsidRPr="00614C70">
        <w:rPr>
          <w:rFonts w:asciiTheme="minorHAnsi" w:hAnsiTheme="minorHAnsi"/>
          <w:color w:val="0000E1"/>
          <w:sz w:val="22"/>
          <w:szCs w:val="22"/>
        </w:rPr>
        <w:t xml:space="preserve"> DB. National release of the</w:t>
      </w:r>
      <w:r>
        <w:rPr>
          <w:rFonts w:asciiTheme="minorHAnsi" w:hAnsiTheme="minorHAnsi"/>
          <w:color w:val="0000E1"/>
          <w:sz w:val="22"/>
          <w:szCs w:val="22"/>
        </w:rPr>
        <w:t xml:space="preserve"> </w:t>
      </w:r>
      <w:r w:rsidRPr="00614C70">
        <w:rPr>
          <w:rFonts w:asciiTheme="minorHAnsi" w:hAnsiTheme="minorHAnsi"/>
          <w:color w:val="0000E1"/>
          <w:sz w:val="22"/>
          <w:szCs w:val="22"/>
        </w:rPr>
        <w:t>nursing home quality report cards: implications of statistical methodology for</w:t>
      </w:r>
      <w:r>
        <w:rPr>
          <w:rFonts w:asciiTheme="minorHAnsi" w:hAnsiTheme="minorHAnsi"/>
          <w:color w:val="0000E1"/>
          <w:sz w:val="22"/>
          <w:szCs w:val="22"/>
        </w:rPr>
        <w:t xml:space="preserve"> </w:t>
      </w:r>
      <w:r w:rsidRPr="00614C70">
        <w:rPr>
          <w:rFonts w:asciiTheme="minorHAnsi" w:hAnsiTheme="minorHAnsi"/>
          <w:color w:val="0000E1"/>
          <w:sz w:val="22"/>
          <w:szCs w:val="22"/>
        </w:rPr>
        <w:t xml:space="preserve">risk adjustment. Health Serv </w:t>
      </w:r>
      <w:r>
        <w:rPr>
          <w:rFonts w:asciiTheme="minorHAnsi" w:hAnsiTheme="minorHAnsi"/>
          <w:color w:val="0000E1"/>
          <w:sz w:val="22"/>
          <w:szCs w:val="22"/>
        </w:rPr>
        <w:t xml:space="preserve">Res. 2009;44(1):79-102. </w:t>
      </w:r>
      <w:hyperlink r:id="rId62" w:history="1">
        <w:r w:rsidRPr="00614C70">
          <w:rPr>
            <w:rStyle w:val="Hyperlink"/>
            <w:rFonts w:asciiTheme="minorHAnsi" w:hAnsiTheme="minorHAnsi"/>
            <w:color w:val="0000E1"/>
            <w:sz w:val="22"/>
            <w:szCs w:val="22"/>
          </w:rPr>
          <w:t>PMID: 19146565</w:t>
        </w:r>
      </w:hyperlink>
      <w:r>
        <w:rPr>
          <w:rFonts w:asciiTheme="minorHAnsi" w:hAnsiTheme="minorHAnsi"/>
          <w:color w:val="0000E1"/>
          <w:sz w:val="22"/>
          <w:szCs w:val="22"/>
        </w:rPr>
        <w:t>.</w:t>
      </w:r>
    </w:p>
    <w:p w14:paraId="133E2595" w14:textId="77777777" w:rsidR="00EB7497" w:rsidRPr="00A25024" w:rsidRDefault="00EB7497" w:rsidP="00092566">
      <w:pPr>
        <w:autoSpaceDE w:val="0"/>
        <w:autoSpaceDN w:val="0"/>
        <w:adjustRightInd w:val="0"/>
        <w:spacing w:after="0" w:line="240" w:lineRule="auto"/>
        <w:rPr>
          <w:rFonts w:cstheme="minorHAnsi"/>
          <w:bCs/>
        </w:rPr>
      </w:pPr>
    </w:p>
    <w:p w14:paraId="52348425"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43BE5010" w14:textId="77777777" w:rsidR="00743E46" w:rsidRDefault="00743E46" w:rsidP="00092566">
      <w:pPr>
        <w:autoSpaceDE w:val="0"/>
        <w:autoSpaceDN w:val="0"/>
        <w:adjustRightInd w:val="0"/>
        <w:spacing w:after="0" w:line="240" w:lineRule="auto"/>
        <w:rPr>
          <w:rFonts w:cstheme="minorHAnsi"/>
          <w:b/>
          <w:bCs/>
        </w:rPr>
      </w:pPr>
    </w:p>
    <w:p w14:paraId="771260BB" w14:textId="77777777" w:rsidR="00EE6A0A" w:rsidRDefault="00743E46" w:rsidP="00866C2D">
      <w:pPr>
        <w:autoSpaceDE w:val="0"/>
        <w:autoSpaceDN w:val="0"/>
        <w:adjustRightInd w:val="0"/>
        <w:spacing w:after="0" w:line="240" w:lineRule="auto"/>
        <w:rPr>
          <w:rFonts w:cstheme="minorHAnsi"/>
          <w:bCs/>
        </w:rPr>
      </w:pPr>
      <w:r w:rsidRPr="00EE6A0A">
        <w:rPr>
          <w:rFonts w:cstheme="minorHAnsi"/>
          <w:b/>
          <w:bCs/>
        </w:rPr>
        <w:t>2b</w:t>
      </w:r>
      <w:r w:rsidR="009C7513" w:rsidRPr="00EE6A0A">
        <w:rPr>
          <w:rFonts w:cstheme="minorHAnsi"/>
          <w:b/>
          <w:bCs/>
        </w:rPr>
        <w:t>3</w:t>
      </w:r>
      <w:r w:rsidRPr="00EE6A0A">
        <w:rPr>
          <w:rFonts w:cstheme="minorHAnsi"/>
          <w:b/>
          <w:bCs/>
        </w:rPr>
        <w:t xml:space="preserve">.6. </w:t>
      </w:r>
      <w:r w:rsidR="00001D73" w:rsidRPr="00EE6A0A">
        <w:rPr>
          <w:rFonts w:cstheme="minorHAnsi"/>
          <w:b/>
          <w:bCs/>
        </w:rPr>
        <w:t xml:space="preserve">Statistical </w:t>
      </w:r>
      <w:r w:rsidR="00092566" w:rsidRPr="00EE6A0A">
        <w:rPr>
          <w:rFonts w:cstheme="minorHAnsi"/>
          <w:b/>
          <w:bCs/>
        </w:rPr>
        <w:t>Risk Model Discrimination Statistics</w:t>
      </w:r>
      <w:r w:rsidR="003605B4" w:rsidRPr="00EE6A0A">
        <w:rPr>
          <w:rFonts w:cstheme="minorHAnsi"/>
          <w:bCs/>
        </w:rPr>
        <w:t xml:space="preserve"> (</w:t>
      </w:r>
      <w:r w:rsidR="003605B4" w:rsidRPr="00EE6A0A">
        <w:rPr>
          <w:rFonts w:cstheme="minorHAnsi"/>
          <w:bCs/>
          <w:i/>
        </w:rPr>
        <w:t>e.g., c-statistic, R-squared</w:t>
      </w:r>
      <w:r w:rsidR="003605B4" w:rsidRPr="00EE6A0A">
        <w:rPr>
          <w:rFonts w:cstheme="minorHAnsi"/>
          <w:bCs/>
        </w:rPr>
        <w:t>)</w:t>
      </w:r>
      <w:r w:rsidRPr="00EE6A0A">
        <w:rPr>
          <w:rFonts w:cstheme="minorHAnsi"/>
          <w:b/>
          <w:bCs/>
        </w:rPr>
        <w:t>:</w:t>
      </w:r>
      <w:r w:rsidR="00092566" w:rsidRPr="00EE6A0A">
        <w:rPr>
          <w:rFonts w:cstheme="minorHAnsi"/>
          <w:b/>
          <w:bCs/>
        </w:rPr>
        <w:t xml:space="preserve">  </w:t>
      </w:r>
      <w:r w:rsidR="00092566" w:rsidRPr="00EE6A0A">
        <w:rPr>
          <w:rFonts w:cstheme="minorHAnsi"/>
          <w:b/>
        </w:rPr>
        <w:br/>
      </w:r>
      <w:r w:rsidR="00866C2D" w:rsidRPr="00EE6A0A">
        <w:rPr>
          <w:rFonts w:cstheme="minorHAnsi"/>
          <w:b/>
        </w:rPr>
        <w:br/>
      </w:r>
      <w:r w:rsidR="003418D6">
        <w:rPr>
          <w:rFonts w:cstheme="minorHAnsi"/>
          <w:bCs/>
          <w:color w:val="0000E1"/>
        </w:rPr>
        <w:t>Table 14</w:t>
      </w:r>
      <w:r w:rsidR="001B4744" w:rsidRPr="003E1672">
        <w:rPr>
          <w:rFonts w:cstheme="minorHAnsi"/>
          <w:bCs/>
          <w:color w:val="0000E1"/>
        </w:rPr>
        <w:t xml:space="preserve"> </w:t>
      </w:r>
      <w:r w:rsidR="003418D6">
        <w:rPr>
          <w:rFonts w:cstheme="minorHAnsi"/>
          <w:bCs/>
          <w:color w:val="0000E1"/>
        </w:rPr>
        <w:t>shows</w:t>
      </w:r>
      <w:r w:rsidR="001B4744" w:rsidRPr="003E1672">
        <w:rPr>
          <w:rFonts w:cstheme="minorHAnsi"/>
          <w:bCs/>
          <w:color w:val="0000E1"/>
        </w:rPr>
        <w:t xml:space="preserve"> the </w:t>
      </w:r>
      <w:r w:rsidR="00C44F13" w:rsidRPr="003E1672">
        <w:rPr>
          <w:rFonts w:cstheme="minorHAnsi"/>
          <w:bCs/>
          <w:color w:val="0000E1"/>
        </w:rPr>
        <w:t xml:space="preserve">area under the receiver operating characteristic (ROC) curve (the </w:t>
      </w:r>
      <w:r w:rsidR="001B4744" w:rsidRPr="003E1672">
        <w:rPr>
          <w:rFonts w:cstheme="minorHAnsi"/>
          <w:bCs/>
          <w:color w:val="0000E1"/>
        </w:rPr>
        <w:t>c-</w:t>
      </w:r>
      <w:r w:rsidR="00EE6A0A" w:rsidRPr="003E1672">
        <w:rPr>
          <w:rFonts w:cstheme="minorHAnsi"/>
          <w:bCs/>
          <w:color w:val="0000E1"/>
        </w:rPr>
        <w:t>statistic</w:t>
      </w:r>
      <w:r w:rsidR="00C44F13" w:rsidRPr="003E1672">
        <w:rPr>
          <w:rFonts w:cstheme="minorHAnsi"/>
          <w:bCs/>
          <w:color w:val="0000E1"/>
        </w:rPr>
        <w:t xml:space="preserve">) </w:t>
      </w:r>
      <w:r w:rsidR="001B4744" w:rsidRPr="003E1672">
        <w:rPr>
          <w:rFonts w:cstheme="minorHAnsi"/>
          <w:bCs/>
          <w:color w:val="0000E1"/>
        </w:rPr>
        <w:t xml:space="preserve">for the primary method used for risk adjustment (random effects logistic regression models) for each therapeutic </w:t>
      </w:r>
      <w:r w:rsidR="00097374" w:rsidRPr="003E1672">
        <w:rPr>
          <w:rFonts w:cstheme="minorHAnsi"/>
          <w:bCs/>
          <w:color w:val="0000E1"/>
        </w:rPr>
        <w:t>category</w:t>
      </w:r>
      <w:r w:rsidR="001B4744" w:rsidRPr="003E1672">
        <w:rPr>
          <w:rFonts w:cstheme="minorHAnsi"/>
          <w:bCs/>
          <w:color w:val="0000E1"/>
        </w:rPr>
        <w:t>.</w:t>
      </w:r>
      <w:r w:rsidR="00097374" w:rsidRPr="003E1672">
        <w:rPr>
          <w:rFonts w:cstheme="minorHAnsi"/>
          <w:bCs/>
          <w:color w:val="0000E1"/>
        </w:rPr>
        <w:t xml:space="preserve"> </w:t>
      </w:r>
    </w:p>
    <w:p w14:paraId="1715EDDB" w14:textId="77777777" w:rsidR="00097374" w:rsidRDefault="00097374" w:rsidP="00866C2D">
      <w:pPr>
        <w:autoSpaceDE w:val="0"/>
        <w:autoSpaceDN w:val="0"/>
        <w:adjustRightInd w:val="0"/>
        <w:spacing w:after="0" w:line="240" w:lineRule="auto"/>
        <w:rPr>
          <w:rFonts w:cstheme="minorHAnsi"/>
          <w:bCs/>
        </w:rPr>
      </w:pPr>
    </w:p>
    <w:p w14:paraId="3F52B137" w14:textId="77777777" w:rsidR="00097374" w:rsidRPr="00315528" w:rsidRDefault="00F910A0" w:rsidP="00866C2D">
      <w:pPr>
        <w:autoSpaceDE w:val="0"/>
        <w:autoSpaceDN w:val="0"/>
        <w:adjustRightInd w:val="0"/>
        <w:spacing w:after="0" w:line="240" w:lineRule="auto"/>
        <w:rPr>
          <w:rFonts w:cstheme="minorHAnsi"/>
          <w:b/>
          <w:bCs/>
          <w:color w:val="0000E1"/>
        </w:rPr>
      </w:pPr>
      <w:r w:rsidRPr="00315528">
        <w:rPr>
          <w:rFonts w:cstheme="minorHAnsi"/>
          <w:b/>
          <w:bCs/>
          <w:color w:val="0000E1"/>
        </w:rPr>
        <w:t>Table 14</w:t>
      </w:r>
      <w:r w:rsidR="00097374" w:rsidRPr="00315528">
        <w:rPr>
          <w:rFonts w:cstheme="minorHAnsi"/>
          <w:b/>
          <w:bCs/>
          <w:color w:val="0000E1"/>
        </w:rPr>
        <w:t>. C-statistic for Random Effects Logistic Regression Models – By Therapeutic Category</w:t>
      </w:r>
    </w:p>
    <w:tbl>
      <w:tblPr>
        <w:tblStyle w:val="TableGrid"/>
        <w:tblW w:w="0" w:type="auto"/>
        <w:tblLook w:val="04A0" w:firstRow="1" w:lastRow="0" w:firstColumn="1" w:lastColumn="0" w:noHBand="0" w:noVBand="1"/>
      </w:tblPr>
      <w:tblGrid>
        <w:gridCol w:w="4027"/>
        <w:gridCol w:w="4027"/>
      </w:tblGrid>
      <w:tr w:rsidR="00097374" w:rsidRPr="00315528" w14:paraId="17FC8DB0" w14:textId="77777777" w:rsidTr="00D96BF2">
        <w:trPr>
          <w:trHeight w:val="238"/>
        </w:trPr>
        <w:tc>
          <w:tcPr>
            <w:tcW w:w="4027" w:type="dxa"/>
          </w:tcPr>
          <w:p w14:paraId="62656FD5" w14:textId="77777777" w:rsidR="00097374" w:rsidRPr="00315528" w:rsidRDefault="00097374" w:rsidP="00866C2D">
            <w:pPr>
              <w:autoSpaceDE w:val="0"/>
              <w:autoSpaceDN w:val="0"/>
              <w:adjustRightInd w:val="0"/>
              <w:rPr>
                <w:rFonts w:cstheme="minorHAnsi"/>
                <w:b/>
                <w:bCs/>
                <w:color w:val="0000E1"/>
              </w:rPr>
            </w:pPr>
            <w:r w:rsidRPr="00315528">
              <w:rPr>
                <w:rFonts w:cstheme="minorHAnsi"/>
                <w:b/>
                <w:bCs/>
                <w:color w:val="0000E1"/>
              </w:rPr>
              <w:t>Therapeutic Category</w:t>
            </w:r>
          </w:p>
        </w:tc>
        <w:tc>
          <w:tcPr>
            <w:tcW w:w="4027" w:type="dxa"/>
          </w:tcPr>
          <w:p w14:paraId="68802AF3" w14:textId="77777777" w:rsidR="00097374" w:rsidRPr="00315528" w:rsidRDefault="00097374" w:rsidP="00D96BF2">
            <w:pPr>
              <w:autoSpaceDE w:val="0"/>
              <w:autoSpaceDN w:val="0"/>
              <w:adjustRightInd w:val="0"/>
              <w:jc w:val="center"/>
              <w:rPr>
                <w:rFonts w:cstheme="minorHAnsi"/>
                <w:b/>
                <w:bCs/>
                <w:color w:val="0000E1"/>
              </w:rPr>
            </w:pPr>
            <w:r w:rsidRPr="00315528">
              <w:rPr>
                <w:rFonts w:cstheme="minorHAnsi"/>
                <w:b/>
                <w:bCs/>
                <w:color w:val="0000E1"/>
              </w:rPr>
              <w:t>c-statistic</w:t>
            </w:r>
          </w:p>
        </w:tc>
      </w:tr>
      <w:tr w:rsidR="00097374" w:rsidRPr="00315528" w14:paraId="56B8EEAA" w14:textId="77777777" w:rsidTr="00D96BF2">
        <w:trPr>
          <w:trHeight w:val="238"/>
        </w:trPr>
        <w:tc>
          <w:tcPr>
            <w:tcW w:w="4027" w:type="dxa"/>
          </w:tcPr>
          <w:p w14:paraId="4ED45182" w14:textId="77777777" w:rsidR="00097374" w:rsidRPr="00315528" w:rsidRDefault="00097374" w:rsidP="00866C2D">
            <w:pPr>
              <w:autoSpaceDE w:val="0"/>
              <w:autoSpaceDN w:val="0"/>
              <w:adjustRightInd w:val="0"/>
              <w:rPr>
                <w:rFonts w:cstheme="minorHAnsi"/>
                <w:bCs/>
                <w:color w:val="0000E1"/>
              </w:rPr>
            </w:pPr>
            <w:r w:rsidRPr="00315528">
              <w:rPr>
                <w:rFonts w:cstheme="minorHAnsi"/>
                <w:bCs/>
                <w:color w:val="0000E1"/>
              </w:rPr>
              <w:t>Diabetes</w:t>
            </w:r>
          </w:p>
        </w:tc>
        <w:tc>
          <w:tcPr>
            <w:tcW w:w="4027" w:type="dxa"/>
          </w:tcPr>
          <w:p w14:paraId="4247C763" w14:textId="77777777" w:rsidR="00097374" w:rsidRPr="00315528" w:rsidRDefault="00BF6DEE" w:rsidP="00D96BF2">
            <w:pPr>
              <w:autoSpaceDE w:val="0"/>
              <w:autoSpaceDN w:val="0"/>
              <w:adjustRightInd w:val="0"/>
              <w:jc w:val="center"/>
              <w:rPr>
                <w:rFonts w:cstheme="minorHAnsi"/>
                <w:bCs/>
                <w:color w:val="0000E1"/>
              </w:rPr>
            </w:pPr>
            <w:r w:rsidRPr="00315528">
              <w:rPr>
                <w:rFonts w:cstheme="minorHAnsi"/>
                <w:bCs/>
                <w:color w:val="0000E1"/>
              </w:rPr>
              <w:t>0.583</w:t>
            </w:r>
          </w:p>
        </w:tc>
      </w:tr>
      <w:tr w:rsidR="00097374" w:rsidRPr="00315528" w14:paraId="553A50C6" w14:textId="77777777" w:rsidTr="00D96BF2">
        <w:trPr>
          <w:trHeight w:val="249"/>
        </w:trPr>
        <w:tc>
          <w:tcPr>
            <w:tcW w:w="4027" w:type="dxa"/>
          </w:tcPr>
          <w:p w14:paraId="0FA8D776" w14:textId="77777777" w:rsidR="00097374" w:rsidRPr="00315528" w:rsidRDefault="00097374" w:rsidP="00866C2D">
            <w:pPr>
              <w:autoSpaceDE w:val="0"/>
              <w:autoSpaceDN w:val="0"/>
              <w:adjustRightInd w:val="0"/>
              <w:rPr>
                <w:rFonts w:cstheme="minorHAnsi"/>
                <w:bCs/>
                <w:color w:val="0000E1"/>
              </w:rPr>
            </w:pPr>
            <w:r w:rsidRPr="00315528">
              <w:rPr>
                <w:rFonts w:cstheme="minorHAnsi"/>
                <w:bCs/>
                <w:color w:val="0000E1"/>
              </w:rPr>
              <w:t>RASA</w:t>
            </w:r>
          </w:p>
        </w:tc>
        <w:tc>
          <w:tcPr>
            <w:tcW w:w="4027" w:type="dxa"/>
          </w:tcPr>
          <w:p w14:paraId="5B5E8C54" w14:textId="77777777" w:rsidR="00097374" w:rsidRPr="00315528" w:rsidRDefault="00BF6DEE" w:rsidP="00D96BF2">
            <w:pPr>
              <w:autoSpaceDE w:val="0"/>
              <w:autoSpaceDN w:val="0"/>
              <w:adjustRightInd w:val="0"/>
              <w:jc w:val="center"/>
              <w:rPr>
                <w:rFonts w:cstheme="minorHAnsi"/>
                <w:bCs/>
                <w:color w:val="0000E1"/>
              </w:rPr>
            </w:pPr>
            <w:r w:rsidRPr="00315528">
              <w:rPr>
                <w:rFonts w:cstheme="minorHAnsi"/>
                <w:bCs/>
                <w:color w:val="0000E1"/>
              </w:rPr>
              <w:t>0.597</w:t>
            </w:r>
          </w:p>
        </w:tc>
      </w:tr>
      <w:tr w:rsidR="00097374" w:rsidRPr="00315528" w14:paraId="018F4D58" w14:textId="77777777" w:rsidTr="00D96BF2">
        <w:trPr>
          <w:trHeight w:val="238"/>
        </w:trPr>
        <w:tc>
          <w:tcPr>
            <w:tcW w:w="4027" w:type="dxa"/>
          </w:tcPr>
          <w:p w14:paraId="3939A91A" w14:textId="77777777" w:rsidR="00097374" w:rsidRPr="00315528" w:rsidRDefault="00097374" w:rsidP="00866C2D">
            <w:pPr>
              <w:autoSpaceDE w:val="0"/>
              <w:autoSpaceDN w:val="0"/>
              <w:adjustRightInd w:val="0"/>
              <w:rPr>
                <w:rFonts w:cstheme="minorHAnsi"/>
                <w:bCs/>
                <w:color w:val="0000E1"/>
              </w:rPr>
            </w:pPr>
            <w:r w:rsidRPr="00315528">
              <w:rPr>
                <w:rFonts w:cstheme="minorHAnsi"/>
                <w:bCs/>
                <w:color w:val="0000E1"/>
              </w:rPr>
              <w:t>Statins</w:t>
            </w:r>
          </w:p>
        </w:tc>
        <w:tc>
          <w:tcPr>
            <w:tcW w:w="4027" w:type="dxa"/>
          </w:tcPr>
          <w:p w14:paraId="741916DF" w14:textId="77777777" w:rsidR="00097374" w:rsidRPr="00315528" w:rsidRDefault="00BF6DEE" w:rsidP="00D96BF2">
            <w:pPr>
              <w:autoSpaceDE w:val="0"/>
              <w:autoSpaceDN w:val="0"/>
              <w:adjustRightInd w:val="0"/>
              <w:jc w:val="center"/>
              <w:rPr>
                <w:rFonts w:cstheme="minorHAnsi"/>
                <w:bCs/>
                <w:color w:val="0000E1"/>
              </w:rPr>
            </w:pPr>
            <w:r w:rsidRPr="00315528">
              <w:rPr>
                <w:rFonts w:cstheme="minorHAnsi"/>
                <w:bCs/>
                <w:color w:val="0000E1"/>
              </w:rPr>
              <w:t>0.591</w:t>
            </w:r>
          </w:p>
        </w:tc>
      </w:tr>
    </w:tbl>
    <w:p w14:paraId="7196E4D5" w14:textId="77777777" w:rsidR="00EE6A0A" w:rsidRDefault="00EE6A0A" w:rsidP="00866C2D">
      <w:pPr>
        <w:autoSpaceDE w:val="0"/>
        <w:autoSpaceDN w:val="0"/>
        <w:adjustRightInd w:val="0"/>
        <w:spacing w:after="0" w:line="240" w:lineRule="auto"/>
        <w:rPr>
          <w:rFonts w:cstheme="minorHAnsi"/>
          <w:bCs/>
          <w:highlight w:val="red"/>
        </w:rPr>
      </w:pPr>
    </w:p>
    <w:p w14:paraId="44D5C49A" w14:textId="77777777" w:rsidR="00F37722" w:rsidRPr="003418D6" w:rsidRDefault="00F37722" w:rsidP="00866C2D">
      <w:pPr>
        <w:autoSpaceDE w:val="0"/>
        <w:autoSpaceDN w:val="0"/>
        <w:adjustRightInd w:val="0"/>
        <w:spacing w:after="0" w:line="240" w:lineRule="auto"/>
        <w:rPr>
          <w:rFonts w:cstheme="minorHAnsi"/>
          <w:bCs/>
          <w:color w:val="0000E1"/>
        </w:rPr>
      </w:pPr>
      <w:r w:rsidRPr="003418D6">
        <w:rPr>
          <w:rFonts w:cstheme="minorHAnsi"/>
          <w:bCs/>
          <w:color w:val="0000E1"/>
        </w:rPr>
        <w:t>We also show the agreement between the unadjusted and the primary method</w:t>
      </w:r>
      <w:r w:rsidR="00C965EE">
        <w:rPr>
          <w:rFonts w:cstheme="minorHAnsi"/>
          <w:bCs/>
          <w:color w:val="0000E1"/>
        </w:rPr>
        <w:t xml:space="preserve"> (random effects)</w:t>
      </w:r>
      <w:r w:rsidRPr="003418D6">
        <w:rPr>
          <w:rFonts w:cstheme="minorHAnsi"/>
          <w:bCs/>
          <w:color w:val="0000E1"/>
        </w:rPr>
        <w:t>, as well as the primary method</w:t>
      </w:r>
      <w:r w:rsidR="004D44AA">
        <w:rPr>
          <w:rFonts w:cstheme="minorHAnsi"/>
          <w:bCs/>
          <w:color w:val="0000E1"/>
        </w:rPr>
        <w:t xml:space="preserve"> and t</w:t>
      </w:r>
      <w:r w:rsidRPr="003418D6">
        <w:rPr>
          <w:rFonts w:cstheme="minorHAnsi"/>
          <w:bCs/>
          <w:color w:val="0000E1"/>
        </w:rPr>
        <w:t>he al</w:t>
      </w:r>
      <w:r w:rsidR="004D44AA">
        <w:rPr>
          <w:rFonts w:cstheme="minorHAnsi"/>
          <w:bCs/>
          <w:color w:val="0000E1"/>
        </w:rPr>
        <w:t>ternative method (classical logistic regression)</w:t>
      </w:r>
      <w:r w:rsidR="003418D6" w:rsidRPr="003418D6">
        <w:rPr>
          <w:rFonts w:cstheme="minorHAnsi"/>
          <w:bCs/>
          <w:color w:val="0000E1"/>
        </w:rPr>
        <w:t>. (see Table 15</w:t>
      </w:r>
      <w:r w:rsidRPr="003418D6">
        <w:rPr>
          <w:rFonts w:cstheme="minorHAnsi"/>
          <w:bCs/>
          <w:color w:val="0000E1"/>
        </w:rPr>
        <w:t xml:space="preserve">). </w:t>
      </w:r>
    </w:p>
    <w:p w14:paraId="57E42BAC" w14:textId="77777777" w:rsidR="004D44AA" w:rsidRPr="003418D6" w:rsidRDefault="004D44AA" w:rsidP="00866C2D">
      <w:pPr>
        <w:autoSpaceDE w:val="0"/>
        <w:autoSpaceDN w:val="0"/>
        <w:adjustRightInd w:val="0"/>
        <w:spacing w:after="0" w:line="240" w:lineRule="auto"/>
        <w:rPr>
          <w:rFonts w:cstheme="minorHAnsi"/>
          <w:bCs/>
          <w:color w:val="0000E1"/>
        </w:rPr>
      </w:pPr>
    </w:p>
    <w:p w14:paraId="676C5C9E" w14:textId="77777777" w:rsidR="00001D73" w:rsidRPr="00315528" w:rsidRDefault="00F910A0" w:rsidP="00092566">
      <w:pPr>
        <w:autoSpaceDE w:val="0"/>
        <w:autoSpaceDN w:val="0"/>
        <w:adjustRightInd w:val="0"/>
        <w:spacing w:after="0" w:line="240" w:lineRule="auto"/>
        <w:rPr>
          <w:rFonts w:cstheme="minorHAnsi"/>
          <w:b/>
          <w:bCs/>
          <w:color w:val="0000E1"/>
        </w:rPr>
      </w:pPr>
      <w:r w:rsidRPr="00315528">
        <w:rPr>
          <w:rFonts w:cstheme="minorHAnsi"/>
          <w:b/>
          <w:bCs/>
          <w:color w:val="0000E1"/>
        </w:rPr>
        <w:t>Table 15</w:t>
      </w:r>
      <w:r w:rsidR="00BF6DEE" w:rsidRPr="00315528">
        <w:rPr>
          <w:rFonts w:cstheme="minorHAnsi"/>
          <w:b/>
          <w:bCs/>
          <w:color w:val="0000E1"/>
        </w:rPr>
        <w:t xml:space="preserve">. </w:t>
      </w:r>
      <w:r w:rsidR="00D67CD5" w:rsidRPr="00315528">
        <w:rPr>
          <w:rFonts w:cstheme="minorHAnsi"/>
          <w:b/>
          <w:bCs/>
          <w:color w:val="0000E1"/>
        </w:rPr>
        <w:t>Agreement</w:t>
      </w:r>
      <w:r w:rsidR="009D299F" w:rsidRPr="00315528">
        <w:rPr>
          <w:rFonts w:cstheme="minorHAnsi"/>
          <w:b/>
          <w:bCs/>
          <w:color w:val="0000E1"/>
        </w:rPr>
        <w:t xml:space="preserve"> (Weighted Kappa)</w:t>
      </w:r>
      <w:r w:rsidR="00D67CD5" w:rsidRPr="00315528">
        <w:rPr>
          <w:rFonts w:cstheme="minorHAnsi"/>
          <w:b/>
          <w:bCs/>
          <w:color w:val="0000E1"/>
        </w:rPr>
        <w:t xml:space="preserve"> </w:t>
      </w:r>
      <w:r w:rsidR="002E5E23" w:rsidRPr="00315528">
        <w:rPr>
          <w:rFonts w:cstheme="minorHAnsi"/>
          <w:b/>
          <w:bCs/>
          <w:color w:val="0000E1"/>
        </w:rPr>
        <w:t>Between Measure Scores – By Therapeutic Category</w:t>
      </w:r>
    </w:p>
    <w:tbl>
      <w:tblPr>
        <w:tblStyle w:val="TableGrid"/>
        <w:tblW w:w="0" w:type="auto"/>
        <w:tblLook w:val="04A0" w:firstRow="1" w:lastRow="0" w:firstColumn="1" w:lastColumn="0" w:noHBand="0" w:noVBand="1"/>
      </w:tblPr>
      <w:tblGrid>
        <w:gridCol w:w="3055"/>
        <w:gridCol w:w="2160"/>
        <w:gridCol w:w="2070"/>
        <w:gridCol w:w="2065"/>
      </w:tblGrid>
      <w:tr w:rsidR="009D299F" w:rsidRPr="00315528" w14:paraId="4CADB943" w14:textId="77777777" w:rsidTr="002E5E23">
        <w:tc>
          <w:tcPr>
            <w:tcW w:w="3055" w:type="dxa"/>
          </w:tcPr>
          <w:p w14:paraId="432A1242" w14:textId="77777777" w:rsidR="009D299F" w:rsidRPr="00315528" w:rsidRDefault="009D299F" w:rsidP="00092566">
            <w:pPr>
              <w:autoSpaceDE w:val="0"/>
              <w:autoSpaceDN w:val="0"/>
              <w:adjustRightInd w:val="0"/>
              <w:rPr>
                <w:rFonts w:cstheme="minorHAnsi"/>
                <w:b/>
                <w:bCs/>
                <w:color w:val="0000E1"/>
              </w:rPr>
            </w:pPr>
            <w:r w:rsidRPr="00315528">
              <w:rPr>
                <w:rFonts w:cstheme="minorHAnsi"/>
                <w:b/>
                <w:bCs/>
                <w:color w:val="0000E1"/>
              </w:rPr>
              <w:t>Comparison</w:t>
            </w:r>
          </w:p>
        </w:tc>
        <w:tc>
          <w:tcPr>
            <w:tcW w:w="2160" w:type="dxa"/>
          </w:tcPr>
          <w:p w14:paraId="400B474B" w14:textId="77777777" w:rsidR="009D299F" w:rsidRPr="00315528" w:rsidRDefault="009D299F" w:rsidP="009D299F">
            <w:pPr>
              <w:autoSpaceDE w:val="0"/>
              <w:autoSpaceDN w:val="0"/>
              <w:adjustRightInd w:val="0"/>
              <w:jc w:val="center"/>
              <w:rPr>
                <w:rFonts w:cstheme="minorHAnsi"/>
                <w:b/>
                <w:bCs/>
                <w:color w:val="0000E1"/>
              </w:rPr>
            </w:pPr>
            <w:r w:rsidRPr="00315528">
              <w:rPr>
                <w:rFonts w:cstheme="minorHAnsi"/>
                <w:b/>
                <w:bCs/>
                <w:color w:val="0000E1"/>
              </w:rPr>
              <w:t>Diabetes</w:t>
            </w:r>
          </w:p>
        </w:tc>
        <w:tc>
          <w:tcPr>
            <w:tcW w:w="2070" w:type="dxa"/>
          </w:tcPr>
          <w:p w14:paraId="0BBACF82" w14:textId="77777777" w:rsidR="009D299F" w:rsidRPr="00315528" w:rsidRDefault="009D299F" w:rsidP="009D299F">
            <w:pPr>
              <w:autoSpaceDE w:val="0"/>
              <w:autoSpaceDN w:val="0"/>
              <w:adjustRightInd w:val="0"/>
              <w:jc w:val="center"/>
              <w:rPr>
                <w:rFonts w:cstheme="minorHAnsi"/>
                <w:b/>
                <w:bCs/>
                <w:color w:val="0000E1"/>
              </w:rPr>
            </w:pPr>
            <w:r w:rsidRPr="00315528">
              <w:rPr>
                <w:rFonts w:cstheme="minorHAnsi"/>
                <w:b/>
                <w:bCs/>
                <w:color w:val="0000E1"/>
              </w:rPr>
              <w:t>RASA</w:t>
            </w:r>
          </w:p>
        </w:tc>
        <w:tc>
          <w:tcPr>
            <w:tcW w:w="2065" w:type="dxa"/>
          </w:tcPr>
          <w:p w14:paraId="18B757BD" w14:textId="77777777" w:rsidR="009D299F" w:rsidRPr="00315528" w:rsidRDefault="009D299F" w:rsidP="009D299F">
            <w:pPr>
              <w:autoSpaceDE w:val="0"/>
              <w:autoSpaceDN w:val="0"/>
              <w:adjustRightInd w:val="0"/>
              <w:jc w:val="center"/>
              <w:rPr>
                <w:rFonts w:cstheme="minorHAnsi"/>
                <w:b/>
                <w:bCs/>
                <w:color w:val="0000E1"/>
              </w:rPr>
            </w:pPr>
            <w:r w:rsidRPr="00315528">
              <w:rPr>
                <w:rFonts w:cstheme="minorHAnsi"/>
                <w:b/>
                <w:bCs/>
                <w:color w:val="0000E1"/>
              </w:rPr>
              <w:t>Statins</w:t>
            </w:r>
          </w:p>
        </w:tc>
      </w:tr>
      <w:tr w:rsidR="009D299F" w:rsidRPr="00315528" w14:paraId="55D9FE48" w14:textId="77777777" w:rsidTr="00AE2BC8">
        <w:tc>
          <w:tcPr>
            <w:tcW w:w="3055" w:type="dxa"/>
          </w:tcPr>
          <w:p w14:paraId="3FA923BE" w14:textId="77777777" w:rsidR="009D299F" w:rsidRPr="00315528" w:rsidRDefault="009D299F" w:rsidP="00092566">
            <w:pPr>
              <w:autoSpaceDE w:val="0"/>
              <w:autoSpaceDN w:val="0"/>
              <w:adjustRightInd w:val="0"/>
              <w:rPr>
                <w:rFonts w:cstheme="minorHAnsi"/>
                <w:bCs/>
                <w:color w:val="0000E1"/>
              </w:rPr>
            </w:pPr>
            <w:r w:rsidRPr="00315528">
              <w:rPr>
                <w:rFonts w:cstheme="minorHAnsi"/>
                <w:bCs/>
                <w:color w:val="0000E1"/>
              </w:rPr>
              <w:t xml:space="preserve">Unadjusted </w:t>
            </w:r>
            <w:r w:rsidR="00DA0358">
              <w:rPr>
                <w:rFonts w:cstheme="minorHAnsi"/>
                <w:bCs/>
                <w:color w:val="0000E1"/>
              </w:rPr>
              <w:t>vs.</w:t>
            </w:r>
            <w:r w:rsidR="00DA0358" w:rsidRPr="00315528">
              <w:rPr>
                <w:rFonts w:cstheme="minorHAnsi"/>
                <w:bCs/>
                <w:color w:val="0000E1"/>
              </w:rPr>
              <w:t xml:space="preserve"> Random</w:t>
            </w:r>
            <w:r w:rsidRPr="00315528">
              <w:rPr>
                <w:rFonts w:cstheme="minorHAnsi"/>
                <w:bCs/>
                <w:color w:val="0000E1"/>
              </w:rPr>
              <w:t xml:space="preserve"> effects model</w:t>
            </w:r>
          </w:p>
        </w:tc>
        <w:tc>
          <w:tcPr>
            <w:tcW w:w="2160" w:type="dxa"/>
            <w:vAlign w:val="center"/>
          </w:tcPr>
          <w:p w14:paraId="56CD1926" w14:textId="77777777" w:rsidR="009D299F" w:rsidRPr="00315528" w:rsidRDefault="002E5E23" w:rsidP="00AE2BC8">
            <w:pPr>
              <w:autoSpaceDE w:val="0"/>
              <w:autoSpaceDN w:val="0"/>
              <w:adjustRightInd w:val="0"/>
              <w:jc w:val="right"/>
              <w:rPr>
                <w:rFonts w:cstheme="minorHAnsi"/>
                <w:bCs/>
                <w:color w:val="0000E1"/>
              </w:rPr>
            </w:pPr>
            <w:r w:rsidRPr="00315528">
              <w:rPr>
                <w:rFonts w:cstheme="minorHAnsi"/>
                <w:bCs/>
                <w:color w:val="0000E1"/>
              </w:rPr>
              <w:t>0.803 (0.775, 0.831)</w:t>
            </w:r>
          </w:p>
        </w:tc>
        <w:tc>
          <w:tcPr>
            <w:tcW w:w="2070" w:type="dxa"/>
            <w:vAlign w:val="center"/>
          </w:tcPr>
          <w:p w14:paraId="154A9A94" w14:textId="77777777" w:rsidR="009D299F" w:rsidRPr="00315528" w:rsidRDefault="007A64FF" w:rsidP="00AE2BC8">
            <w:pPr>
              <w:autoSpaceDE w:val="0"/>
              <w:autoSpaceDN w:val="0"/>
              <w:adjustRightInd w:val="0"/>
              <w:jc w:val="right"/>
              <w:rPr>
                <w:rFonts w:cstheme="minorHAnsi"/>
                <w:bCs/>
                <w:color w:val="0000E1"/>
              </w:rPr>
            </w:pPr>
            <w:r w:rsidRPr="00315528">
              <w:rPr>
                <w:rFonts w:cstheme="minorHAnsi"/>
                <w:bCs/>
                <w:color w:val="0000E1"/>
              </w:rPr>
              <w:t>0.693 (0.658, 0.729)</w:t>
            </w:r>
          </w:p>
        </w:tc>
        <w:tc>
          <w:tcPr>
            <w:tcW w:w="2065" w:type="dxa"/>
            <w:vAlign w:val="center"/>
          </w:tcPr>
          <w:p w14:paraId="6A18D616" w14:textId="77777777" w:rsidR="009D299F" w:rsidRPr="00315528" w:rsidRDefault="00EC400E" w:rsidP="00AE2BC8">
            <w:pPr>
              <w:autoSpaceDE w:val="0"/>
              <w:autoSpaceDN w:val="0"/>
              <w:adjustRightInd w:val="0"/>
              <w:jc w:val="right"/>
              <w:rPr>
                <w:rFonts w:cstheme="minorHAnsi"/>
                <w:bCs/>
                <w:color w:val="0000E1"/>
              </w:rPr>
            </w:pPr>
            <w:r w:rsidRPr="00315528">
              <w:rPr>
                <w:rFonts w:cstheme="minorHAnsi"/>
                <w:bCs/>
                <w:color w:val="0000E1"/>
              </w:rPr>
              <w:t>0.748 (0.718, 0.777)</w:t>
            </w:r>
          </w:p>
        </w:tc>
      </w:tr>
      <w:tr w:rsidR="009D299F" w:rsidRPr="00315528" w14:paraId="202C8F2C" w14:textId="77777777" w:rsidTr="00AE2BC8">
        <w:tc>
          <w:tcPr>
            <w:tcW w:w="3055" w:type="dxa"/>
          </w:tcPr>
          <w:p w14:paraId="26FCE667" w14:textId="77777777" w:rsidR="009D299F" w:rsidRPr="00315528" w:rsidRDefault="009D299F" w:rsidP="00092566">
            <w:pPr>
              <w:autoSpaceDE w:val="0"/>
              <w:autoSpaceDN w:val="0"/>
              <w:adjustRightInd w:val="0"/>
              <w:rPr>
                <w:rFonts w:cstheme="minorHAnsi"/>
                <w:bCs/>
                <w:color w:val="0000E1"/>
              </w:rPr>
            </w:pPr>
            <w:r w:rsidRPr="00315528">
              <w:rPr>
                <w:rFonts w:cstheme="minorHAnsi"/>
                <w:bCs/>
                <w:color w:val="0000E1"/>
              </w:rPr>
              <w:t xml:space="preserve">Random effects </w:t>
            </w:r>
            <w:r w:rsidR="00DA0358">
              <w:rPr>
                <w:rFonts w:cstheme="minorHAnsi"/>
                <w:bCs/>
                <w:color w:val="0000E1"/>
              </w:rPr>
              <w:t>vs.</w:t>
            </w:r>
            <w:r w:rsidR="00DA0358" w:rsidRPr="00315528">
              <w:rPr>
                <w:rFonts w:cstheme="minorHAnsi"/>
                <w:bCs/>
                <w:color w:val="0000E1"/>
              </w:rPr>
              <w:t xml:space="preserve"> Classical</w:t>
            </w:r>
            <w:r w:rsidRPr="00315528">
              <w:rPr>
                <w:rFonts w:cstheme="minorHAnsi"/>
                <w:bCs/>
                <w:color w:val="0000E1"/>
              </w:rPr>
              <w:t xml:space="preserve"> logistic regression</w:t>
            </w:r>
          </w:p>
        </w:tc>
        <w:tc>
          <w:tcPr>
            <w:tcW w:w="2160" w:type="dxa"/>
            <w:vAlign w:val="center"/>
          </w:tcPr>
          <w:p w14:paraId="4F1FB384" w14:textId="10D3FD73" w:rsidR="009D299F" w:rsidRPr="00315528" w:rsidRDefault="00E821BD" w:rsidP="00AE2BC8">
            <w:pPr>
              <w:autoSpaceDE w:val="0"/>
              <w:autoSpaceDN w:val="0"/>
              <w:adjustRightInd w:val="0"/>
              <w:jc w:val="right"/>
              <w:rPr>
                <w:rFonts w:cstheme="minorHAnsi"/>
                <w:bCs/>
                <w:color w:val="0000E1"/>
              </w:rPr>
            </w:pPr>
            <w:r>
              <w:rPr>
                <w:rFonts w:cstheme="minorHAnsi"/>
                <w:bCs/>
                <w:color w:val="0000E1"/>
              </w:rPr>
              <w:t>0.989 (0.984, 0.995</w:t>
            </w:r>
            <w:r w:rsidR="002E5E23" w:rsidRPr="00315528">
              <w:rPr>
                <w:rFonts w:cstheme="minorHAnsi"/>
                <w:bCs/>
                <w:color w:val="0000E1"/>
              </w:rPr>
              <w:t>)</w:t>
            </w:r>
          </w:p>
        </w:tc>
        <w:tc>
          <w:tcPr>
            <w:tcW w:w="2070" w:type="dxa"/>
            <w:vAlign w:val="center"/>
          </w:tcPr>
          <w:p w14:paraId="0E36AE57" w14:textId="77777777" w:rsidR="009D299F" w:rsidRPr="00315528" w:rsidRDefault="007A64FF" w:rsidP="00AE2BC8">
            <w:pPr>
              <w:autoSpaceDE w:val="0"/>
              <w:autoSpaceDN w:val="0"/>
              <w:adjustRightInd w:val="0"/>
              <w:jc w:val="right"/>
              <w:rPr>
                <w:rFonts w:cstheme="minorHAnsi"/>
                <w:bCs/>
                <w:color w:val="0000E1"/>
              </w:rPr>
            </w:pPr>
            <w:r w:rsidRPr="00315528">
              <w:rPr>
                <w:rFonts w:cstheme="minorHAnsi"/>
                <w:bCs/>
                <w:color w:val="0000E1"/>
              </w:rPr>
              <w:t>0.977 (0.969, 0.984)</w:t>
            </w:r>
          </w:p>
        </w:tc>
        <w:tc>
          <w:tcPr>
            <w:tcW w:w="2065" w:type="dxa"/>
            <w:vAlign w:val="center"/>
          </w:tcPr>
          <w:p w14:paraId="62CAFBD9" w14:textId="7E9AA9C7" w:rsidR="009D299F" w:rsidRPr="00315528" w:rsidRDefault="00E821BD" w:rsidP="00AE2BC8">
            <w:pPr>
              <w:autoSpaceDE w:val="0"/>
              <w:autoSpaceDN w:val="0"/>
              <w:adjustRightInd w:val="0"/>
              <w:jc w:val="right"/>
              <w:rPr>
                <w:rFonts w:cstheme="minorHAnsi"/>
                <w:bCs/>
                <w:color w:val="0000E1"/>
              </w:rPr>
            </w:pPr>
            <w:r>
              <w:rPr>
                <w:rFonts w:cstheme="minorHAnsi"/>
                <w:bCs/>
                <w:color w:val="0000E1"/>
              </w:rPr>
              <w:t>0.975</w:t>
            </w:r>
            <w:r w:rsidR="009D299F" w:rsidRPr="00315528">
              <w:rPr>
                <w:rFonts w:cstheme="minorHAnsi"/>
                <w:bCs/>
                <w:color w:val="0000E1"/>
              </w:rPr>
              <w:t xml:space="preserve"> (0.967, 0.983)</w:t>
            </w:r>
          </w:p>
        </w:tc>
      </w:tr>
    </w:tbl>
    <w:p w14:paraId="687D4E91" w14:textId="77777777" w:rsidR="00D67CD5" w:rsidRPr="009D299F" w:rsidRDefault="00D67CD5" w:rsidP="00092566">
      <w:pPr>
        <w:autoSpaceDE w:val="0"/>
        <w:autoSpaceDN w:val="0"/>
        <w:adjustRightInd w:val="0"/>
        <w:spacing w:after="0" w:line="240" w:lineRule="auto"/>
        <w:rPr>
          <w:rFonts w:cstheme="minorHAnsi"/>
          <w:b/>
          <w:bCs/>
        </w:rPr>
      </w:pPr>
    </w:p>
    <w:p w14:paraId="2A3C0ABC" w14:textId="77777777" w:rsidR="00852846" w:rsidRPr="00393E4C" w:rsidRDefault="009C7513" w:rsidP="00092566">
      <w:pPr>
        <w:autoSpaceDE w:val="0"/>
        <w:autoSpaceDN w:val="0"/>
        <w:adjustRightInd w:val="0"/>
        <w:spacing w:after="0" w:line="240" w:lineRule="auto"/>
        <w:rPr>
          <w:rFonts w:cstheme="minorHAnsi"/>
          <w:bCs/>
        </w:rPr>
      </w:pPr>
      <w:r w:rsidRPr="00393E4C">
        <w:rPr>
          <w:rFonts w:cstheme="minorHAnsi"/>
          <w:b/>
          <w:bCs/>
        </w:rPr>
        <w:t>2b3</w:t>
      </w:r>
      <w:r w:rsidR="00743E46" w:rsidRPr="00393E4C">
        <w:rPr>
          <w:rFonts w:cstheme="minorHAnsi"/>
          <w:b/>
          <w:bCs/>
        </w:rPr>
        <w:t>.7</w:t>
      </w:r>
      <w:r w:rsidR="00001D73" w:rsidRPr="00393E4C">
        <w:rPr>
          <w:rFonts w:cstheme="minorHAnsi"/>
          <w:b/>
          <w:bCs/>
        </w:rPr>
        <w:t xml:space="preserve">. </w:t>
      </w:r>
      <w:r w:rsidR="00743E46" w:rsidRPr="00393E4C">
        <w:rPr>
          <w:rFonts w:cstheme="minorHAnsi"/>
          <w:b/>
          <w:bCs/>
        </w:rPr>
        <w:t xml:space="preserve">Statistical </w:t>
      </w:r>
      <w:r w:rsidR="00092566" w:rsidRPr="00393E4C">
        <w:rPr>
          <w:rFonts w:cstheme="minorHAnsi"/>
          <w:b/>
          <w:bCs/>
        </w:rPr>
        <w:t>Risk Model Calibration Statistics</w:t>
      </w:r>
      <w:r w:rsidR="003605B4" w:rsidRPr="00393E4C">
        <w:rPr>
          <w:rFonts w:cstheme="minorHAnsi"/>
          <w:b/>
          <w:bCs/>
        </w:rPr>
        <w:t xml:space="preserve"> </w:t>
      </w:r>
      <w:r w:rsidR="003605B4" w:rsidRPr="00393E4C">
        <w:rPr>
          <w:rFonts w:cstheme="minorHAnsi"/>
          <w:bCs/>
        </w:rPr>
        <w:t>(</w:t>
      </w:r>
      <w:r w:rsidR="003605B4" w:rsidRPr="00393E4C">
        <w:rPr>
          <w:rFonts w:cstheme="minorHAnsi"/>
          <w:bCs/>
          <w:i/>
        </w:rPr>
        <w:t>e.g., Hosmer-Lemeshow statistic</w:t>
      </w:r>
      <w:r w:rsidR="003605B4" w:rsidRPr="00393E4C">
        <w:rPr>
          <w:rFonts w:cstheme="minorHAnsi"/>
          <w:bCs/>
        </w:rPr>
        <w:t>)</w:t>
      </w:r>
      <w:r w:rsidR="00092566" w:rsidRPr="00393E4C">
        <w:rPr>
          <w:rFonts w:cstheme="minorHAnsi"/>
          <w:bCs/>
        </w:rPr>
        <w:t xml:space="preserve">:  </w:t>
      </w:r>
    </w:p>
    <w:p w14:paraId="5C74A403" w14:textId="77777777" w:rsidR="00866C2D" w:rsidRDefault="00866C2D" w:rsidP="00092566">
      <w:pPr>
        <w:autoSpaceDE w:val="0"/>
        <w:autoSpaceDN w:val="0"/>
        <w:adjustRightInd w:val="0"/>
        <w:spacing w:after="0" w:line="240" w:lineRule="auto"/>
        <w:rPr>
          <w:rFonts w:cstheme="minorHAnsi"/>
          <w:bCs/>
          <w:highlight w:val="red"/>
        </w:rPr>
      </w:pPr>
    </w:p>
    <w:p w14:paraId="01C4FF81" w14:textId="77777777" w:rsidR="00E04DF8" w:rsidRPr="00E04DF8" w:rsidRDefault="00E04DF8" w:rsidP="00E04DF8">
      <w:pPr>
        <w:autoSpaceDE w:val="0"/>
        <w:autoSpaceDN w:val="0"/>
        <w:adjustRightInd w:val="0"/>
        <w:spacing w:after="0" w:line="240" w:lineRule="auto"/>
        <w:rPr>
          <w:rFonts w:cstheme="minorHAnsi"/>
          <w:color w:val="0000E1"/>
        </w:rPr>
      </w:pPr>
      <w:r w:rsidRPr="00E04DF8">
        <w:rPr>
          <w:rFonts w:cstheme="minorHAnsi"/>
          <w:color w:val="0000E1"/>
        </w:rPr>
        <w:t>The generalized linear mixed (GLIMMIX) procedure with random intercept in SAS was used for risk adjustment</w:t>
      </w:r>
      <w:r w:rsidR="00E57C81">
        <w:rPr>
          <w:rFonts w:cstheme="minorHAnsi"/>
          <w:color w:val="0000E1"/>
        </w:rPr>
        <w:t xml:space="preserve">. </w:t>
      </w:r>
      <w:r w:rsidRPr="00E04DF8">
        <w:rPr>
          <w:rFonts w:cstheme="minorHAnsi"/>
          <w:color w:val="0000E1"/>
        </w:rPr>
        <w:t>While this method is well suited for binary measures, there is no formal statistic to assess the goodness of fit</w:t>
      </w:r>
      <w:r>
        <w:rPr>
          <w:rFonts w:cstheme="minorHAnsi"/>
          <w:color w:val="0000E1"/>
        </w:rPr>
        <w:t xml:space="preserve"> (GOF)</w:t>
      </w:r>
      <w:r w:rsidRPr="00E04DF8">
        <w:rPr>
          <w:rFonts w:cstheme="minorHAnsi"/>
          <w:color w:val="0000E1"/>
        </w:rPr>
        <w:t xml:space="preserve"> for t</w:t>
      </w:r>
      <w:r>
        <w:rPr>
          <w:rFonts w:cstheme="minorHAnsi"/>
          <w:color w:val="0000E1"/>
        </w:rPr>
        <w:t>hese models</w:t>
      </w:r>
      <w:r w:rsidR="00E57C81">
        <w:rPr>
          <w:rFonts w:cstheme="minorHAnsi"/>
          <w:color w:val="0000E1"/>
        </w:rPr>
        <w:t xml:space="preserve">. </w:t>
      </w:r>
      <w:r>
        <w:rPr>
          <w:rFonts w:cstheme="minorHAnsi"/>
          <w:color w:val="0000E1"/>
        </w:rPr>
        <w:t>We used an extension of the Hosmer-Lemeshow</w:t>
      </w:r>
      <w:r w:rsidR="000A5FE4">
        <w:rPr>
          <w:rFonts w:cstheme="minorHAnsi"/>
          <w:color w:val="0000E1"/>
        </w:rPr>
        <w:t xml:space="preserve"> (H-L)</w:t>
      </w:r>
      <w:r>
        <w:rPr>
          <w:rFonts w:cstheme="minorHAnsi"/>
          <w:color w:val="0000E1"/>
        </w:rPr>
        <w:t xml:space="preserve"> GOF test </w:t>
      </w:r>
      <w:r w:rsidR="00E22A34">
        <w:rPr>
          <w:rFonts w:cstheme="minorHAnsi"/>
          <w:color w:val="0000E1"/>
        </w:rPr>
        <w:t>developed and validated by Li et al</w:t>
      </w:r>
      <w:r w:rsidR="00E22A34" w:rsidRPr="007D0DFD">
        <w:rPr>
          <w:rFonts w:cstheme="minorHAnsi"/>
          <w:color w:val="0000E1"/>
          <w:vertAlign w:val="superscript"/>
        </w:rPr>
        <w:t>1</w:t>
      </w:r>
      <w:r w:rsidR="00E22A34">
        <w:rPr>
          <w:rFonts w:cstheme="minorHAnsi"/>
          <w:color w:val="0000E1"/>
        </w:rPr>
        <w:t xml:space="preserve"> </w:t>
      </w:r>
      <w:r>
        <w:rPr>
          <w:rFonts w:cstheme="minorHAnsi"/>
          <w:color w:val="0000E1"/>
        </w:rPr>
        <w:t xml:space="preserve">to determine </w:t>
      </w:r>
      <w:r w:rsidR="00E22A34">
        <w:rPr>
          <w:rFonts w:cstheme="minorHAnsi"/>
          <w:color w:val="0000E1"/>
        </w:rPr>
        <w:t>the model calibration.</w:t>
      </w:r>
    </w:p>
    <w:p w14:paraId="7D8AA75D" w14:textId="77777777" w:rsidR="00E04DF8" w:rsidRDefault="00E04DF8" w:rsidP="00202D7B">
      <w:pPr>
        <w:autoSpaceDE w:val="0"/>
        <w:autoSpaceDN w:val="0"/>
        <w:adjustRightInd w:val="0"/>
        <w:spacing w:after="0" w:line="240" w:lineRule="auto"/>
        <w:rPr>
          <w:rFonts w:cstheme="minorHAnsi"/>
          <w:bCs/>
          <w:color w:val="0000E1"/>
        </w:rPr>
      </w:pPr>
    </w:p>
    <w:p w14:paraId="4B43A122" w14:textId="77777777" w:rsidR="00202D7B" w:rsidRPr="00315528" w:rsidRDefault="00202D7B" w:rsidP="00202D7B">
      <w:pPr>
        <w:autoSpaceDE w:val="0"/>
        <w:autoSpaceDN w:val="0"/>
        <w:adjustRightInd w:val="0"/>
        <w:spacing w:after="0" w:line="240" w:lineRule="auto"/>
        <w:rPr>
          <w:rFonts w:cstheme="minorHAnsi"/>
          <w:b/>
          <w:bCs/>
          <w:color w:val="0000E1"/>
        </w:rPr>
      </w:pPr>
      <w:r w:rsidRPr="007D0DFD">
        <w:rPr>
          <w:rFonts w:cstheme="minorHAnsi"/>
          <w:bCs/>
          <w:color w:val="0000E1"/>
        </w:rPr>
        <w:lastRenderedPageBreak/>
        <w:t>In large datasets, small/unimportant deviations from good calibration can still lead to large H-L test statistic or small p-value, and therefore may not be useful. As such we provide risk decile plots to measure predictive ability</w:t>
      </w:r>
      <w:r w:rsidR="007D0DFD" w:rsidRPr="007D0DFD">
        <w:rPr>
          <w:rFonts w:cstheme="minorHAnsi"/>
          <w:bCs/>
          <w:color w:val="0000E1"/>
        </w:rPr>
        <w:t>.</w:t>
      </w:r>
    </w:p>
    <w:p w14:paraId="7C8979FA" w14:textId="77777777" w:rsidR="00202D7B" w:rsidRDefault="00202D7B" w:rsidP="00092566">
      <w:pPr>
        <w:autoSpaceDE w:val="0"/>
        <w:autoSpaceDN w:val="0"/>
        <w:adjustRightInd w:val="0"/>
        <w:spacing w:after="0" w:line="240" w:lineRule="auto"/>
        <w:rPr>
          <w:rFonts w:cstheme="minorHAnsi"/>
          <w:b/>
          <w:bCs/>
          <w:highlight w:val="red"/>
        </w:rPr>
      </w:pPr>
    </w:p>
    <w:p w14:paraId="411969DA" w14:textId="77777777" w:rsidR="0066302C" w:rsidRPr="00C11669" w:rsidRDefault="0066302C" w:rsidP="0066302C">
      <w:pPr>
        <w:autoSpaceDE w:val="0"/>
        <w:autoSpaceDN w:val="0"/>
        <w:adjustRightInd w:val="0"/>
        <w:spacing w:after="0" w:line="240" w:lineRule="auto"/>
        <w:rPr>
          <w:rFonts w:cstheme="minorHAnsi"/>
          <w:b/>
          <w:bCs/>
          <w:color w:val="0000E1"/>
        </w:rPr>
      </w:pPr>
      <w:r w:rsidRPr="00C11669">
        <w:rPr>
          <w:rFonts w:cstheme="minorHAnsi"/>
          <w:b/>
          <w:bCs/>
          <w:color w:val="0000E1"/>
        </w:rPr>
        <w:t>References:</w:t>
      </w:r>
    </w:p>
    <w:p w14:paraId="06FE97C1" w14:textId="77777777" w:rsidR="0066302C" w:rsidRPr="00C11669" w:rsidRDefault="0066302C" w:rsidP="00597F27">
      <w:pPr>
        <w:pStyle w:val="Default"/>
        <w:numPr>
          <w:ilvl w:val="0"/>
          <w:numId w:val="8"/>
        </w:numPr>
        <w:rPr>
          <w:rFonts w:asciiTheme="minorHAnsi" w:hAnsiTheme="minorHAnsi"/>
          <w:color w:val="0000E1"/>
          <w:sz w:val="22"/>
          <w:szCs w:val="22"/>
        </w:rPr>
      </w:pPr>
      <w:r w:rsidRPr="00C11669">
        <w:rPr>
          <w:rFonts w:asciiTheme="minorHAnsi" w:hAnsiTheme="minorHAnsi"/>
          <w:color w:val="0000E1"/>
          <w:sz w:val="22"/>
          <w:szCs w:val="22"/>
        </w:rPr>
        <w:t xml:space="preserve">Li R, Su Z, Mendelsohn A, </w:t>
      </w:r>
      <w:proofErr w:type="spellStart"/>
      <w:r w:rsidRPr="00C11669">
        <w:rPr>
          <w:rFonts w:asciiTheme="minorHAnsi" w:hAnsiTheme="minorHAnsi"/>
          <w:color w:val="0000E1"/>
          <w:sz w:val="22"/>
          <w:szCs w:val="22"/>
        </w:rPr>
        <w:t>Gemmen</w:t>
      </w:r>
      <w:proofErr w:type="spellEnd"/>
      <w:r w:rsidRPr="00C11669">
        <w:rPr>
          <w:rFonts w:asciiTheme="minorHAnsi" w:hAnsiTheme="minorHAnsi"/>
          <w:color w:val="0000E1"/>
          <w:sz w:val="22"/>
          <w:szCs w:val="22"/>
        </w:rPr>
        <w:t xml:space="preserve"> E. Extension of the Hosmer-Lemeshow Goodness of Fit statistic to linear models with repeated measurements</w:t>
      </w:r>
      <w:r w:rsidR="00C11669" w:rsidRPr="00C11669">
        <w:rPr>
          <w:rFonts w:asciiTheme="minorHAnsi" w:hAnsiTheme="minorHAnsi"/>
          <w:color w:val="0000E1"/>
          <w:sz w:val="22"/>
          <w:szCs w:val="22"/>
        </w:rPr>
        <w:t>. Value in Health 16(2013) A1-</w:t>
      </w:r>
      <w:r w:rsidRPr="00C11669">
        <w:rPr>
          <w:rFonts w:asciiTheme="minorHAnsi" w:hAnsiTheme="minorHAnsi"/>
          <w:color w:val="0000E1"/>
          <w:sz w:val="22"/>
          <w:szCs w:val="22"/>
        </w:rPr>
        <w:t xml:space="preserve">A298. </w:t>
      </w:r>
    </w:p>
    <w:p w14:paraId="70108C7F" w14:textId="77777777" w:rsidR="0066302C" w:rsidRPr="002108B0" w:rsidRDefault="0066302C" w:rsidP="0066302C">
      <w:pPr>
        <w:pStyle w:val="Default"/>
        <w:ind w:left="360"/>
        <w:rPr>
          <w:rFonts w:asciiTheme="minorHAnsi" w:hAnsiTheme="minorHAnsi"/>
          <w:color w:val="0000E1"/>
          <w:sz w:val="22"/>
          <w:szCs w:val="22"/>
        </w:rPr>
      </w:pPr>
    </w:p>
    <w:p w14:paraId="45EAC59E" w14:textId="77777777" w:rsidR="00866C2D" w:rsidRPr="0057332B" w:rsidRDefault="009C7513" w:rsidP="00092566">
      <w:pPr>
        <w:autoSpaceDE w:val="0"/>
        <w:autoSpaceDN w:val="0"/>
        <w:adjustRightInd w:val="0"/>
        <w:spacing w:after="0" w:line="240" w:lineRule="auto"/>
        <w:rPr>
          <w:rFonts w:cstheme="minorHAnsi"/>
          <w:bCs/>
        </w:rPr>
      </w:pPr>
      <w:r w:rsidRPr="0057332B">
        <w:rPr>
          <w:rFonts w:cstheme="minorHAnsi"/>
          <w:b/>
          <w:bCs/>
        </w:rPr>
        <w:t>2b3</w:t>
      </w:r>
      <w:r w:rsidR="00743E46" w:rsidRPr="0057332B">
        <w:rPr>
          <w:rFonts w:cstheme="minorHAnsi"/>
          <w:b/>
          <w:bCs/>
        </w:rPr>
        <w:t>.8</w:t>
      </w:r>
      <w:r w:rsidR="00001D73" w:rsidRPr="0057332B">
        <w:rPr>
          <w:rFonts w:cstheme="minorHAnsi"/>
          <w:b/>
          <w:bCs/>
        </w:rPr>
        <w:t xml:space="preserve">. </w:t>
      </w:r>
      <w:r w:rsidR="00743E46" w:rsidRPr="0057332B">
        <w:rPr>
          <w:rFonts w:cstheme="minorHAnsi"/>
          <w:b/>
          <w:bCs/>
        </w:rPr>
        <w:t xml:space="preserve">Statistical </w:t>
      </w:r>
      <w:r w:rsidR="00092566" w:rsidRPr="0057332B">
        <w:rPr>
          <w:rFonts w:cstheme="minorHAnsi"/>
          <w:b/>
          <w:bCs/>
        </w:rPr>
        <w:t>Risk Model Calibration – Risk decile plots or calibration curves</w:t>
      </w:r>
      <w:r w:rsidR="00092566" w:rsidRPr="0057332B">
        <w:rPr>
          <w:rFonts w:cstheme="minorHAnsi"/>
          <w:bCs/>
        </w:rPr>
        <w:t>:</w:t>
      </w:r>
    </w:p>
    <w:p w14:paraId="5AAC2460" w14:textId="77777777" w:rsidR="003368B5" w:rsidRPr="0044235B" w:rsidRDefault="003368B5" w:rsidP="00092566">
      <w:pPr>
        <w:autoSpaceDE w:val="0"/>
        <w:autoSpaceDN w:val="0"/>
        <w:adjustRightInd w:val="0"/>
        <w:spacing w:after="0" w:line="240" w:lineRule="auto"/>
        <w:rPr>
          <w:rFonts w:cstheme="minorHAnsi"/>
          <w:b/>
        </w:rPr>
      </w:pPr>
    </w:p>
    <w:p w14:paraId="18FC58E2" w14:textId="77777777" w:rsidR="00A07D1C" w:rsidRDefault="0044235B" w:rsidP="00092566">
      <w:pPr>
        <w:autoSpaceDE w:val="0"/>
        <w:autoSpaceDN w:val="0"/>
        <w:adjustRightInd w:val="0"/>
        <w:spacing w:after="0" w:line="240" w:lineRule="auto"/>
        <w:rPr>
          <w:rFonts w:cstheme="minorHAnsi"/>
          <w:color w:val="0000E1"/>
        </w:rPr>
      </w:pPr>
      <w:r w:rsidRPr="0044235B">
        <w:rPr>
          <w:rFonts w:cstheme="minorHAnsi"/>
          <w:color w:val="0000E1"/>
        </w:rPr>
        <w:t>The risk decile plot provides a graphical representation of the deciles calculated to measure predictive ability</w:t>
      </w:r>
      <w:r w:rsidR="00EB47FB">
        <w:rPr>
          <w:rFonts w:cstheme="minorHAnsi"/>
          <w:color w:val="0000E1"/>
        </w:rPr>
        <w:t xml:space="preserve"> as calculated above in 2b3.7</w:t>
      </w:r>
      <w:r w:rsidRPr="0044235B">
        <w:rPr>
          <w:rFonts w:cstheme="minorHAnsi"/>
          <w:color w:val="0000E1"/>
        </w:rPr>
        <w:t xml:space="preserve">. </w:t>
      </w:r>
      <w:r w:rsidR="003F3E2E" w:rsidRPr="0044235B">
        <w:rPr>
          <w:rFonts w:cstheme="minorHAnsi"/>
          <w:color w:val="0000E1"/>
        </w:rPr>
        <w:t xml:space="preserve">Figures 4-6 show the </w:t>
      </w:r>
      <w:r w:rsidRPr="0044235B">
        <w:rPr>
          <w:rFonts w:cstheme="minorHAnsi"/>
          <w:color w:val="0000E1"/>
        </w:rPr>
        <w:t xml:space="preserve">distribution of the </w:t>
      </w:r>
      <w:r w:rsidR="003F3E2E" w:rsidRPr="0044235B">
        <w:rPr>
          <w:rFonts w:cstheme="minorHAnsi"/>
          <w:color w:val="0000E1"/>
        </w:rPr>
        <w:t>observed and expected PDC</w:t>
      </w:r>
      <w:r w:rsidR="00C00039">
        <w:rPr>
          <w:rFonts w:cstheme="minorHAnsi"/>
          <w:color w:val="0000E1"/>
        </w:rPr>
        <w:t xml:space="preserve"> deciles</w:t>
      </w:r>
      <w:r w:rsidRPr="0044235B">
        <w:rPr>
          <w:rFonts w:cstheme="minorHAnsi"/>
          <w:color w:val="0000E1"/>
        </w:rPr>
        <w:t xml:space="preserve"> for each of the therapeutic categories</w:t>
      </w:r>
      <w:r w:rsidR="00E57C81">
        <w:rPr>
          <w:rFonts w:cstheme="minorHAnsi"/>
          <w:color w:val="0000E1"/>
        </w:rPr>
        <w:t xml:space="preserve">. </w:t>
      </w:r>
      <w:r w:rsidR="003F3E2E" w:rsidRPr="0044235B">
        <w:rPr>
          <w:rFonts w:cstheme="minorHAnsi"/>
          <w:color w:val="0000E1"/>
        </w:rPr>
        <w:t xml:space="preserve"> </w:t>
      </w:r>
    </w:p>
    <w:p w14:paraId="23EAA00F" w14:textId="77777777" w:rsidR="00716DDD" w:rsidRDefault="00716DDD" w:rsidP="00092566">
      <w:pPr>
        <w:autoSpaceDE w:val="0"/>
        <w:autoSpaceDN w:val="0"/>
        <w:adjustRightInd w:val="0"/>
        <w:spacing w:after="0" w:line="240" w:lineRule="auto"/>
        <w:rPr>
          <w:rFonts w:cstheme="minorHAnsi"/>
          <w:color w:val="0000E1"/>
        </w:rPr>
      </w:pPr>
    </w:p>
    <w:p w14:paraId="7B0B1DA3" w14:textId="77777777" w:rsidR="00C00039" w:rsidRPr="00493870" w:rsidRDefault="00716DDD" w:rsidP="00092566">
      <w:pPr>
        <w:autoSpaceDE w:val="0"/>
        <w:autoSpaceDN w:val="0"/>
        <w:adjustRightInd w:val="0"/>
        <w:spacing w:after="0" w:line="240" w:lineRule="auto"/>
        <w:rPr>
          <w:rFonts w:cstheme="minorHAnsi"/>
          <w:color w:val="0000E1"/>
          <w:highlight w:val="red"/>
        </w:rPr>
      </w:pPr>
      <w:r w:rsidRPr="00C00039">
        <w:rPr>
          <w:rFonts w:cstheme="minorHAnsi"/>
          <w:b/>
          <w:color w:val="0000E1"/>
        </w:rPr>
        <w:t>Figure 4. Risk Decile Plot for Diabetes</w:t>
      </w:r>
      <w:r w:rsidR="00310DF6" w:rsidRPr="00310DF6">
        <w:rPr>
          <w:rFonts w:cstheme="minorHAnsi"/>
          <w:b/>
          <w:color w:val="0000E1"/>
        </w:rPr>
        <w:t xml:space="preserve"> </w:t>
      </w:r>
      <w:r w:rsidR="00310DF6">
        <w:rPr>
          <w:rFonts w:cstheme="minorHAnsi"/>
          <w:b/>
          <w:color w:val="0000E1"/>
        </w:rPr>
        <w:tab/>
      </w:r>
      <w:r w:rsidR="00310DF6">
        <w:rPr>
          <w:rFonts w:cstheme="minorHAnsi"/>
          <w:b/>
          <w:color w:val="0000E1"/>
        </w:rPr>
        <w:tab/>
      </w:r>
    </w:p>
    <w:p w14:paraId="747CED46" w14:textId="77777777" w:rsidR="00A85D7C" w:rsidRDefault="00372076" w:rsidP="00A11EFA">
      <w:pPr>
        <w:autoSpaceDE w:val="0"/>
        <w:autoSpaceDN w:val="0"/>
        <w:adjustRightInd w:val="0"/>
        <w:spacing w:after="0" w:line="240" w:lineRule="auto"/>
        <w:rPr>
          <w:rFonts w:cstheme="minorHAnsi"/>
          <w:b/>
          <w:color w:val="0000E1"/>
        </w:rPr>
      </w:pPr>
      <w:r>
        <w:rPr>
          <w:noProof/>
        </w:rPr>
        <w:drawing>
          <wp:inline distT="0" distB="0" distL="0" distR="0" wp14:anchorId="52928961" wp14:editId="5AAD332A">
            <wp:extent cx="5958840" cy="2308860"/>
            <wp:effectExtent l="0" t="0" r="3810" b="15240"/>
            <wp:docPr id="9" name="Chart 9">
              <a:extLst xmlns:a="http://schemas.openxmlformats.org/drawingml/2006/main">
                <a:ext uri="{FF2B5EF4-FFF2-40B4-BE49-F238E27FC236}">
                  <a16:creationId xmlns:a16="http://schemas.microsoft.com/office/drawing/2014/main" id="{E4E5CB1A-F1C6-4660-BA3B-945438CD0C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p w14:paraId="77A78864" w14:textId="77777777" w:rsidR="00372076" w:rsidRDefault="00372076" w:rsidP="00A11EFA">
      <w:pPr>
        <w:autoSpaceDE w:val="0"/>
        <w:autoSpaceDN w:val="0"/>
        <w:adjustRightInd w:val="0"/>
        <w:spacing w:after="0" w:line="240" w:lineRule="auto"/>
        <w:rPr>
          <w:rFonts w:cstheme="minorHAnsi"/>
          <w:b/>
          <w:color w:val="0000E1"/>
        </w:rPr>
      </w:pPr>
    </w:p>
    <w:p w14:paraId="71286F2B" w14:textId="77777777" w:rsidR="00A11EFA" w:rsidRDefault="00A11EFA" w:rsidP="00A11EFA">
      <w:pPr>
        <w:autoSpaceDE w:val="0"/>
        <w:autoSpaceDN w:val="0"/>
        <w:adjustRightInd w:val="0"/>
        <w:spacing w:after="0" w:line="240" w:lineRule="auto"/>
        <w:rPr>
          <w:rFonts w:cstheme="minorHAnsi"/>
          <w:b/>
          <w:color w:val="0000E1"/>
        </w:rPr>
      </w:pPr>
      <w:r w:rsidRPr="00C00039">
        <w:rPr>
          <w:rFonts w:cstheme="minorHAnsi"/>
          <w:b/>
          <w:color w:val="0000E1"/>
        </w:rPr>
        <w:t xml:space="preserve">Figure </w:t>
      </w:r>
      <w:r>
        <w:rPr>
          <w:rFonts w:cstheme="minorHAnsi"/>
          <w:b/>
          <w:color w:val="0000E1"/>
        </w:rPr>
        <w:t>5</w:t>
      </w:r>
      <w:r w:rsidRPr="00C00039">
        <w:rPr>
          <w:rFonts w:cstheme="minorHAnsi"/>
          <w:b/>
          <w:color w:val="0000E1"/>
        </w:rPr>
        <w:t xml:space="preserve">. Risk Decile Plot for </w:t>
      </w:r>
      <w:r>
        <w:rPr>
          <w:rFonts w:cstheme="minorHAnsi"/>
          <w:b/>
          <w:color w:val="0000E1"/>
        </w:rPr>
        <w:t>RASA</w:t>
      </w:r>
    </w:p>
    <w:p w14:paraId="373DB4CA" w14:textId="77777777" w:rsidR="00A11EFA" w:rsidRDefault="00372076" w:rsidP="00372076">
      <w:pPr>
        <w:autoSpaceDE w:val="0"/>
        <w:autoSpaceDN w:val="0"/>
        <w:adjustRightInd w:val="0"/>
        <w:spacing w:after="0" w:line="240" w:lineRule="auto"/>
        <w:rPr>
          <w:rFonts w:cstheme="minorHAnsi"/>
          <w:b/>
          <w:color w:val="0000E1"/>
        </w:rPr>
      </w:pPr>
      <w:r>
        <w:rPr>
          <w:noProof/>
        </w:rPr>
        <w:drawing>
          <wp:inline distT="0" distB="0" distL="0" distR="0" wp14:anchorId="4190C5CC" wp14:editId="6A010065">
            <wp:extent cx="5905500" cy="2179320"/>
            <wp:effectExtent l="0" t="0" r="0" b="11430"/>
            <wp:docPr id="10" name="Chart 10">
              <a:extLst xmlns:a="http://schemas.openxmlformats.org/drawingml/2006/main">
                <a:ext uri="{FF2B5EF4-FFF2-40B4-BE49-F238E27FC236}">
                  <a16:creationId xmlns:a16="http://schemas.microsoft.com/office/drawing/2014/main" id="{0328D8B8-9A59-4D5C-984F-412911DF0BA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p w14:paraId="554D8013" w14:textId="77777777" w:rsidR="00372076" w:rsidRDefault="00372076" w:rsidP="00A11EFA">
      <w:pPr>
        <w:autoSpaceDE w:val="0"/>
        <w:autoSpaceDN w:val="0"/>
        <w:adjustRightInd w:val="0"/>
        <w:spacing w:after="0" w:line="240" w:lineRule="auto"/>
        <w:rPr>
          <w:rFonts w:cstheme="minorHAnsi"/>
          <w:b/>
          <w:color w:val="0000E1"/>
        </w:rPr>
      </w:pPr>
    </w:p>
    <w:p w14:paraId="193738D0" w14:textId="77777777" w:rsidR="00DD0554" w:rsidRDefault="00DD0554" w:rsidP="00A11EFA">
      <w:pPr>
        <w:autoSpaceDE w:val="0"/>
        <w:autoSpaceDN w:val="0"/>
        <w:adjustRightInd w:val="0"/>
        <w:spacing w:after="0" w:line="240" w:lineRule="auto"/>
        <w:rPr>
          <w:rFonts w:cstheme="minorHAnsi"/>
          <w:b/>
          <w:color w:val="0000E1"/>
        </w:rPr>
      </w:pPr>
    </w:p>
    <w:p w14:paraId="768B4A38" w14:textId="77777777" w:rsidR="00DD0554" w:rsidRDefault="00DD0554" w:rsidP="00A11EFA">
      <w:pPr>
        <w:autoSpaceDE w:val="0"/>
        <w:autoSpaceDN w:val="0"/>
        <w:adjustRightInd w:val="0"/>
        <w:spacing w:after="0" w:line="240" w:lineRule="auto"/>
        <w:rPr>
          <w:rFonts w:cstheme="minorHAnsi"/>
          <w:b/>
          <w:color w:val="0000E1"/>
        </w:rPr>
      </w:pPr>
    </w:p>
    <w:p w14:paraId="58AB2B32" w14:textId="77777777" w:rsidR="00DD0554" w:rsidRDefault="00DD0554" w:rsidP="00A11EFA">
      <w:pPr>
        <w:autoSpaceDE w:val="0"/>
        <w:autoSpaceDN w:val="0"/>
        <w:adjustRightInd w:val="0"/>
        <w:spacing w:after="0" w:line="240" w:lineRule="auto"/>
        <w:rPr>
          <w:rFonts w:cstheme="minorHAnsi"/>
          <w:b/>
          <w:color w:val="0000E1"/>
        </w:rPr>
      </w:pPr>
    </w:p>
    <w:p w14:paraId="39A509E3" w14:textId="77777777" w:rsidR="00372ECC" w:rsidRDefault="00310DF6" w:rsidP="00A11EFA">
      <w:pPr>
        <w:autoSpaceDE w:val="0"/>
        <w:autoSpaceDN w:val="0"/>
        <w:adjustRightInd w:val="0"/>
        <w:spacing w:after="0" w:line="240" w:lineRule="auto"/>
        <w:rPr>
          <w:rFonts w:cstheme="minorHAnsi"/>
          <w:b/>
          <w:color w:val="0000E1"/>
        </w:rPr>
      </w:pPr>
      <w:r>
        <w:rPr>
          <w:rFonts w:cstheme="minorHAnsi"/>
          <w:b/>
          <w:color w:val="0000E1"/>
        </w:rPr>
        <w:lastRenderedPageBreak/>
        <w:t>Figure 6</w:t>
      </w:r>
      <w:r w:rsidR="00716DDD" w:rsidRPr="00C00039">
        <w:rPr>
          <w:rFonts w:cstheme="minorHAnsi"/>
          <w:b/>
          <w:color w:val="0000E1"/>
        </w:rPr>
        <w:t xml:space="preserve">. Risk Decile Plot for </w:t>
      </w:r>
      <w:r w:rsidRPr="00C00039">
        <w:rPr>
          <w:rFonts w:cstheme="minorHAnsi"/>
          <w:b/>
          <w:color w:val="0000E1"/>
        </w:rPr>
        <w:t>Statins</w:t>
      </w:r>
    </w:p>
    <w:p w14:paraId="0B791273" w14:textId="77777777" w:rsidR="00372ECC" w:rsidRPr="00C00039" w:rsidRDefault="00310DF6" w:rsidP="00A11EFA">
      <w:pPr>
        <w:autoSpaceDE w:val="0"/>
        <w:autoSpaceDN w:val="0"/>
        <w:adjustRightInd w:val="0"/>
        <w:spacing w:after="0" w:line="240" w:lineRule="auto"/>
        <w:rPr>
          <w:rFonts w:cstheme="minorHAnsi"/>
          <w:b/>
          <w:color w:val="0000E1"/>
        </w:rPr>
      </w:pPr>
      <w:r>
        <w:rPr>
          <w:noProof/>
        </w:rPr>
        <w:drawing>
          <wp:inline distT="0" distB="0" distL="0" distR="0" wp14:anchorId="43790200" wp14:editId="144E95A4">
            <wp:extent cx="5905500" cy="2164080"/>
            <wp:effectExtent l="0" t="0" r="0" b="7620"/>
            <wp:docPr id="8" name="Chart 8">
              <a:extLst xmlns:a="http://schemas.openxmlformats.org/drawingml/2006/main">
                <a:ext uri="{FF2B5EF4-FFF2-40B4-BE49-F238E27FC236}">
                  <a16:creationId xmlns:a16="http://schemas.microsoft.com/office/drawing/2014/main" id="{44D83966-3C64-4477-934D-E4242499BFE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p>
    <w:p w14:paraId="3EC5761B" w14:textId="77777777" w:rsidR="003368B5" w:rsidRPr="00CE0D1E" w:rsidRDefault="003368B5" w:rsidP="00092566">
      <w:pPr>
        <w:autoSpaceDE w:val="0"/>
        <w:autoSpaceDN w:val="0"/>
        <w:adjustRightInd w:val="0"/>
        <w:spacing w:after="0" w:line="240" w:lineRule="auto"/>
        <w:rPr>
          <w:rFonts w:cstheme="minorHAnsi"/>
          <w:b/>
          <w:highlight w:val="red"/>
        </w:rPr>
      </w:pPr>
    </w:p>
    <w:p w14:paraId="3850C9B8" w14:textId="77777777" w:rsidR="00092566" w:rsidRPr="00A07F23" w:rsidRDefault="009C7513" w:rsidP="00092566">
      <w:pPr>
        <w:autoSpaceDE w:val="0"/>
        <w:autoSpaceDN w:val="0"/>
        <w:adjustRightInd w:val="0"/>
        <w:spacing w:after="0" w:line="240" w:lineRule="auto"/>
        <w:rPr>
          <w:rFonts w:cstheme="minorHAnsi"/>
          <w:bCs/>
        </w:rPr>
      </w:pPr>
      <w:bookmarkStart w:id="14" w:name="question2b49"/>
      <w:bookmarkEnd w:id="14"/>
      <w:r w:rsidRPr="00A07F23">
        <w:rPr>
          <w:rFonts w:cstheme="minorHAnsi"/>
          <w:b/>
        </w:rPr>
        <w:t>2b3</w:t>
      </w:r>
      <w:r w:rsidR="00743E46" w:rsidRPr="00A07F23">
        <w:rPr>
          <w:rFonts w:cstheme="minorHAnsi"/>
          <w:b/>
        </w:rPr>
        <w:t>.9</w:t>
      </w:r>
      <w:r w:rsidR="00001D73" w:rsidRPr="00A07F23">
        <w:rPr>
          <w:rFonts w:cstheme="minorHAnsi"/>
          <w:b/>
        </w:rPr>
        <w:t xml:space="preserve">. Results of </w:t>
      </w:r>
      <w:r w:rsidR="00092566" w:rsidRPr="00A07F23">
        <w:rPr>
          <w:rFonts w:cstheme="minorHAnsi"/>
          <w:b/>
        </w:rPr>
        <w:t>Risk Stratification Analysis</w:t>
      </w:r>
      <w:r w:rsidR="00092566" w:rsidRPr="00A07F23">
        <w:rPr>
          <w:rFonts w:cstheme="minorHAnsi"/>
        </w:rPr>
        <w:t xml:space="preserve">: </w:t>
      </w:r>
      <w:r w:rsidR="00092566" w:rsidRPr="00A07F23">
        <w:rPr>
          <w:rFonts w:cstheme="minorHAnsi"/>
          <w:bCs/>
        </w:rPr>
        <w:t xml:space="preserve"> </w:t>
      </w:r>
    </w:p>
    <w:p w14:paraId="0E575E81" w14:textId="77777777" w:rsidR="00CE0D1E" w:rsidRPr="000047CF" w:rsidRDefault="00BE5DB8" w:rsidP="00092566">
      <w:pPr>
        <w:autoSpaceDE w:val="0"/>
        <w:autoSpaceDN w:val="0"/>
        <w:adjustRightInd w:val="0"/>
        <w:spacing w:after="0" w:line="240" w:lineRule="auto"/>
        <w:rPr>
          <w:rFonts w:cstheme="minorHAnsi"/>
          <w:bCs/>
          <w:color w:val="0000E1"/>
        </w:rPr>
      </w:pPr>
      <w:r w:rsidRPr="000047CF">
        <w:rPr>
          <w:rFonts w:cstheme="minorHAnsi"/>
          <w:bCs/>
          <w:color w:val="0000E1"/>
        </w:rPr>
        <w:t>N/A</w:t>
      </w:r>
    </w:p>
    <w:p w14:paraId="48D1395A" w14:textId="77777777" w:rsidR="00BE5DB8" w:rsidRPr="00CE0D1E" w:rsidRDefault="00BE5DB8" w:rsidP="00092566">
      <w:pPr>
        <w:autoSpaceDE w:val="0"/>
        <w:autoSpaceDN w:val="0"/>
        <w:adjustRightInd w:val="0"/>
        <w:spacing w:after="0" w:line="240" w:lineRule="auto"/>
        <w:rPr>
          <w:rFonts w:cstheme="minorHAnsi"/>
          <w:bCs/>
          <w:highlight w:val="red"/>
        </w:rPr>
      </w:pPr>
    </w:p>
    <w:p w14:paraId="1D921E45" w14:textId="77777777" w:rsidR="00005806" w:rsidRDefault="009C7513" w:rsidP="00CE0D1E">
      <w:pPr>
        <w:autoSpaceDE w:val="0"/>
        <w:autoSpaceDN w:val="0"/>
        <w:adjustRightInd w:val="0"/>
        <w:spacing w:after="0" w:line="240" w:lineRule="auto"/>
        <w:rPr>
          <w:rFonts w:cstheme="minorHAnsi"/>
          <w:bCs/>
        </w:rPr>
      </w:pPr>
      <w:r w:rsidRPr="00A07F23">
        <w:rPr>
          <w:rFonts w:cstheme="minorHAnsi"/>
          <w:b/>
          <w:bCs/>
        </w:rPr>
        <w:t>2b3</w:t>
      </w:r>
      <w:r w:rsidR="00743E46" w:rsidRPr="00A07F23">
        <w:rPr>
          <w:rFonts w:cstheme="minorHAnsi"/>
          <w:b/>
          <w:bCs/>
        </w:rPr>
        <w:t>.10</w:t>
      </w:r>
      <w:r w:rsidR="00001D73" w:rsidRPr="00A07F23">
        <w:rPr>
          <w:rFonts w:cstheme="minorHAnsi"/>
          <w:b/>
          <w:bCs/>
        </w:rPr>
        <w:t xml:space="preserve">. </w:t>
      </w:r>
      <w:r w:rsidR="00092566" w:rsidRPr="00A07F23">
        <w:rPr>
          <w:rFonts w:cstheme="minorHAnsi"/>
          <w:b/>
          <w:bCs/>
        </w:rPr>
        <w:t>What is your interpretation of the results in terms of demonstrating adequacy of controlling for differences in patient characteristics (case mix)?</w:t>
      </w:r>
      <w:r w:rsidR="00092566" w:rsidRPr="00A07F23">
        <w:rPr>
          <w:rFonts w:cstheme="minorHAnsi"/>
          <w:bCs/>
        </w:rPr>
        <w:t xml:space="preserve"> (i</w:t>
      </w:r>
      <w:r w:rsidR="00092566" w:rsidRPr="00A07F23">
        <w:rPr>
          <w:rFonts w:cstheme="minorHAnsi"/>
          <w:bCs/>
          <w:i/>
        </w:rPr>
        <w:t>.e., what do the results mean and what are the norms for the test conducted</w:t>
      </w:r>
      <w:r w:rsidR="00092566" w:rsidRPr="00A07F23">
        <w:rPr>
          <w:rFonts w:cstheme="minorHAnsi"/>
          <w:bCs/>
        </w:rPr>
        <w:t>)</w:t>
      </w:r>
    </w:p>
    <w:p w14:paraId="099FF81D" w14:textId="77777777" w:rsidR="00005806" w:rsidRDefault="00005806" w:rsidP="00CE0D1E">
      <w:pPr>
        <w:autoSpaceDE w:val="0"/>
        <w:autoSpaceDN w:val="0"/>
        <w:adjustRightInd w:val="0"/>
        <w:spacing w:after="0" w:line="240" w:lineRule="auto"/>
        <w:rPr>
          <w:rFonts w:cstheme="minorHAnsi"/>
          <w:bCs/>
        </w:rPr>
      </w:pPr>
    </w:p>
    <w:p w14:paraId="58FE291B" w14:textId="77777777" w:rsidR="004977CD" w:rsidRDefault="004977CD" w:rsidP="00005806">
      <w:pPr>
        <w:autoSpaceDE w:val="0"/>
        <w:autoSpaceDN w:val="0"/>
        <w:adjustRightInd w:val="0"/>
        <w:spacing w:after="0" w:line="240" w:lineRule="auto"/>
        <w:rPr>
          <w:rFonts w:cstheme="minorHAnsi"/>
          <w:bCs/>
          <w:color w:val="0000E1"/>
        </w:rPr>
      </w:pPr>
      <w:r w:rsidRPr="00F004DE">
        <w:rPr>
          <w:rFonts w:cstheme="minorHAnsi"/>
          <w:bCs/>
          <w:color w:val="0000E1"/>
        </w:rPr>
        <w:t xml:space="preserve">A comparison of agreement between the two risk adjustment methodologies showed almost perfect agreement, with kappa = 0.99 for Diabetes, 0.98 for RASA and 0.97 for Statins. This was much higher than the unadjusted </w:t>
      </w:r>
      <w:r w:rsidR="00DA0358">
        <w:rPr>
          <w:rFonts w:cstheme="minorHAnsi"/>
          <w:bCs/>
          <w:color w:val="0000E1"/>
        </w:rPr>
        <w:t xml:space="preserve">vs. </w:t>
      </w:r>
      <w:r w:rsidR="002F5A6B">
        <w:rPr>
          <w:rFonts w:cstheme="minorHAnsi"/>
          <w:bCs/>
          <w:color w:val="0000E1"/>
        </w:rPr>
        <w:t>random effects models (0.69-</w:t>
      </w:r>
      <w:r w:rsidRPr="00F004DE">
        <w:rPr>
          <w:rFonts w:cstheme="minorHAnsi"/>
          <w:bCs/>
          <w:color w:val="0000E1"/>
        </w:rPr>
        <w:t>0.80)</w:t>
      </w:r>
      <w:r w:rsidR="00E57C81">
        <w:rPr>
          <w:rFonts w:cstheme="minorHAnsi"/>
          <w:bCs/>
          <w:color w:val="0000E1"/>
        </w:rPr>
        <w:t xml:space="preserve">. </w:t>
      </w:r>
      <w:r w:rsidRPr="00F004DE">
        <w:rPr>
          <w:rFonts w:cstheme="minorHAnsi"/>
          <w:bCs/>
          <w:color w:val="0000E1"/>
        </w:rPr>
        <w:t xml:space="preserve">This showed that </w:t>
      </w:r>
      <w:r w:rsidR="00F004DE" w:rsidRPr="00F004DE">
        <w:rPr>
          <w:rFonts w:cstheme="minorHAnsi"/>
          <w:bCs/>
          <w:color w:val="0000E1"/>
        </w:rPr>
        <w:t xml:space="preserve">SDS </w:t>
      </w:r>
      <w:r w:rsidRPr="00F004DE">
        <w:rPr>
          <w:rFonts w:cstheme="minorHAnsi"/>
          <w:bCs/>
          <w:color w:val="0000E1"/>
        </w:rPr>
        <w:t xml:space="preserve">risk adjustment </w:t>
      </w:r>
      <w:r w:rsidR="00F004DE" w:rsidRPr="00F004DE">
        <w:rPr>
          <w:rFonts w:cstheme="minorHAnsi"/>
          <w:bCs/>
          <w:color w:val="0000E1"/>
        </w:rPr>
        <w:t xml:space="preserve">was more appropriate for evaluating performance </w:t>
      </w:r>
      <w:r w:rsidR="00A36BE7">
        <w:rPr>
          <w:rFonts w:cstheme="minorHAnsi"/>
          <w:bCs/>
          <w:color w:val="0000E1"/>
        </w:rPr>
        <w:t xml:space="preserve">scores </w:t>
      </w:r>
      <w:r w:rsidR="00F004DE" w:rsidRPr="00F004DE">
        <w:rPr>
          <w:rFonts w:cstheme="minorHAnsi"/>
          <w:bCs/>
          <w:color w:val="0000E1"/>
        </w:rPr>
        <w:t>compared to the unadjusted measure scores. In</w:t>
      </w:r>
      <w:r w:rsidRPr="00F004DE">
        <w:rPr>
          <w:rFonts w:cstheme="minorHAnsi"/>
          <w:bCs/>
          <w:color w:val="0000E1"/>
        </w:rPr>
        <w:t xml:space="preserve"> addition, </w:t>
      </w:r>
      <w:r w:rsidR="00DA0358">
        <w:rPr>
          <w:rFonts w:cstheme="minorHAnsi"/>
          <w:bCs/>
          <w:color w:val="0000E1"/>
        </w:rPr>
        <w:t>as shown in Tables 19-</w:t>
      </w:r>
      <w:r w:rsidR="00F004DE" w:rsidRPr="00F004DE">
        <w:rPr>
          <w:rFonts w:cstheme="minorHAnsi"/>
          <w:bCs/>
          <w:color w:val="0000E1"/>
        </w:rPr>
        <w:t>21, we observed significant shifts in deciles p</w:t>
      </w:r>
      <w:r w:rsidR="001831B2">
        <w:rPr>
          <w:rFonts w:cstheme="minorHAnsi"/>
          <w:bCs/>
          <w:color w:val="0000E1"/>
        </w:rPr>
        <w:t>ost risk-adjustment, with over 5</w:t>
      </w:r>
      <w:r w:rsidR="00F004DE" w:rsidRPr="00F004DE">
        <w:rPr>
          <w:rFonts w:cstheme="minorHAnsi"/>
          <w:bCs/>
          <w:color w:val="0000E1"/>
        </w:rPr>
        <w:t xml:space="preserve">0% of plan-contracts changing deciles. </w:t>
      </w:r>
    </w:p>
    <w:p w14:paraId="297BCFF8" w14:textId="77777777" w:rsidR="00E31A28" w:rsidRPr="00F004DE" w:rsidRDefault="00E31A28" w:rsidP="00005806">
      <w:pPr>
        <w:autoSpaceDE w:val="0"/>
        <w:autoSpaceDN w:val="0"/>
        <w:adjustRightInd w:val="0"/>
        <w:spacing w:after="0" w:line="240" w:lineRule="auto"/>
        <w:rPr>
          <w:rFonts w:cstheme="minorHAnsi"/>
          <w:bCs/>
          <w:color w:val="0000E1"/>
        </w:rPr>
      </w:pPr>
    </w:p>
    <w:p w14:paraId="0DE62ACC" w14:textId="6131ED5A" w:rsidR="00005806" w:rsidRPr="00F004DE" w:rsidRDefault="00005806" w:rsidP="00005806">
      <w:pPr>
        <w:autoSpaceDE w:val="0"/>
        <w:autoSpaceDN w:val="0"/>
        <w:adjustRightInd w:val="0"/>
        <w:spacing w:after="0" w:line="240" w:lineRule="auto"/>
        <w:rPr>
          <w:rFonts w:cstheme="minorHAnsi"/>
          <w:bCs/>
          <w:color w:val="0000E1"/>
        </w:rPr>
      </w:pPr>
      <w:r w:rsidRPr="00F004DE">
        <w:rPr>
          <w:rFonts w:cstheme="minorHAnsi"/>
          <w:bCs/>
          <w:color w:val="0000E1"/>
        </w:rPr>
        <w:t>The c-statistic is used to assess model discriminati</w:t>
      </w:r>
      <w:r w:rsidR="00EF6941" w:rsidRPr="00F004DE">
        <w:rPr>
          <w:rFonts w:cstheme="minorHAnsi"/>
          <w:bCs/>
          <w:color w:val="0000E1"/>
        </w:rPr>
        <w:t xml:space="preserve">on, and ranges from 0.5 to 1.0 with </w:t>
      </w:r>
      <w:r w:rsidR="00BD0D83">
        <w:rPr>
          <w:rFonts w:cstheme="minorHAnsi"/>
          <w:bCs/>
          <w:color w:val="0000E1"/>
        </w:rPr>
        <w:t>0.5</w:t>
      </w:r>
      <w:r w:rsidRPr="00F004DE">
        <w:rPr>
          <w:rFonts w:cstheme="minorHAnsi"/>
          <w:bCs/>
          <w:color w:val="0000E1"/>
        </w:rPr>
        <w:t xml:space="preserve"> </w:t>
      </w:r>
      <w:r w:rsidR="00EF6941" w:rsidRPr="00F004DE">
        <w:rPr>
          <w:rFonts w:cstheme="minorHAnsi"/>
          <w:bCs/>
          <w:color w:val="0000E1"/>
        </w:rPr>
        <w:t>indicating</w:t>
      </w:r>
      <w:r w:rsidRPr="00F004DE">
        <w:rPr>
          <w:rFonts w:cstheme="minorHAnsi"/>
          <w:bCs/>
          <w:color w:val="0000E1"/>
        </w:rPr>
        <w:t xml:space="preserve"> the model is no better than random prediction</w:t>
      </w:r>
      <w:r w:rsidR="00EF6941" w:rsidRPr="00F004DE">
        <w:rPr>
          <w:rFonts w:cstheme="minorHAnsi"/>
          <w:bCs/>
          <w:color w:val="0000E1"/>
        </w:rPr>
        <w:t xml:space="preserve"> and</w:t>
      </w:r>
      <w:r w:rsidRPr="00F004DE">
        <w:rPr>
          <w:rFonts w:cstheme="minorHAnsi"/>
          <w:bCs/>
          <w:color w:val="0000E1"/>
        </w:rPr>
        <w:t xml:space="preserve"> 1.0 </w:t>
      </w:r>
      <w:r w:rsidR="00EF6941" w:rsidRPr="00F004DE">
        <w:rPr>
          <w:rFonts w:cstheme="minorHAnsi"/>
          <w:bCs/>
          <w:color w:val="0000E1"/>
        </w:rPr>
        <w:t>showing</w:t>
      </w:r>
      <w:r w:rsidRPr="00F004DE">
        <w:rPr>
          <w:rFonts w:cstheme="minorHAnsi"/>
          <w:bCs/>
          <w:color w:val="0000E1"/>
        </w:rPr>
        <w:t xml:space="preserve"> perfect prediction</w:t>
      </w:r>
      <w:r w:rsidR="00E57C81">
        <w:rPr>
          <w:rFonts w:cstheme="minorHAnsi"/>
          <w:bCs/>
          <w:color w:val="0000E1"/>
        </w:rPr>
        <w:t xml:space="preserve">. </w:t>
      </w:r>
      <w:r w:rsidRPr="00F004DE">
        <w:rPr>
          <w:rFonts w:cstheme="minorHAnsi"/>
          <w:bCs/>
          <w:color w:val="0000E1"/>
        </w:rPr>
        <w:t>In research, a c-statistic</w:t>
      </w:r>
      <w:r w:rsidR="00057B56">
        <w:rPr>
          <w:rFonts w:cstheme="minorHAnsi"/>
          <w:bCs/>
          <w:color w:val="0000E1"/>
        </w:rPr>
        <w:t xml:space="preserve"> </w:t>
      </w:r>
      <w:r w:rsidR="000A5FE4">
        <w:rPr>
          <w:rFonts w:cstheme="minorHAnsi"/>
          <w:bCs/>
          <w:color w:val="0000E1"/>
        </w:rPr>
        <w:t>of</w:t>
      </w:r>
      <w:r w:rsidRPr="00F004DE">
        <w:rPr>
          <w:rFonts w:cstheme="minorHAnsi"/>
          <w:bCs/>
          <w:color w:val="0000E1"/>
        </w:rPr>
        <w:t xml:space="preserve"> 0.7</w:t>
      </w:r>
      <w:r w:rsidR="000A5FE4">
        <w:rPr>
          <w:rFonts w:cstheme="minorHAnsi"/>
          <w:bCs/>
          <w:color w:val="0000E1"/>
        </w:rPr>
        <w:t xml:space="preserve"> or greater</w:t>
      </w:r>
      <w:r w:rsidRPr="00F004DE">
        <w:rPr>
          <w:rFonts w:cstheme="minorHAnsi"/>
          <w:bCs/>
          <w:color w:val="0000E1"/>
        </w:rPr>
        <w:t xml:space="preserve"> indicate acceptable discrimination. However, with performance measurement, the purpose of risk adjustment is to reduce bias due to patient characteristics present at the start of care, not to completely explain variations in outcomes, and therefore does not include variables related to quality of care</w:t>
      </w:r>
      <w:r w:rsidR="00E57C81">
        <w:rPr>
          <w:rFonts w:cstheme="minorHAnsi"/>
          <w:bCs/>
          <w:color w:val="0000E1"/>
        </w:rPr>
        <w:t xml:space="preserve">. </w:t>
      </w:r>
      <w:r w:rsidRPr="00F004DE">
        <w:rPr>
          <w:rFonts w:cstheme="minorHAnsi"/>
          <w:bCs/>
          <w:color w:val="0000E1"/>
        </w:rPr>
        <w:t xml:space="preserve"> </w:t>
      </w:r>
    </w:p>
    <w:p w14:paraId="52049572" w14:textId="77777777" w:rsidR="00005806" w:rsidRPr="00F004DE" w:rsidRDefault="00005806" w:rsidP="00005806">
      <w:pPr>
        <w:autoSpaceDE w:val="0"/>
        <w:autoSpaceDN w:val="0"/>
        <w:adjustRightInd w:val="0"/>
        <w:spacing w:after="0" w:line="240" w:lineRule="auto"/>
        <w:rPr>
          <w:rFonts w:cstheme="minorHAnsi"/>
          <w:bCs/>
          <w:color w:val="0000E1"/>
        </w:rPr>
      </w:pPr>
    </w:p>
    <w:p w14:paraId="14E61F3E" w14:textId="77777777" w:rsidR="009E6385" w:rsidRDefault="00005806" w:rsidP="00005806">
      <w:pPr>
        <w:autoSpaceDE w:val="0"/>
        <w:autoSpaceDN w:val="0"/>
        <w:adjustRightInd w:val="0"/>
        <w:spacing w:after="0" w:line="240" w:lineRule="auto"/>
        <w:rPr>
          <w:rFonts w:cstheme="minorHAnsi"/>
          <w:bCs/>
          <w:color w:val="0000E1"/>
        </w:rPr>
      </w:pPr>
      <w:r w:rsidRPr="009C3ECE">
        <w:rPr>
          <w:rFonts w:cstheme="minorHAnsi"/>
          <w:bCs/>
          <w:color w:val="0000E1"/>
        </w:rPr>
        <w:t>It is important to note that the variables included in this analysis have been found to have an impact on outcome measures in other studies. This suggests that although the covariates used for risk adjustment in this study are important, there may be other covariates that could improve the model, such as clinical variables for diagnoses, disease severity, etc. As with any risk adjustment modeling, the model can only account for measurable and available covariates. Therefore, if any unmeasured factors are not randomly distributed within contracts, the risk adjustment</w:t>
      </w:r>
      <w:r w:rsidRPr="00F004DE">
        <w:rPr>
          <w:rFonts w:cstheme="minorHAnsi"/>
          <w:bCs/>
          <w:color w:val="0000E1"/>
        </w:rPr>
        <w:t xml:space="preserve"> methodology may not adequately mitigate the imp</w:t>
      </w:r>
      <w:r w:rsidR="009E6385">
        <w:rPr>
          <w:rFonts w:cstheme="minorHAnsi"/>
          <w:bCs/>
          <w:color w:val="0000E1"/>
        </w:rPr>
        <w:t>act of these unmeasured factors.</w:t>
      </w:r>
    </w:p>
    <w:p w14:paraId="5B49456B" w14:textId="77777777" w:rsidR="00310DF6" w:rsidRDefault="00310DF6" w:rsidP="00005806">
      <w:pPr>
        <w:autoSpaceDE w:val="0"/>
        <w:autoSpaceDN w:val="0"/>
        <w:adjustRightInd w:val="0"/>
        <w:spacing w:after="0" w:line="240" w:lineRule="auto"/>
        <w:rPr>
          <w:rFonts w:cstheme="minorHAnsi"/>
          <w:bCs/>
          <w:color w:val="0000E1"/>
        </w:rPr>
      </w:pPr>
    </w:p>
    <w:p w14:paraId="24F9070B" w14:textId="77777777" w:rsidR="00310DF6" w:rsidRPr="00DD0554" w:rsidRDefault="00310DF6" w:rsidP="00CE0D1E">
      <w:pPr>
        <w:autoSpaceDE w:val="0"/>
        <w:autoSpaceDN w:val="0"/>
        <w:adjustRightInd w:val="0"/>
        <w:spacing w:after="0" w:line="240" w:lineRule="auto"/>
        <w:rPr>
          <w:rFonts w:cstheme="minorHAnsi"/>
          <w:bCs/>
          <w:color w:val="0000E1"/>
        </w:rPr>
      </w:pPr>
      <w:r>
        <w:rPr>
          <w:rFonts w:cstheme="minorHAnsi"/>
          <w:bCs/>
          <w:color w:val="0000E1"/>
        </w:rPr>
        <w:t xml:space="preserve">Finally, the risk decile plots show that the higher deciles of the predicted outcomes were associated with higher observed outcomes. In addition, within </w:t>
      </w:r>
      <w:r w:rsidR="005A75BF">
        <w:rPr>
          <w:rFonts w:cstheme="minorHAnsi"/>
          <w:bCs/>
          <w:color w:val="0000E1"/>
        </w:rPr>
        <w:t xml:space="preserve">each </w:t>
      </w:r>
      <w:r>
        <w:rPr>
          <w:rFonts w:cstheme="minorHAnsi"/>
          <w:bCs/>
          <w:color w:val="0000E1"/>
        </w:rPr>
        <w:t xml:space="preserve">decile, there is no meaningful discrepancy between the observed PDC score in a decile and that predicted by the model, which shows good discrimination and predictive ability of the models. </w:t>
      </w:r>
    </w:p>
    <w:p w14:paraId="008FFD6D" w14:textId="77777777" w:rsidR="00021170" w:rsidRDefault="009C7513" w:rsidP="009B1A15">
      <w:pPr>
        <w:spacing w:after="0" w:line="240" w:lineRule="auto"/>
        <w:rPr>
          <w:rFonts w:cstheme="minorHAnsi"/>
        </w:rPr>
      </w:pPr>
      <w:r>
        <w:rPr>
          <w:rFonts w:cstheme="minorHAnsi"/>
          <w:b/>
          <w:highlight w:val="green"/>
        </w:rPr>
        <w:lastRenderedPageBreak/>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2EF9FC91" w14:textId="77777777" w:rsidR="00005806" w:rsidRPr="009B1A15" w:rsidRDefault="00005806" w:rsidP="009B1A15">
      <w:pPr>
        <w:spacing w:after="0" w:line="240" w:lineRule="auto"/>
        <w:rPr>
          <w:rFonts w:cstheme="minorHAnsi"/>
        </w:rPr>
      </w:pPr>
    </w:p>
    <w:p w14:paraId="475B0278" w14:textId="77777777" w:rsidR="00FE69EC" w:rsidRPr="0016714A" w:rsidRDefault="00A07F23" w:rsidP="00FE69EC">
      <w:pPr>
        <w:autoSpaceDE w:val="0"/>
        <w:autoSpaceDN w:val="0"/>
        <w:adjustRightInd w:val="0"/>
        <w:spacing w:after="0" w:line="240" w:lineRule="auto"/>
        <w:rPr>
          <w:rFonts w:cstheme="minorHAnsi"/>
          <w:bCs/>
          <w:color w:val="0000E1"/>
        </w:rPr>
      </w:pPr>
      <w:r w:rsidRPr="0016714A">
        <w:rPr>
          <w:rFonts w:cstheme="minorHAnsi"/>
          <w:bCs/>
          <w:color w:val="0000E1"/>
        </w:rPr>
        <w:t xml:space="preserve">In 2016, PQA contracted with CMS to examine the </w:t>
      </w:r>
      <w:r w:rsidR="00651072">
        <w:rPr>
          <w:rFonts w:cstheme="minorHAnsi"/>
          <w:bCs/>
          <w:color w:val="0000E1"/>
        </w:rPr>
        <w:t>PDC 3-rates measure</w:t>
      </w:r>
      <w:r w:rsidRPr="0016714A">
        <w:rPr>
          <w:rFonts w:cstheme="minorHAnsi"/>
          <w:bCs/>
          <w:color w:val="0000E1"/>
        </w:rPr>
        <w:t xml:space="preserve"> (Diabetes, </w:t>
      </w:r>
      <w:r w:rsidR="00050403">
        <w:rPr>
          <w:rFonts w:cstheme="minorHAnsi"/>
          <w:bCs/>
          <w:color w:val="0000E1"/>
        </w:rPr>
        <w:t>RASA,</w:t>
      </w:r>
      <w:r w:rsidRPr="0016714A">
        <w:rPr>
          <w:rFonts w:cstheme="minorHAnsi"/>
          <w:bCs/>
          <w:color w:val="0000E1"/>
        </w:rPr>
        <w:t xml:space="preserve"> and </w:t>
      </w:r>
      <w:r w:rsidR="00050403">
        <w:rPr>
          <w:rFonts w:cstheme="minorHAnsi"/>
          <w:bCs/>
          <w:color w:val="0000E1"/>
        </w:rPr>
        <w:t>Statins</w:t>
      </w:r>
      <w:r w:rsidRPr="0016714A">
        <w:rPr>
          <w:rFonts w:cstheme="minorHAnsi"/>
          <w:bCs/>
          <w:color w:val="0000E1"/>
        </w:rPr>
        <w:t xml:space="preserve">) to determine if SDS risk adjustment was </w:t>
      </w:r>
      <w:r w:rsidR="00513B70" w:rsidRPr="0016714A">
        <w:rPr>
          <w:rFonts w:cstheme="minorHAnsi"/>
          <w:bCs/>
          <w:color w:val="0000E1"/>
        </w:rPr>
        <w:t>needed</w:t>
      </w:r>
      <w:r w:rsidRPr="0016714A">
        <w:rPr>
          <w:rFonts w:cstheme="minorHAnsi"/>
          <w:bCs/>
          <w:color w:val="0000E1"/>
        </w:rPr>
        <w:t xml:space="preserve">. As part of this work, PQA received the </w:t>
      </w:r>
      <w:r w:rsidR="00DE193D" w:rsidRPr="0016714A">
        <w:rPr>
          <w:rFonts w:cstheme="minorHAnsi"/>
          <w:bCs/>
          <w:color w:val="0000E1"/>
        </w:rPr>
        <w:t xml:space="preserve">2014 </w:t>
      </w:r>
      <w:r w:rsidRPr="0016714A">
        <w:rPr>
          <w:rFonts w:cstheme="minorHAnsi"/>
          <w:bCs/>
          <w:color w:val="0000E1"/>
        </w:rPr>
        <w:t xml:space="preserve">CMS PDE data containing information (including age, gender, LIS/dual eligibility status, race, disability as reason for Medicare entitlement, flag for numerator inclusion, etc.) about individuals eligible for inclusion in the measure calculations for each of the three </w:t>
      </w:r>
      <w:r w:rsidR="00651072">
        <w:rPr>
          <w:rFonts w:cstheme="minorHAnsi"/>
          <w:bCs/>
          <w:color w:val="0000E1"/>
        </w:rPr>
        <w:t>therapeutic categories</w:t>
      </w:r>
      <w:r w:rsidR="00E57C81">
        <w:rPr>
          <w:rFonts w:cstheme="minorHAnsi"/>
          <w:bCs/>
          <w:color w:val="0000E1"/>
        </w:rPr>
        <w:t xml:space="preserve">. </w:t>
      </w:r>
      <w:r w:rsidRPr="0016714A">
        <w:rPr>
          <w:rFonts w:cstheme="minorHAnsi"/>
          <w:bCs/>
          <w:color w:val="0000E1"/>
        </w:rPr>
        <w:t xml:space="preserve">PQA, </w:t>
      </w:r>
      <w:r w:rsidR="00513B70" w:rsidRPr="0016714A">
        <w:rPr>
          <w:rFonts w:cstheme="minorHAnsi"/>
          <w:bCs/>
          <w:color w:val="0000E1"/>
        </w:rPr>
        <w:t>working</w:t>
      </w:r>
      <w:r w:rsidRPr="0016714A">
        <w:rPr>
          <w:rFonts w:cstheme="minorHAnsi"/>
          <w:bCs/>
          <w:color w:val="0000E1"/>
        </w:rPr>
        <w:t xml:space="preserve"> with the RAAP conducted the study to examine SDS risk adjustment for the Medicare population, and based on the results of the study, recommended that all three </w:t>
      </w:r>
      <w:r w:rsidR="00651072">
        <w:rPr>
          <w:rFonts w:cstheme="minorHAnsi"/>
          <w:bCs/>
          <w:color w:val="0000E1"/>
        </w:rPr>
        <w:t>therapeutic categories</w:t>
      </w:r>
      <w:r w:rsidR="00D2318C">
        <w:rPr>
          <w:rFonts w:cstheme="minorHAnsi"/>
          <w:bCs/>
          <w:color w:val="0000E1"/>
        </w:rPr>
        <w:t xml:space="preserve"> should be risk-</w:t>
      </w:r>
      <w:r w:rsidRPr="0016714A">
        <w:rPr>
          <w:rFonts w:cstheme="minorHAnsi"/>
          <w:bCs/>
          <w:color w:val="0000E1"/>
        </w:rPr>
        <w:t xml:space="preserve">adjusted for age, gender, LIS/dual eligibility status and disability status. </w:t>
      </w:r>
    </w:p>
    <w:p w14:paraId="097A98FD" w14:textId="77777777" w:rsidR="00C30C39" w:rsidRPr="0016714A" w:rsidRDefault="00C30C39" w:rsidP="00FE69EC">
      <w:pPr>
        <w:autoSpaceDE w:val="0"/>
        <w:autoSpaceDN w:val="0"/>
        <w:adjustRightInd w:val="0"/>
        <w:spacing w:after="0" w:line="240" w:lineRule="auto"/>
        <w:rPr>
          <w:rFonts w:cstheme="minorHAnsi"/>
          <w:bCs/>
          <w:color w:val="0000E1"/>
        </w:rPr>
      </w:pPr>
    </w:p>
    <w:p w14:paraId="3F4BE68B" w14:textId="77777777" w:rsidR="00C30C39" w:rsidRPr="0016714A" w:rsidRDefault="00C30C39" w:rsidP="00FE69EC">
      <w:pPr>
        <w:autoSpaceDE w:val="0"/>
        <w:autoSpaceDN w:val="0"/>
        <w:adjustRightInd w:val="0"/>
        <w:spacing w:after="0" w:line="240" w:lineRule="auto"/>
        <w:rPr>
          <w:rFonts w:cstheme="minorHAnsi"/>
          <w:bCs/>
          <w:color w:val="0000E1"/>
        </w:rPr>
      </w:pPr>
      <w:r w:rsidRPr="0016714A">
        <w:rPr>
          <w:rFonts w:cstheme="minorHAnsi"/>
          <w:bCs/>
          <w:color w:val="0000E1"/>
        </w:rPr>
        <w:t>Part of the study included exa</w:t>
      </w:r>
      <w:r w:rsidR="00651072">
        <w:rPr>
          <w:rFonts w:cstheme="minorHAnsi"/>
          <w:bCs/>
          <w:color w:val="0000E1"/>
        </w:rPr>
        <w:t>mining not just the beneficiary-</w:t>
      </w:r>
      <w:r w:rsidRPr="0016714A">
        <w:rPr>
          <w:rFonts w:cstheme="minorHAnsi"/>
          <w:bCs/>
          <w:color w:val="0000E1"/>
        </w:rPr>
        <w:t>level risk factors available in the CMS PDE data, but community</w:t>
      </w:r>
      <w:r w:rsidR="00651072">
        <w:rPr>
          <w:rFonts w:cstheme="minorHAnsi"/>
          <w:bCs/>
          <w:color w:val="0000E1"/>
        </w:rPr>
        <w:t>- and county-</w:t>
      </w:r>
      <w:r w:rsidRPr="0016714A">
        <w:rPr>
          <w:rFonts w:cstheme="minorHAnsi"/>
          <w:bCs/>
          <w:color w:val="0000E1"/>
        </w:rPr>
        <w:t>level variables</w:t>
      </w:r>
      <w:r w:rsidR="00E57C81">
        <w:rPr>
          <w:rFonts w:cstheme="minorHAnsi"/>
          <w:bCs/>
          <w:color w:val="0000E1"/>
        </w:rPr>
        <w:t xml:space="preserve">. </w:t>
      </w:r>
      <w:r w:rsidRPr="0016714A">
        <w:rPr>
          <w:rFonts w:cstheme="minorHAnsi"/>
          <w:bCs/>
          <w:color w:val="0000E1"/>
        </w:rPr>
        <w:t>A review of the three models (full – with all beneficiary, community and county; reduced with race</w:t>
      </w:r>
      <w:r w:rsidR="00651072">
        <w:rPr>
          <w:rFonts w:cstheme="minorHAnsi"/>
          <w:bCs/>
          <w:color w:val="0000E1"/>
        </w:rPr>
        <w:t>,</w:t>
      </w:r>
      <w:r w:rsidRPr="0016714A">
        <w:rPr>
          <w:rFonts w:cstheme="minorHAnsi"/>
          <w:bCs/>
          <w:color w:val="0000E1"/>
        </w:rPr>
        <w:t xml:space="preserve"> which included all beneficiary-level variables; and reduced without race</w:t>
      </w:r>
      <w:r w:rsidR="00651072">
        <w:rPr>
          <w:rFonts w:cstheme="minorHAnsi"/>
          <w:bCs/>
          <w:color w:val="0000E1"/>
        </w:rPr>
        <w:t>, which included all beneficiary-</w:t>
      </w:r>
      <w:r w:rsidRPr="0016714A">
        <w:rPr>
          <w:rFonts w:cstheme="minorHAnsi"/>
          <w:bCs/>
          <w:color w:val="0000E1"/>
        </w:rPr>
        <w:t xml:space="preserve">level variables except race) showed similar results in terms of magnitude and direction of the odds ratios, </w:t>
      </w:r>
      <w:r w:rsidR="00651072">
        <w:rPr>
          <w:rFonts w:cstheme="minorHAnsi"/>
          <w:bCs/>
          <w:color w:val="0000E1"/>
        </w:rPr>
        <w:t>with</w:t>
      </w:r>
      <w:r w:rsidRPr="0016714A">
        <w:rPr>
          <w:rFonts w:cstheme="minorHAnsi"/>
          <w:bCs/>
          <w:color w:val="0000E1"/>
        </w:rPr>
        <w:t xml:space="preserve"> </w:t>
      </w:r>
      <w:r w:rsidR="0016714A" w:rsidRPr="0016714A">
        <w:rPr>
          <w:rFonts w:cstheme="minorHAnsi"/>
          <w:bCs/>
          <w:color w:val="0000E1"/>
        </w:rPr>
        <w:t>one exception in the PDC Diabetes model, where the odds ratio for the 65-69</w:t>
      </w:r>
      <w:r w:rsidR="002F5A6B">
        <w:rPr>
          <w:rFonts w:cstheme="minorHAnsi"/>
          <w:bCs/>
          <w:color w:val="0000E1"/>
        </w:rPr>
        <w:t xml:space="preserve"> </w:t>
      </w:r>
      <w:r w:rsidR="0016714A" w:rsidRPr="0016714A">
        <w:rPr>
          <w:rFonts w:cstheme="minorHAnsi"/>
          <w:bCs/>
          <w:color w:val="0000E1"/>
        </w:rPr>
        <w:t>years age group changed from 1.02 in the reduced model with race to 0.97 in the reduced model without race</w:t>
      </w:r>
      <w:r w:rsidR="00E57C81">
        <w:rPr>
          <w:rFonts w:cstheme="minorHAnsi"/>
          <w:bCs/>
          <w:color w:val="0000E1"/>
        </w:rPr>
        <w:t xml:space="preserve">. </w:t>
      </w:r>
      <w:r w:rsidR="008441C0" w:rsidRPr="0016714A">
        <w:rPr>
          <w:rFonts w:cstheme="minorHAnsi"/>
          <w:bCs/>
          <w:color w:val="0000E1"/>
        </w:rPr>
        <w:t>In addition, the movement of plan-contracts post risk adjustment was similar for</w:t>
      </w:r>
      <w:r w:rsidR="00F03A4C" w:rsidRPr="0016714A">
        <w:rPr>
          <w:rFonts w:cstheme="minorHAnsi"/>
          <w:bCs/>
          <w:color w:val="0000E1"/>
        </w:rPr>
        <w:t xml:space="preserve"> all three models. (see Table</w:t>
      </w:r>
      <w:r w:rsidR="009B6185" w:rsidRPr="0016714A">
        <w:rPr>
          <w:rFonts w:cstheme="minorHAnsi"/>
          <w:bCs/>
          <w:color w:val="0000E1"/>
        </w:rPr>
        <w:t>s</w:t>
      </w:r>
      <w:r w:rsidR="00F910A0" w:rsidRPr="0016714A">
        <w:rPr>
          <w:rFonts w:cstheme="minorHAnsi"/>
          <w:bCs/>
          <w:color w:val="0000E1"/>
        </w:rPr>
        <w:t xml:space="preserve"> 16</w:t>
      </w:r>
      <w:r w:rsidR="00651072">
        <w:rPr>
          <w:rFonts w:cstheme="minorHAnsi"/>
          <w:bCs/>
          <w:color w:val="0000E1"/>
        </w:rPr>
        <w:t>-</w:t>
      </w:r>
      <w:r w:rsidR="00F910A0" w:rsidRPr="0016714A">
        <w:rPr>
          <w:rFonts w:cstheme="minorHAnsi"/>
          <w:bCs/>
          <w:color w:val="0000E1"/>
        </w:rPr>
        <w:t>18</w:t>
      </w:r>
      <w:r w:rsidR="008441C0" w:rsidRPr="0016714A">
        <w:rPr>
          <w:rFonts w:cstheme="minorHAnsi"/>
          <w:bCs/>
          <w:color w:val="0000E1"/>
        </w:rPr>
        <w:t xml:space="preserve">). </w:t>
      </w:r>
    </w:p>
    <w:p w14:paraId="5DD84B05" w14:textId="77777777" w:rsidR="00622C13" w:rsidRPr="0016714A" w:rsidRDefault="00622C13" w:rsidP="00FE69EC">
      <w:pPr>
        <w:autoSpaceDE w:val="0"/>
        <w:autoSpaceDN w:val="0"/>
        <w:adjustRightInd w:val="0"/>
        <w:spacing w:after="0" w:line="240" w:lineRule="auto"/>
        <w:rPr>
          <w:rFonts w:cstheme="minorHAnsi"/>
          <w:bCs/>
          <w:color w:val="0000E1"/>
        </w:rPr>
      </w:pPr>
    </w:p>
    <w:p w14:paraId="4DC2E791" w14:textId="77777777" w:rsidR="008441C0" w:rsidRPr="0016714A" w:rsidRDefault="00F910A0" w:rsidP="00FE69EC">
      <w:pPr>
        <w:autoSpaceDE w:val="0"/>
        <w:autoSpaceDN w:val="0"/>
        <w:adjustRightInd w:val="0"/>
        <w:spacing w:after="0" w:line="240" w:lineRule="auto"/>
        <w:rPr>
          <w:rFonts w:cstheme="minorHAnsi"/>
          <w:b/>
          <w:bCs/>
          <w:color w:val="0000E1"/>
        </w:rPr>
      </w:pPr>
      <w:r w:rsidRPr="0016714A">
        <w:rPr>
          <w:rFonts w:cstheme="minorHAnsi"/>
          <w:b/>
          <w:bCs/>
          <w:color w:val="0000E1"/>
        </w:rPr>
        <w:t>Table 16</w:t>
      </w:r>
      <w:r w:rsidR="00622C13" w:rsidRPr="0016714A">
        <w:rPr>
          <w:rFonts w:cstheme="minorHAnsi"/>
          <w:b/>
          <w:bCs/>
          <w:color w:val="0000E1"/>
        </w:rPr>
        <w:t xml:space="preserve">. Risk-Adjusted Decile Rankings for </w:t>
      </w:r>
      <w:r w:rsidR="009B6185" w:rsidRPr="0016714A">
        <w:rPr>
          <w:rFonts w:cstheme="minorHAnsi"/>
          <w:b/>
          <w:bCs/>
          <w:color w:val="0000E1"/>
        </w:rPr>
        <w:t xml:space="preserve">Full </w:t>
      </w:r>
      <w:r w:rsidR="00DA0358">
        <w:rPr>
          <w:rFonts w:cstheme="minorHAnsi"/>
          <w:b/>
          <w:bCs/>
          <w:color w:val="0000E1"/>
        </w:rPr>
        <w:t xml:space="preserve">vs. </w:t>
      </w:r>
      <w:r w:rsidR="009B6185" w:rsidRPr="0016714A">
        <w:rPr>
          <w:rFonts w:cstheme="minorHAnsi"/>
          <w:b/>
          <w:bCs/>
          <w:color w:val="0000E1"/>
        </w:rPr>
        <w:t>Reduced Models – Diabetes</w:t>
      </w:r>
    </w:p>
    <w:tbl>
      <w:tblPr>
        <w:tblStyle w:val="TableGrid"/>
        <w:tblW w:w="0" w:type="auto"/>
        <w:tblLook w:val="04A0" w:firstRow="1" w:lastRow="0" w:firstColumn="1" w:lastColumn="0" w:noHBand="0" w:noVBand="1"/>
      </w:tblPr>
      <w:tblGrid>
        <w:gridCol w:w="5845"/>
        <w:gridCol w:w="990"/>
        <w:gridCol w:w="1260"/>
        <w:gridCol w:w="1255"/>
      </w:tblGrid>
      <w:tr w:rsidR="009B6185" w:rsidRPr="0016714A" w14:paraId="70F736E2" w14:textId="77777777" w:rsidTr="00866FEC">
        <w:tc>
          <w:tcPr>
            <w:tcW w:w="5845" w:type="dxa"/>
          </w:tcPr>
          <w:p w14:paraId="493A7CF8" w14:textId="77777777" w:rsidR="009B6185" w:rsidRPr="0016714A" w:rsidRDefault="009B6185" w:rsidP="009B6185">
            <w:pPr>
              <w:autoSpaceDE w:val="0"/>
              <w:autoSpaceDN w:val="0"/>
              <w:adjustRightInd w:val="0"/>
              <w:rPr>
                <w:rFonts w:cstheme="minorHAnsi"/>
                <w:b/>
                <w:bCs/>
                <w:color w:val="0000E1"/>
              </w:rPr>
            </w:pPr>
          </w:p>
        </w:tc>
        <w:tc>
          <w:tcPr>
            <w:tcW w:w="990" w:type="dxa"/>
            <w:vAlign w:val="center"/>
          </w:tcPr>
          <w:p w14:paraId="63D90105" w14:textId="77777777" w:rsidR="009B6185" w:rsidRPr="0016714A" w:rsidRDefault="009B6185" w:rsidP="009B6185">
            <w:pPr>
              <w:autoSpaceDE w:val="0"/>
              <w:autoSpaceDN w:val="0"/>
              <w:adjustRightInd w:val="0"/>
              <w:jc w:val="center"/>
              <w:rPr>
                <w:rFonts w:cstheme="minorHAnsi"/>
                <w:b/>
                <w:bCs/>
                <w:color w:val="0000E1"/>
              </w:rPr>
            </w:pPr>
            <w:r w:rsidRPr="0016714A">
              <w:rPr>
                <w:rFonts w:eastAsia="Times New Roman" w:cstheme="minorHAnsi"/>
                <w:b/>
                <w:bCs/>
                <w:color w:val="0000E1"/>
              </w:rPr>
              <w:t>Full Model</w:t>
            </w:r>
          </w:p>
        </w:tc>
        <w:tc>
          <w:tcPr>
            <w:tcW w:w="1260" w:type="dxa"/>
            <w:vAlign w:val="center"/>
          </w:tcPr>
          <w:p w14:paraId="17090F3C" w14:textId="77777777" w:rsidR="009B6185" w:rsidRPr="0016714A" w:rsidRDefault="009B6185" w:rsidP="009B6185">
            <w:pPr>
              <w:jc w:val="center"/>
              <w:rPr>
                <w:rFonts w:eastAsia="Times New Roman" w:cstheme="minorHAnsi"/>
                <w:b/>
                <w:bCs/>
                <w:color w:val="0000E1"/>
              </w:rPr>
            </w:pPr>
            <w:r w:rsidRPr="0016714A">
              <w:rPr>
                <w:rFonts w:eastAsia="Times New Roman" w:cstheme="minorHAnsi"/>
                <w:b/>
                <w:bCs/>
                <w:color w:val="0000E1"/>
              </w:rPr>
              <w:t>Reduced</w:t>
            </w:r>
          </w:p>
          <w:p w14:paraId="519A3249" w14:textId="77777777" w:rsidR="009B6185" w:rsidRPr="0016714A" w:rsidRDefault="009B6185" w:rsidP="009B6185">
            <w:pPr>
              <w:autoSpaceDE w:val="0"/>
              <w:autoSpaceDN w:val="0"/>
              <w:adjustRightInd w:val="0"/>
              <w:jc w:val="center"/>
              <w:rPr>
                <w:rFonts w:cstheme="minorHAnsi"/>
                <w:b/>
                <w:bCs/>
                <w:color w:val="0000E1"/>
              </w:rPr>
            </w:pPr>
            <w:r w:rsidRPr="0016714A">
              <w:rPr>
                <w:rFonts w:eastAsia="Times New Roman" w:cstheme="minorHAnsi"/>
                <w:b/>
                <w:bCs/>
                <w:color w:val="0000E1"/>
              </w:rPr>
              <w:t>(w/ race)</w:t>
            </w:r>
          </w:p>
        </w:tc>
        <w:tc>
          <w:tcPr>
            <w:tcW w:w="1255" w:type="dxa"/>
            <w:vAlign w:val="center"/>
          </w:tcPr>
          <w:p w14:paraId="2387EAEB" w14:textId="77777777" w:rsidR="009B6185" w:rsidRPr="0016714A" w:rsidRDefault="009B6185" w:rsidP="009B6185">
            <w:pPr>
              <w:jc w:val="center"/>
              <w:rPr>
                <w:rFonts w:eastAsia="Times New Roman" w:cstheme="minorHAnsi"/>
                <w:b/>
                <w:bCs/>
                <w:color w:val="0000E1"/>
              </w:rPr>
            </w:pPr>
            <w:r w:rsidRPr="0016714A">
              <w:rPr>
                <w:rFonts w:eastAsia="Times New Roman" w:cstheme="minorHAnsi"/>
                <w:b/>
                <w:bCs/>
                <w:color w:val="0000E1"/>
              </w:rPr>
              <w:t>Reduced</w:t>
            </w:r>
          </w:p>
          <w:p w14:paraId="304C0F64" w14:textId="77777777" w:rsidR="009B6185" w:rsidRPr="0016714A" w:rsidRDefault="009B6185" w:rsidP="009B6185">
            <w:pPr>
              <w:autoSpaceDE w:val="0"/>
              <w:autoSpaceDN w:val="0"/>
              <w:adjustRightInd w:val="0"/>
              <w:jc w:val="center"/>
              <w:rPr>
                <w:rFonts w:cstheme="minorHAnsi"/>
                <w:b/>
                <w:bCs/>
                <w:color w:val="0000E1"/>
              </w:rPr>
            </w:pPr>
            <w:r w:rsidRPr="0016714A">
              <w:rPr>
                <w:rFonts w:eastAsia="Times New Roman" w:cstheme="minorHAnsi"/>
                <w:b/>
                <w:bCs/>
                <w:color w:val="0000E1"/>
              </w:rPr>
              <w:t>(w/o race)</w:t>
            </w:r>
          </w:p>
        </w:tc>
      </w:tr>
      <w:tr w:rsidR="0021449F" w:rsidRPr="0016714A" w14:paraId="3766E0CA" w14:textId="77777777" w:rsidTr="00866FEC">
        <w:tc>
          <w:tcPr>
            <w:tcW w:w="5845" w:type="dxa"/>
            <w:vAlign w:val="bottom"/>
          </w:tcPr>
          <w:p w14:paraId="570167D9" w14:textId="77777777" w:rsidR="0021449F" w:rsidRPr="0016714A" w:rsidRDefault="0021449F" w:rsidP="0021449F">
            <w:pPr>
              <w:autoSpaceDE w:val="0"/>
              <w:autoSpaceDN w:val="0"/>
              <w:adjustRightInd w:val="0"/>
              <w:rPr>
                <w:rFonts w:cstheme="minorHAnsi"/>
                <w:b/>
                <w:bCs/>
                <w:color w:val="0000E1"/>
              </w:rPr>
            </w:pPr>
            <w:r w:rsidRPr="0016714A">
              <w:rPr>
                <w:rFonts w:eastAsia="Times New Roman" w:cstheme="minorHAnsi"/>
                <w:color w:val="0000E1"/>
              </w:rPr>
              <w:t xml:space="preserve">Contracts adjusted to a higher decile </w:t>
            </w:r>
          </w:p>
        </w:tc>
        <w:tc>
          <w:tcPr>
            <w:tcW w:w="990" w:type="dxa"/>
            <w:vAlign w:val="bottom"/>
          </w:tcPr>
          <w:p w14:paraId="6BF9D176"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25.8%</w:t>
            </w:r>
          </w:p>
        </w:tc>
        <w:tc>
          <w:tcPr>
            <w:tcW w:w="1260" w:type="dxa"/>
            <w:vAlign w:val="bottom"/>
          </w:tcPr>
          <w:p w14:paraId="69E58FB4"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25.0%</w:t>
            </w:r>
          </w:p>
        </w:tc>
        <w:tc>
          <w:tcPr>
            <w:tcW w:w="1255" w:type="dxa"/>
            <w:vAlign w:val="bottom"/>
          </w:tcPr>
          <w:p w14:paraId="26C6E5B4"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20.2%</w:t>
            </w:r>
          </w:p>
        </w:tc>
      </w:tr>
      <w:tr w:rsidR="0021449F" w:rsidRPr="0016714A" w14:paraId="66BC20D5" w14:textId="77777777" w:rsidTr="00866FEC">
        <w:tc>
          <w:tcPr>
            <w:tcW w:w="5845" w:type="dxa"/>
            <w:vAlign w:val="bottom"/>
          </w:tcPr>
          <w:p w14:paraId="00CA7A48" w14:textId="77777777" w:rsidR="0021449F" w:rsidRPr="0016714A" w:rsidRDefault="0021449F" w:rsidP="0021449F">
            <w:pPr>
              <w:autoSpaceDE w:val="0"/>
              <w:autoSpaceDN w:val="0"/>
              <w:adjustRightInd w:val="0"/>
              <w:rPr>
                <w:rFonts w:cstheme="minorHAnsi"/>
                <w:b/>
                <w:bCs/>
                <w:color w:val="0000E1"/>
              </w:rPr>
            </w:pPr>
            <w:r w:rsidRPr="0016714A">
              <w:rPr>
                <w:rFonts w:eastAsia="Times New Roman" w:cstheme="minorHAnsi"/>
                <w:color w:val="0000E1"/>
              </w:rPr>
              <w:t xml:space="preserve">contracts adjusted to a lower decile </w:t>
            </w:r>
          </w:p>
        </w:tc>
        <w:tc>
          <w:tcPr>
            <w:tcW w:w="990" w:type="dxa"/>
            <w:vAlign w:val="bottom"/>
          </w:tcPr>
          <w:p w14:paraId="72C1C7E9"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44.6%</w:t>
            </w:r>
          </w:p>
        </w:tc>
        <w:tc>
          <w:tcPr>
            <w:tcW w:w="1260" w:type="dxa"/>
            <w:vAlign w:val="bottom"/>
          </w:tcPr>
          <w:p w14:paraId="0F1F38D9"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43.4%</w:t>
            </w:r>
          </w:p>
        </w:tc>
        <w:tc>
          <w:tcPr>
            <w:tcW w:w="1255" w:type="dxa"/>
            <w:vAlign w:val="bottom"/>
          </w:tcPr>
          <w:p w14:paraId="3BD49DF2"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40.3%</w:t>
            </w:r>
          </w:p>
        </w:tc>
      </w:tr>
      <w:tr w:rsidR="0021449F" w:rsidRPr="0016714A" w14:paraId="26A0EC13" w14:textId="77777777" w:rsidTr="00866FEC">
        <w:tc>
          <w:tcPr>
            <w:tcW w:w="5845" w:type="dxa"/>
            <w:vAlign w:val="bottom"/>
          </w:tcPr>
          <w:p w14:paraId="5A447600" w14:textId="77777777" w:rsidR="0021449F" w:rsidRPr="0016714A" w:rsidRDefault="0021449F" w:rsidP="0021449F">
            <w:pPr>
              <w:autoSpaceDE w:val="0"/>
              <w:autoSpaceDN w:val="0"/>
              <w:adjustRightInd w:val="0"/>
              <w:rPr>
                <w:rFonts w:cstheme="minorHAnsi"/>
                <w:b/>
                <w:bCs/>
                <w:color w:val="0000E1"/>
              </w:rPr>
            </w:pPr>
            <w:r w:rsidRPr="0016714A">
              <w:rPr>
                <w:rFonts w:eastAsia="Times New Roman" w:cstheme="minorHAnsi"/>
                <w:color w:val="0000E1"/>
              </w:rPr>
              <w:t>contracts adjusted to the same decile</w:t>
            </w:r>
          </w:p>
        </w:tc>
        <w:tc>
          <w:tcPr>
            <w:tcW w:w="990" w:type="dxa"/>
            <w:vAlign w:val="bottom"/>
          </w:tcPr>
          <w:p w14:paraId="0F6FCA0D"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29.6%</w:t>
            </w:r>
          </w:p>
        </w:tc>
        <w:tc>
          <w:tcPr>
            <w:tcW w:w="1260" w:type="dxa"/>
            <w:vAlign w:val="bottom"/>
          </w:tcPr>
          <w:p w14:paraId="4EA7055A"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31.5%</w:t>
            </w:r>
          </w:p>
        </w:tc>
        <w:tc>
          <w:tcPr>
            <w:tcW w:w="1255" w:type="dxa"/>
            <w:vAlign w:val="bottom"/>
          </w:tcPr>
          <w:p w14:paraId="7885231C"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39.5%</w:t>
            </w:r>
          </w:p>
        </w:tc>
      </w:tr>
      <w:tr w:rsidR="0021449F" w:rsidRPr="0016714A" w14:paraId="7FFBA2BF" w14:textId="77777777" w:rsidTr="00866FEC">
        <w:tc>
          <w:tcPr>
            <w:tcW w:w="5845" w:type="dxa"/>
            <w:vAlign w:val="bottom"/>
          </w:tcPr>
          <w:p w14:paraId="068D54F8" w14:textId="77777777" w:rsidR="0021449F" w:rsidRPr="0016714A" w:rsidRDefault="0021449F" w:rsidP="0021449F">
            <w:pPr>
              <w:autoSpaceDE w:val="0"/>
              <w:autoSpaceDN w:val="0"/>
              <w:adjustRightInd w:val="0"/>
              <w:rPr>
                <w:rFonts w:cstheme="minorHAnsi"/>
                <w:b/>
                <w:bCs/>
                <w:color w:val="0000E1"/>
              </w:rPr>
            </w:pPr>
            <w:r w:rsidRPr="0016714A">
              <w:rPr>
                <w:rFonts w:eastAsia="Times New Roman" w:cstheme="minorHAnsi"/>
                <w:color w:val="0000E1"/>
              </w:rPr>
              <w:t>Average (absolute) change in decile</w:t>
            </w:r>
          </w:p>
        </w:tc>
        <w:tc>
          <w:tcPr>
            <w:tcW w:w="990" w:type="dxa"/>
            <w:vAlign w:val="bottom"/>
          </w:tcPr>
          <w:p w14:paraId="77016D2E"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1.6</w:t>
            </w:r>
          </w:p>
        </w:tc>
        <w:tc>
          <w:tcPr>
            <w:tcW w:w="1260" w:type="dxa"/>
            <w:vAlign w:val="bottom"/>
          </w:tcPr>
          <w:p w14:paraId="0CC67BAB"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1.4</w:t>
            </w:r>
          </w:p>
        </w:tc>
        <w:tc>
          <w:tcPr>
            <w:tcW w:w="1255" w:type="dxa"/>
            <w:vAlign w:val="bottom"/>
          </w:tcPr>
          <w:p w14:paraId="35830FA3"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0.9</w:t>
            </w:r>
          </w:p>
        </w:tc>
      </w:tr>
      <w:tr w:rsidR="0021449F" w:rsidRPr="0016714A" w14:paraId="36E4EE4F" w14:textId="77777777" w:rsidTr="00866FEC">
        <w:tc>
          <w:tcPr>
            <w:tcW w:w="5845" w:type="dxa"/>
            <w:vAlign w:val="bottom"/>
          </w:tcPr>
          <w:p w14:paraId="739F84FA" w14:textId="77777777" w:rsidR="0021449F" w:rsidRPr="0016714A" w:rsidRDefault="0021449F" w:rsidP="0021449F">
            <w:pPr>
              <w:autoSpaceDE w:val="0"/>
              <w:autoSpaceDN w:val="0"/>
              <w:adjustRightInd w:val="0"/>
              <w:rPr>
                <w:rFonts w:cstheme="minorHAnsi"/>
                <w:b/>
                <w:bCs/>
                <w:color w:val="0000E1"/>
              </w:rPr>
            </w:pPr>
            <w:r w:rsidRPr="0016714A">
              <w:rPr>
                <w:rFonts w:eastAsia="Times New Roman" w:cstheme="minorHAnsi"/>
                <w:color w:val="0000E1"/>
              </w:rPr>
              <w:t xml:space="preserve">Average decile </w:t>
            </w:r>
            <w:proofErr w:type="gramStart"/>
            <w:r w:rsidRPr="0016714A">
              <w:rPr>
                <w:rFonts w:eastAsia="Times New Roman" w:cstheme="minorHAnsi"/>
                <w:color w:val="0000E1"/>
              </w:rPr>
              <w:t>change</w:t>
            </w:r>
            <w:proofErr w:type="gramEnd"/>
            <w:r w:rsidRPr="0016714A">
              <w:rPr>
                <w:rFonts w:eastAsia="Times New Roman" w:cstheme="minorHAnsi"/>
                <w:color w:val="0000E1"/>
              </w:rPr>
              <w:t xml:space="preserve"> for contracts adjusted to a higher decile</w:t>
            </w:r>
          </w:p>
        </w:tc>
        <w:tc>
          <w:tcPr>
            <w:tcW w:w="990" w:type="dxa"/>
            <w:vAlign w:val="bottom"/>
          </w:tcPr>
          <w:p w14:paraId="49BD53F2"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2.5</w:t>
            </w:r>
          </w:p>
        </w:tc>
        <w:tc>
          <w:tcPr>
            <w:tcW w:w="1260" w:type="dxa"/>
            <w:vAlign w:val="bottom"/>
          </w:tcPr>
          <w:p w14:paraId="7F4A3EC1"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2.3</w:t>
            </w:r>
          </w:p>
        </w:tc>
        <w:tc>
          <w:tcPr>
            <w:tcW w:w="1255" w:type="dxa"/>
            <w:vAlign w:val="bottom"/>
          </w:tcPr>
          <w:p w14:paraId="5E567C21"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2.2</w:t>
            </w:r>
          </w:p>
        </w:tc>
      </w:tr>
      <w:tr w:rsidR="0021449F" w:rsidRPr="0016714A" w14:paraId="1BA5DC34" w14:textId="77777777" w:rsidTr="00866FEC">
        <w:tc>
          <w:tcPr>
            <w:tcW w:w="5845" w:type="dxa"/>
            <w:vAlign w:val="bottom"/>
          </w:tcPr>
          <w:p w14:paraId="07970AE5" w14:textId="77777777" w:rsidR="0021449F" w:rsidRPr="0016714A" w:rsidRDefault="0021449F" w:rsidP="0021449F">
            <w:pPr>
              <w:autoSpaceDE w:val="0"/>
              <w:autoSpaceDN w:val="0"/>
              <w:adjustRightInd w:val="0"/>
              <w:rPr>
                <w:rFonts w:eastAsia="Times New Roman" w:cstheme="minorHAnsi"/>
                <w:color w:val="0000E1"/>
              </w:rPr>
            </w:pPr>
            <w:r w:rsidRPr="0016714A">
              <w:rPr>
                <w:rFonts w:eastAsia="Times New Roman" w:cstheme="minorHAnsi"/>
                <w:color w:val="0000E1"/>
              </w:rPr>
              <w:t xml:space="preserve">Average decile </w:t>
            </w:r>
            <w:proofErr w:type="gramStart"/>
            <w:r w:rsidR="006151F4" w:rsidRPr="0016714A">
              <w:rPr>
                <w:rFonts w:eastAsia="Times New Roman" w:cstheme="minorHAnsi"/>
                <w:color w:val="0000E1"/>
              </w:rPr>
              <w:t>change</w:t>
            </w:r>
            <w:proofErr w:type="gramEnd"/>
            <w:r w:rsidRPr="0016714A">
              <w:rPr>
                <w:rFonts w:eastAsia="Times New Roman" w:cstheme="minorHAnsi"/>
                <w:color w:val="0000E1"/>
              </w:rPr>
              <w:t xml:space="preserve"> for contracts adjusted to a lower decile</w:t>
            </w:r>
          </w:p>
        </w:tc>
        <w:tc>
          <w:tcPr>
            <w:tcW w:w="990" w:type="dxa"/>
            <w:vAlign w:val="bottom"/>
          </w:tcPr>
          <w:p w14:paraId="48899D87"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-2.0</w:t>
            </w:r>
          </w:p>
        </w:tc>
        <w:tc>
          <w:tcPr>
            <w:tcW w:w="1260" w:type="dxa"/>
            <w:vAlign w:val="bottom"/>
          </w:tcPr>
          <w:p w14:paraId="626D0F92"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-1.6</w:t>
            </w:r>
          </w:p>
        </w:tc>
        <w:tc>
          <w:tcPr>
            <w:tcW w:w="1255" w:type="dxa"/>
            <w:vAlign w:val="bottom"/>
          </w:tcPr>
          <w:p w14:paraId="0CFB317A"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-1.1</w:t>
            </w:r>
          </w:p>
        </w:tc>
      </w:tr>
    </w:tbl>
    <w:p w14:paraId="44FD8A49" w14:textId="77777777" w:rsidR="00DD0554" w:rsidRDefault="00DD0554" w:rsidP="00050403">
      <w:pPr>
        <w:autoSpaceDE w:val="0"/>
        <w:autoSpaceDN w:val="0"/>
        <w:adjustRightInd w:val="0"/>
        <w:spacing w:after="0" w:line="240" w:lineRule="auto"/>
        <w:rPr>
          <w:rFonts w:cstheme="minorHAnsi"/>
          <w:b/>
          <w:bCs/>
          <w:color w:val="0000E1"/>
        </w:rPr>
      </w:pPr>
    </w:p>
    <w:p w14:paraId="4DAEF2BA" w14:textId="77777777" w:rsidR="00050403" w:rsidRPr="0016714A" w:rsidRDefault="00050403" w:rsidP="00050403">
      <w:pPr>
        <w:autoSpaceDE w:val="0"/>
        <w:autoSpaceDN w:val="0"/>
        <w:adjustRightInd w:val="0"/>
        <w:spacing w:after="0" w:line="240" w:lineRule="auto"/>
        <w:rPr>
          <w:rFonts w:cstheme="minorHAnsi"/>
          <w:b/>
          <w:bCs/>
          <w:color w:val="0000E1"/>
        </w:rPr>
      </w:pPr>
      <w:r>
        <w:rPr>
          <w:rFonts w:cstheme="minorHAnsi"/>
          <w:b/>
          <w:bCs/>
          <w:color w:val="0000E1"/>
        </w:rPr>
        <w:t>Table 17</w:t>
      </w:r>
      <w:r w:rsidRPr="0016714A">
        <w:rPr>
          <w:rFonts w:cstheme="minorHAnsi"/>
          <w:b/>
          <w:bCs/>
          <w:color w:val="0000E1"/>
        </w:rPr>
        <w:t xml:space="preserve">. Risk-Adjusted Decile Rankings for Full </w:t>
      </w:r>
      <w:r>
        <w:rPr>
          <w:rFonts w:cstheme="minorHAnsi"/>
          <w:b/>
          <w:bCs/>
          <w:color w:val="0000E1"/>
        </w:rPr>
        <w:t xml:space="preserve">vs. </w:t>
      </w:r>
      <w:r w:rsidRPr="0016714A">
        <w:rPr>
          <w:rFonts w:cstheme="minorHAnsi"/>
          <w:b/>
          <w:bCs/>
          <w:color w:val="0000E1"/>
        </w:rPr>
        <w:t>Reduced Models – RASA</w:t>
      </w:r>
    </w:p>
    <w:tbl>
      <w:tblPr>
        <w:tblStyle w:val="TableGrid"/>
        <w:tblW w:w="0" w:type="auto"/>
        <w:tblLook w:val="04A0" w:firstRow="1" w:lastRow="0" w:firstColumn="1" w:lastColumn="0" w:noHBand="0" w:noVBand="1"/>
      </w:tblPr>
      <w:tblGrid>
        <w:gridCol w:w="5935"/>
        <w:gridCol w:w="1080"/>
        <w:gridCol w:w="1080"/>
        <w:gridCol w:w="1255"/>
      </w:tblGrid>
      <w:tr w:rsidR="00050403" w:rsidRPr="0016714A" w14:paraId="0A713F4A" w14:textId="77777777" w:rsidTr="00153788">
        <w:tc>
          <w:tcPr>
            <w:tcW w:w="5935" w:type="dxa"/>
          </w:tcPr>
          <w:p w14:paraId="4BA2AC1A" w14:textId="77777777" w:rsidR="00050403" w:rsidRPr="0016714A" w:rsidRDefault="00050403" w:rsidP="00153788">
            <w:pPr>
              <w:autoSpaceDE w:val="0"/>
              <w:autoSpaceDN w:val="0"/>
              <w:adjustRightInd w:val="0"/>
              <w:rPr>
                <w:rFonts w:cstheme="minorHAnsi"/>
                <w:b/>
                <w:bCs/>
                <w:color w:val="0000E1"/>
              </w:rPr>
            </w:pPr>
          </w:p>
        </w:tc>
        <w:tc>
          <w:tcPr>
            <w:tcW w:w="1080" w:type="dxa"/>
            <w:vAlign w:val="center"/>
          </w:tcPr>
          <w:p w14:paraId="3AB135D1"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b/>
                <w:bCs/>
                <w:color w:val="0000E1"/>
              </w:rPr>
              <w:t>Full Model</w:t>
            </w:r>
          </w:p>
        </w:tc>
        <w:tc>
          <w:tcPr>
            <w:tcW w:w="1080" w:type="dxa"/>
            <w:vAlign w:val="center"/>
          </w:tcPr>
          <w:p w14:paraId="3B6A5AA2" w14:textId="77777777" w:rsidR="00050403" w:rsidRPr="0016714A" w:rsidRDefault="00050403" w:rsidP="00153788">
            <w:pPr>
              <w:jc w:val="center"/>
              <w:rPr>
                <w:rFonts w:eastAsia="Times New Roman" w:cstheme="minorHAnsi"/>
                <w:b/>
                <w:bCs/>
                <w:color w:val="0000E1"/>
              </w:rPr>
            </w:pPr>
            <w:r w:rsidRPr="0016714A">
              <w:rPr>
                <w:rFonts w:eastAsia="Times New Roman" w:cstheme="minorHAnsi"/>
                <w:b/>
                <w:bCs/>
                <w:color w:val="0000E1"/>
              </w:rPr>
              <w:t>Reduced</w:t>
            </w:r>
          </w:p>
          <w:p w14:paraId="7A23CC2B"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b/>
                <w:bCs/>
                <w:color w:val="0000E1"/>
              </w:rPr>
              <w:t>(w/ race)</w:t>
            </w:r>
          </w:p>
        </w:tc>
        <w:tc>
          <w:tcPr>
            <w:tcW w:w="1255" w:type="dxa"/>
            <w:vAlign w:val="center"/>
          </w:tcPr>
          <w:p w14:paraId="4A5C8D39" w14:textId="77777777" w:rsidR="00050403" w:rsidRPr="0016714A" w:rsidRDefault="00050403" w:rsidP="00153788">
            <w:pPr>
              <w:jc w:val="center"/>
              <w:rPr>
                <w:rFonts w:eastAsia="Times New Roman" w:cstheme="minorHAnsi"/>
                <w:b/>
                <w:bCs/>
                <w:color w:val="0000E1"/>
              </w:rPr>
            </w:pPr>
            <w:r w:rsidRPr="0016714A">
              <w:rPr>
                <w:rFonts w:eastAsia="Times New Roman" w:cstheme="minorHAnsi"/>
                <w:b/>
                <w:bCs/>
                <w:color w:val="0000E1"/>
              </w:rPr>
              <w:t>Reduced</w:t>
            </w:r>
          </w:p>
          <w:p w14:paraId="5BA2AA6F"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b/>
                <w:bCs/>
                <w:color w:val="0000E1"/>
              </w:rPr>
              <w:t>(w/o race)</w:t>
            </w:r>
          </w:p>
        </w:tc>
      </w:tr>
      <w:tr w:rsidR="00050403" w:rsidRPr="0016714A" w14:paraId="5A63457C" w14:textId="77777777" w:rsidTr="00153788">
        <w:tc>
          <w:tcPr>
            <w:tcW w:w="5935" w:type="dxa"/>
            <w:vAlign w:val="bottom"/>
          </w:tcPr>
          <w:p w14:paraId="3595C0FE" w14:textId="77777777" w:rsidR="00050403" w:rsidRPr="0016714A" w:rsidRDefault="00050403" w:rsidP="00153788">
            <w:pPr>
              <w:autoSpaceDE w:val="0"/>
              <w:autoSpaceDN w:val="0"/>
              <w:adjustRightInd w:val="0"/>
              <w:rPr>
                <w:rFonts w:cstheme="minorHAnsi"/>
                <w:b/>
                <w:bCs/>
                <w:color w:val="0000E1"/>
              </w:rPr>
            </w:pPr>
            <w:r w:rsidRPr="0016714A">
              <w:rPr>
                <w:rFonts w:eastAsia="Times New Roman" w:cstheme="minorHAnsi"/>
                <w:color w:val="0000E1"/>
              </w:rPr>
              <w:t xml:space="preserve">Contracts adjusted to a higher decile </w:t>
            </w:r>
          </w:p>
        </w:tc>
        <w:tc>
          <w:tcPr>
            <w:tcW w:w="1080" w:type="dxa"/>
            <w:vAlign w:val="bottom"/>
          </w:tcPr>
          <w:p w14:paraId="4D199236"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color w:val="0000E1"/>
              </w:rPr>
              <w:t>26.7%</w:t>
            </w:r>
          </w:p>
        </w:tc>
        <w:tc>
          <w:tcPr>
            <w:tcW w:w="1080" w:type="dxa"/>
            <w:vAlign w:val="bottom"/>
          </w:tcPr>
          <w:p w14:paraId="690AF576"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color w:val="0000E1"/>
              </w:rPr>
              <w:t>25.7%</w:t>
            </w:r>
          </w:p>
        </w:tc>
        <w:tc>
          <w:tcPr>
            <w:tcW w:w="1255" w:type="dxa"/>
            <w:vAlign w:val="bottom"/>
          </w:tcPr>
          <w:p w14:paraId="64779385"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color w:val="0000E1"/>
              </w:rPr>
              <w:t>24.4%</w:t>
            </w:r>
          </w:p>
        </w:tc>
      </w:tr>
      <w:tr w:rsidR="00050403" w:rsidRPr="0016714A" w14:paraId="5E09DF27" w14:textId="77777777" w:rsidTr="00153788">
        <w:tc>
          <w:tcPr>
            <w:tcW w:w="5935" w:type="dxa"/>
            <w:vAlign w:val="bottom"/>
          </w:tcPr>
          <w:p w14:paraId="2D6D7CAA" w14:textId="77777777" w:rsidR="00050403" w:rsidRPr="0016714A" w:rsidRDefault="00050403" w:rsidP="00153788">
            <w:pPr>
              <w:autoSpaceDE w:val="0"/>
              <w:autoSpaceDN w:val="0"/>
              <w:adjustRightInd w:val="0"/>
              <w:rPr>
                <w:rFonts w:cstheme="minorHAnsi"/>
                <w:b/>
                <w:bCs/>
                <w:color w:val="0000E1"/>
              </w:rPr>
            </w:pPr>
            <w:r w:rsidRPr="0016714A">
              <w:rPr>
                <w:rFonts w:eastAsia="Times New Roman" w:cstheme="minorHAnsi"/>
                <w:color w:val="0000E1"/>
              </w:rPr>
              <w:t xml:space="preserve">contracts adjusted to a lower decile </w:t>
            </w:r>
          </w:p>
        </w:tc>
        <w:tc>
          <w:tcPr>
            <w:tcW w:w="1080" w:type="dxa"/>
            <w:vAlign w:val="bottom"/>
          </w:tcPr>
          <w:p w14:paraId="5C545EB2"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color w:val="0000E1"/>
              </w:rPr>
              <w:t>46.4%</w:t>
            </w:r>
          </w:p>
        </w:tc>
        <w:tc>
          <w:tcPr>
            <w:tcW w:w="1080" w:type="dxa"/>
            <w:vAlign w:val="bottom"/>
          </w:tcPr>
          <w:p w14:paraId="2BC1C3CF"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color w:val="0000E1"/>
              </w:rPr>
              <w:t>47.6%</w:t>
            </w:r>
          </w:p>
        </w:tc>
        <w:tc>
          <w:tcPr>
            <w:tcW w:w="1255" w:type="dxa"/>
            <w:vAlign w:val="bottom"/>
          </w:tcPr>
          <w:p w14:paraId="43819A51"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color w:val="0000E1"/>
              </w:rPr>
              <w:t>46.8%</w:t>
            </w:r>
          </w:p>
        </w:tc>
      </w:tr>
      <w:tr w:rsidR="00050403" w:rsidRPr="0016714A" w14:paraId="4E9A3613" w14:textId="77777777" w:rsidTr="00153788">
        <w:tc>
          <w:tcPr>
            <w:tcW w:w="5935" w:type="dxa"/>
            <w:vAlign w:val="bottom"/>
          </w:tcPr>
          <w:p w14:paraId="3BC2D12E" w14:textId="77777777" w:rsidR="00050403" w:rsidRPr="0016714A" w:rsidRDefault="00050403" w:rsidP="00153788">
            <w:pPr>
              <w:autoSpaceDE w:val="0"/>
              <w:autoSpaceDN w:val="0"/>
              <w:adjustRightInd w:val="0"/>
              <w:rPr>
                <w:rFonts w:cstheme="minorHAnsi"/>
                <w:b/>
                <w:bCs/>
                <w:color w:val="0000E1"/>
              </w:rPr>
            </w:pPr>
            <w:r w:rsidRPr="0016714A">
              <w:rPr>
                <w:rFonts w:eastAsia="Times New Roman" w:cstheme="minorHAnsi"/>
                <w:color w:val="0000E1"/>
              </w:rPr>
              <w:t>contracts adjusted to the same decile</w:t>
            </w:r>
          </w:p>
        </w:tc>
        <w:tc>
          <w:tcPr>
            <w:tcW w:w="1080" w:type="dxa"/>
            <w:vAlign w:val="bottom"/>
          </w:tcPr>
          <w:p w14:paraId="3BDFAEC6"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color w:val="0000E1"/>
              </w:rPr>
              <w:t>26.9%</w:t>
            </w:r>
          </w:p>
        </w:tc>
        <w:tc>
          <w:tcPr>
            <w:tcW w:w="1080" w:type="dxa"/>
            <w:vAlign w:val="bottom"/>
          </w:tcPr>
          <w:p w14:paraId="0F40AC56"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color w:val="0000E1"/>
              </w:rPr>
              <w:t>26.7%</w:t>
            </w:r>
          </w:p>
        </w:tc>
        <w:tc>
          <w:tcPr>
            <w:tcW w:w="1255" w:type="dxa"/>
            <w:vAlign w:val="bottom"/>
          </w:tcPr>
          <w:p w14:paraId="3F2020E1"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color w:val="0000E1"/>
              </w:rPr>
              <w:t>28.8%</w:t>
            </w:r>
          </w:p>
        </w:tc>
      </w:tr>
      <w:tr w:rsidR="00050403" w:rsidRPr="0016714A" w14:paraId="1D143969" w14:textId="77777777" w:rsidTr="00153788">
        <w:tc>
          <w:tcPr>
            <w:tcW w:w="5935" w:type="dxa"/>
            <w:vAlign w:val="bottom"/>
          </w:tcPr>
          <w:p w14:paraId="0D1944AE" w14:textId="77777777" w:rsidR="00050403" w:rsidRPr="0016714A" w:rsidRDefault="00050403" w:rsidP="00153788">
            <w:pPr>
              <w:autoSpaceDE w:val="0"/>
              <w:autoSpaceDN w:val="0"/>
              <w:adjustRightInd w:val="0"/>
              <w:rPr>
                <w:rFonts w:cstheme="minorHAnsi"/>
                <w:b/>
                <w:bCs/>
                <w:color w:val="0000E1"/>
              </w:rPr>
            </w:pPr>
            <w:r w:rsidRPr="0016714A">
              <w:rPr>
                <w:rFonts w:eastAsia="Times New Roman" w:cstheme="minorHAnsi"/>
                <w:color w:val="0000E1"/>
              </w:rPr>
              <w:t>Average (absolute) change in decile</w:t>
            </w:r>
          </w:p>
        </w:tc>
        <w:tc>
          <w:tcPr>
            <w:tcW w:w="1080" w:type="dxa"/>
            <w:vAlign w:val="bottom"/>
          </w:tcPr>
          <w:p w14:paraId="1D6C8F85"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color w:val="0000E1"/>
              </w:rPr>
              <w:t>1.3</w:t>
            </w:r>
          </w:p>
        </w:tc>
        <w:tc>
          <w:tcPr>
            <w:tcW w:w="1080" w:type="dxa"/>
            <w:vAlign w:val="bottom"/>
          </w:tcPr>
          <w:p w14:paraId="68CA9FA8"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color w:val="0000E1"/>
              </w:rPr>
              <w:t>1.3</w:t>
            </w:r>
          </w:p>
        </w:tc>
        <w:tc>
          <w:tcPr>
            <w:tcW w:w="1255" w:type="dxa"/>
            <w:vAlign w:val="bottom"/>
          </w:tcPr>
          <w:p w14:paraId="405BCEAA"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color w:val="0000E1"/>
              </w:rPr>
              <w:t>1.1</w:t>
            </w:r>
          </w:p>
        </w:tc>
      </w:tr>
      <w:tr w:rsidR="00050403" w:rsidRPr="0016714A" w14:paraId="62DCD8C7" w14:textId="77777777" w:rsidTr="00153788">
        <w:tc>
          <w:tcPr>
            <w:tcW w:w="5935" w:type="dxa"/>
            <w:vAlign w:val="bottom"/>
          </w:tcPr>
          <w:p w14:paraId="2BEB28F8" w14:textId="77777777" w:rsidR="00050403" w:rsidRPr="0016714A" w:rsidRDefault="00050403" w:rsidP="00153788">
            <w:pPr>
              <w:autoSpaceDE w:val="0"/>
              <w:autoSpaceDN w:val="0"/>
              <w:adjustRightInd w:val="0"/>
              <w:rPr>
                <w:rFonts w:cstheme="minorHAnsi"/>
                <w:b/>
                <w:bCs/>
                <w:color w:val="0000E1"/>
              </w:rPr>
            </w:pPr>
            <w:r w:rsidRPr="0016714A">
              <w:rPr>
                <w:rFonts w:eastAsia="Times New Roman" w:cstheme="minorHAnsi"/>
                <w:color w:val="0000E1"/>
              </w:rPr>
              <w:t xml:space="preserve">Average decile </w:t>
            </w:r>
            <w:proofErr w:type="gramStart"/>
            <w:r w:rsidRPr="0016714A">
              <w:rPr>
                <w:rFonts w:eastAsia="Times New Roman" w:cstheme="minorHAnsi"/>
                <w:color w:val="0000E1"/>
              </w:rPr>
              <w:t>change</w:t>
            </w:r>
            <w:proofErr w:type="gramEnd"/>
            <w:r w:rsidRPr="0016714A">
              <w:rPr>
                <w:rFonts w:eastAsia="Times New Roman" w:cstheme="minorHAnsi"/>
                <w:color w:val="0000E1"/>
              </w:rPr>
              <w:t xml:space="preserve"> for contracts adjusted to a higher decile</w:t>
            </w:r>
          </w:p>
        </w:tc>
        <w:tc>
          <w:tcPr>
            <w:tcW w:w="1080" w:type="dxa"/>
            <w:vAlign w:val="bottom"/>
          </w:tcPr>
          <w:p w14:paraId="778F71EE"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color w:val="0000E1"/>
              </w:rPr>
              <w:t>2.5</w:t>
            </w:r>
          </w:p>
        </w:tc>
        <w:tc>
          <w:tcPr>
            <w:tcW w:w="1080" w:type="dxa"/>
            <w:vAlign w:val="bottom"/>
          </w:tcPr>
          <w:p w14:paraId="5512AE5F"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color w:val="0000E1"/>
              </w:rPr>
              <w:t>2.5</w:t>
            </w:r>
          </w:p>
        </w:tc>
        <w:tc>
          <w:tcPr>
            <w:tcW w:w="1255" w:type="dxa"/>
            <w:vAlign w:val="bottom"/>
          </w:tcPr>
          <w:p w14:paraId="48B8568A"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color w:val="0000E1"/>
              </w:rPr>
              <w:t>2.3</w:t>
            </w:r>
          </w:p>
        </w:tc>
      </w:tr>
      <w:tr w:rsidR="00050403" w:rsidRPr="0016714A" w14:paraId="49A3B20A" w14:textId="77777777" w:rsidTr="00153788">
        <w:tc>
          <w:tcPr>
            <w:tcW w:w="5935" w:type="dxa"/>
            <w:vAlign w:val="bottom"/>
          </w:tcPr>
          <w:p w14:paraId="4D7532AB" w14:textId="77777777" w:rsidR="00050403" w:rsidRPr="0016714A" w:rsidRDefault="00050403" w:rsidP="00153788">
            <w:pPr>
              <w:autoSpaceDE w:val="0"/>
              <w:autoSpaceDN w:val="0"/>
              <w:adjustRightInd w:val="0"/>
              <w:rPr>
                <w:rFonts w:eastAsia="Times New Roman" w:cstheme="minorHAnsi"/>
                <w:color w:val="0000E1"/>
              </w:rPr>
            </w:pPr>
            <w:r w:rsidRPr="0016714A">
              <w:rPr>
                <w:rFonts w:eastAsia="Times New Roman" w:cstheme="minorHAnsi"/>
                <w:color w:val="0000E1"/>
              </w:rPr>
              <w:t xml:space="preserve">Average decile </w:t>
            </w:r>
            <w:proofErr w:type="gramStart"/>
            <w:r w:rsidRPr="0016714A">
              <w:rPr>
                <w:rFonts w:eastAsia="Times New Roman" w:cstheme="minorHAnsi"/>
                <w:color w:val="0000E1"/>
              </w:rPr>
              <w:t>change</w:t>
            </w:r>
            <w:proofErr w:type="gramEnd"/>
            <w:r w:rsidRPr="0016714A">
              <w:rPr>
                <w:rFonts w:eastAsia="Times New Roman" w:cstheme="minorHAnsi"/>
                <w:color w:val="0000E1"/>
              </w:rPr>
              <w:t xml:space="preserve"> for contracts adjusted to a lower decile</w:t>
            </w:r>
          </w:p>
        </w:tc>
        <w:tc>
          <w:tcPr>
            <w:tcW w:w="1080" w:type="dxa"/>
            <w:vAlign w:val="bottom"/>
          </w:tcPr>
          <w:p w14:paraId="2425A4F0"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color w:val="0000E1"/>
              </w:rPr>
              <w:t>-1.4</w:t>
            </w:r>
          </w:p>
        </w:tc>
        <w:tc>
          <w:tcPr>
            <w:tcW w:w="1080" w:type="dxa"/>
            <w:vAlign w:val="bottom"/>
          </w:tcPr>
          <w:p w14:paraId="5335445B"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color w:val="0000E1"/>
              </w:rPr>
              <w:t>-1.4</w:t>
            </w:r>
          </w:p>
        </w:tc>
        <w:tc>
          <w:tcPr>
            <w:tcW w:w="1255" w:type="dxa"/>
            <w:vAlign w:val="bottom"/>
          </w:tcPr>
          <w:p w14:paraId="3D8C479A"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color w:val="0000E1"/>
              </w:rPr>
              <w:t>-1.2</w:t>
            </w:r>
          </w:p>
        </w:tc>
      </w:tr>
    </w:tbl>
    <w:p w14:paraId="27F21455" w14:textId="77777777" w:rsidR="00050403" w:rsidRDefault="00050403" w:rsidP="0021449F">
      <w:pPr>
        <w:autoSpaceDE w:val="0"/>
        <w:autoSpaceDN w:val="0"/>
        <w:adjustRightInd w:val="0"/>
        <w:spacing w:after="0" w:line="240" w:lineRule="auto"/>
        <w:rPr>
          <w:rFonts w:cstheme="minorHAnsi"/>
          <w:b/>
          <w:bCs/>
          <w:color w:val="0000E1"/>
        </w:rPr>
      </w:pPr>
    </w:p>
    <w:p w14:paraId="0D02CD89" w14:textId="77777777" w:rsidR="00DD0554" w:rsidRDefault="00DD0554">
      <w:pPr>
        <w:rPr>
          <w:rFonts w:cstheme="minorHAnsi"/>
          <w:b/>
          <w:bCs/>
          <w:color w:val="0000E1"/>
        </w:rPr>
      </w:pPr>
      <w:r>
        <w:rPr>
          <w:rFonts w:cstheme="minorHAnsi"/>
          <w:b/>
          <w:bCs/>
          <w:color w:val="0000E1"/>
        </w:rPr>
        <w:br w:type="page"/>
      </w:r>
    </w:p>
    <w:p w14:paraId="3F93AD47" w14:textId="77777777" w:rsidR="0021449F" w:rsidRPr="0016714A" w:rsidRDefault="0021449F" w:rsidP="0021449F">
      <w:pPr>
        <w:autoSpaceDE w:val="0"/>
        <w:autoSpaceDN w:val="0"/>
        <w:adjustRightInd w:val="0"/>
        <w:spacing w:after="0" w:line="240" w:lineRule="auto"/>
        <w:rPr>
          <w:rFonts w:cstheme="minorHAnsi"/>
          <w:b/>
          <w:bCs/>
          <w:color w:val="0000E1"/>
        </w:rPr>
      </w:pPr>
      <w:r w:rsidRPr="0016714A">
        <w:rPr>
          <w:rFonts w:cstheme="minorHAnsi"/>
          <w:b/>
          <w:bCs/>
          <w:color w:val="0000E1"/>
        </w:rPr>
        <w:lastRenderedPageBreak/>
        <w:t>Table 1</w:t>
      </w:r>
      <w:r w:rsidR="00050403">
        <w:rPr>
          <w:rFonts w:cstheme="minorHAnsi"/>
          <w:b/>
          <w:bCs/>
          <w:color w:val="0000E1"/>
        </w:rPr>
        <w:t>8</w:t>
      </w:r>
      <w:r w:rsidRPr="0016714A">
        <w:rPr>
          <w:rFonts w:cstheme="minorHAnsi"/>
          <w:b/>
          <w:bCs/>
          <w:color w:val="0000E1"/>
        </w:rPr>
        <w:t xml:space="preserve">. Risk-Adjusted Decile Rankings for Full </w:t>
      </w:r>
      <w:r w:rsidR="00DA0358">
        <w:rPr>
          <w:rFonts w:cstheme="minorHAnsi"/>
          <w:b/>
          <w:bCs/>
          <w:color w:val="0000E1"/>
        </w:rPr>
        <w:t xml:space="preserve">vs. </w:t>
      </w:r>
      <w:r w:rsidRPr="0016714A">
        <w:rPr>
          <w:rFonts w:cstheme="minorHAnsi"/>
          <w:b/>
          <w:bCs/>
          <w:color w:val="0000E1"/>
        </w:rPr>
        <w:t>Reduced Models – Statins</w:t>
      </w:r>
    </w:p>
    <w:tbl>
      <w:tblPr>
        <w:tblStyle w:val="TableGrid"/>
        <w:tblW w:w="0" w:type="auto"/>
        <w:tblLook w:val="04A0" w:firstRow="1" w:lastRow="0" w:firstColumn="1" w:lastColumn="0" w:noHBand="0" w:noVBand="1"/>
      </w:tblPr>
      <w:tblGrid>
        <w:gridCol w:w="5845"/>
        <w:gridCol w:w="1080"/>
        <w:gridCol w:w="1170"/>
        <w:gridCol w:w="1255"/>
      </w:tblGrid>
      <w:tr w:rsidR="0021449F" w:rsidRPr="0016714A" w14:paraId="1AC7E5EE" w14:textId="77777777" w:rsidTr="00866FEC">
        <w:tc>
          <w:tcPr>
            <w:tcW w:w="5845" w:type="dxa"/>
          </w:tcPr>
          <w:p w14:paraId="1F6B5297" w14:textId="77777777" w:rsidR="0021449F" w:rsidRPr="0016714A" w:rsidRDefault="0021449F" w:rsidP="00234468">
            <w:pPr>
              <w:autoSpaceDE w:val="0"/>
              <w:autoSpaceDN w:val="0"/>
              <w:adjustRightInd w:val="0"/>
              <w:rPr>
                <w:rFonts w:cstheme="minorHAnsi"/>
                <w:b/>
                <w:bCs/>
                <w:color w:val="0000E1"/>
              </w:rPr>
            </w:pPr>
          </w:p>
        </w:tc>
        <w:tc>
          <w:tcPr>
            <w:tcW w:w="1080" w:type="dxa"/>
            <w:vAlign w:val="center"/>
          </w:tcPr>
          <w:p w14:paraId="734C1D81" w14:textId="77777777" w:rsidR="0021449F" w:rsidRPr="0016714A" w:rsidRDefault="0021449F" w:rsidP="00234468">
            <w:pPr>
              <w:autoSpaceDE w:val="0"/>
              <w:autoSpaceDN w:val="0"/>
              <w:adjustRightInd w:val="0"/>
              <w:jc w:val="center"/>
              <w:rPr>
                <w:rFonts w:cstheme="minorHAnsi"/>
                <w:b/>
                <w:bCs/>
                <w:color w:val="0000E1"/>
              </w:rPr>
            </w:pPr>
            <w:r w:rsidRPr="0016714A">
              <w:rPr>
                <w:rFonts w:eastAsia="Times New Roman" w:cstheme="minorHAnsi"/>
                <w:b/>
                <w:bCs/>
                <w:color w:val="0000E1"/>
              </w:rPr>
              <w:t>Full Model</w:t>
            </w:r>
          </w:p>
        </w:tc>
        <w:tc>
          <w:tcPr>
            <w:tcW w:w="1170" w:type="dxa"/>
            <w:vAlign w:val="center"/>
          </w:tcPr>
          <w:p w14:paraId="4A14D5F9" w14:textId="77777777" w:rsidR="0021449F" w:rsidRPr="0016714A" w:rsidRDefault="0021449F" w:rsidP="00234468">
            <w:pPr>
              <w:jc w:val="center"/>
              <w:rPr>
                <w:rFonts w:eastAsia="Times New Roman" w:cstheme="minorHAnsi"/>
                <w:b/>
                <w:bCs/>
                <w:color w:val="0000E1"/>
              </w:rPr>
            </w:pPr>
            <w:r w:rsidRPr="0016714A">
              <w:rPr>
                <w:rFonts w:eastAsia="Times New Roman" w:cstheme="minorHAnsi"/>
                <w:b/>
                <w:bCs/>
                <w:color w:val="0000E1"/>
              </w:rPr>
              <w:t>Reduced</w:t>
            </w:r>
          </w:p>
          <w:p w14:paraId="1C6191E4" w14:textId="77777777" w:rsidR="0021449F" w:rsidRPr="0016714A" w:rsidRDefault="0021449F" w:rsidP="00234468">
            <w:pPr>
              <w:autoSpaceDE w:val="0"/>
              <w:autoSpaceDN w:val="0"/>
              <w:adjustRightInd w:val="0"/>
              <w:jc w:val="center"/>
              <w:rPr>
                <w:rFonts w:cstheme="minorHAnsi"/>
                <w:b/>
                <w:bCs/>
                <w:color w:val="0000E1"/>
              </w:rPr>
            </w:pPr>
            <w:r w:rsidRPr="0016714A">
              <w:rPr>
                <w:rFonts w:eastAsia="Times New Roman" w:cstheme="minorHAnsi"/>
                <w:b/>
                <w:bCs/>
                <w:color w:val="0000E1"/>
              </w:rPr>
              <w:t>(w/ race)</w:t>
            </w:r>
          </w:p>
        </w:tc>
        <w:tc>
          <w:tcPr>
            <w:tcW w:w="1255" w:type="dxa"/>
            <w:vAlign w:val="center"/>
          </w:tcPr>
          <w:p w14:paraId="6626A8E6" w14:textId="77777777" w:rsidR="0021449F" w:rsidRPr="0016714A" w:rsidRDefault="0021449F" w:rsidP="00234468">
            <w:pPr>
              <w:jc w:val="center"/>
              <w:rPr>
                <w:rFonts w:eastAsia="Times New Roman" w:cstheme="minorHAnsi"/>
                <w:b/>
                <w:bCs/>
                <w:color w:val="0000E1"/>
              </w:rPr>
            </w:pPr>
            <w:r w:rsidRPr="0016714A">
              <w:rPr>
                <w:rFonts w:eastAsia="Times New Roman" w:cstheme="minorHAnsi"/>
                <w:b/>
                <w:bCs/>
                <w:color w:val="0000E1"/>
              </w:rPr>
              <w:t>Reduced</w:t>
            </w:r>
          </w:p>
          <w:p w14:paraId="742A6DEC" w14:textId="77777777" w:rsidR="0021449F" w:rsidRPr="0016714A" w:rsidRDefault="0021449F" w:rsidP="00234468">
            <w:pPr>
              <w:autoSpaceDE w:val="0"/>
              <w:autoSpaceDN w:val="0"/>
              <w:adjustRightInd w:val="0"/>
              <w:jc w:val="center"/>
              <w:rPr>
                <w:rFonts w:cstheme="minorHAnsi"/>
                <w:b/>
                <w:bCs/>
                <w:color w:val="0000E1"/>
              </w:rPr>
            </w:pPr>
            <w:r w:rsidRPr="0016714A">
              <w:rPr>
                <w:rFonts w:eastAsia="Times New Roman" w:cstheme="minorHAnsi"/>
                <w:b/>
                <w:bCs/>
                <w:color w:val="0000E1"/>
              </w:rPr>
              <w:t>(w/o race)</w:t>
            </w:r>
          </w:p>
        </w:tc>
      </w:tr>
      <w:tr w:rsidR="0021449F" w:rsidRPr="0016714A" w14:paraId="19B8F5CE" w14:textId="77777777" w:rsidTr="00866FEC">
        <w:tc>
          <w:tcPr>
            <w:tcW w:w="5845" w:type="dxa"/>
            <w:vAlign w:val="bottom"/>
          </w:tcPr>
          <w:p w14:paraId="01CCA438" w14:textId="77777777" w:rsidR="0021449F" w:rsidRPr="0016714A" w:rsidRDefault="0021449F" w:rsidP="0021449F">
            <w:pPr>
              <w:autoSpaceDE w:val="0"/>
              <w:autoSpaceDN w:val="0"/>
              <w:adjustRightInd w:val="0"/>
              <w:rPr>
                <w:rFonts w:cstheme="minorHAnsi"/>
                <w:b/>
                <w:bCs/>
                <w:color w:val="0000E1"/>
              </w:rPr>
            </w:pPr>
            <w:r w:rsidRPr="0016714A">
              <w:rPr>
                <w:rFonts w:eastAsia="Times New Roman" w:cstheme="minorHAnsi"/>
                <w:color w:val="0000E1"/>
              </w:rPr>
              <w:t xml:space="preserve">Contracts adjusted to a higher decile </w:t>
            </w:r>
          </w:p>
        </w:tc>
        <w:tc>
          <w:tcPr>
            <w:tcW w:w="1080" w:type="dxa"/>
            <w:vAlign w:val="bottom"/>
          </w:tcPr>
          <w:p w14:paraId="22C4BA22"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25.2%</w:t>
            </w:r>
          </w:p>
        </w:tc>
        <w:tc>
          <w:tcPr>
            <w:tcW w:w="1170" w:type="dxa"/>
            <w:vAlign w:val="bottom"/>
          </w:tcPr>
          <w:p w14:paraId="70257042"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24.5%</w:t>
            </w:r>
          </w:p>
        </w:tc>
        <w:tc>
          <w:tcPr>
            <w:tcW w:w="1255" w:type="dxa"/>
            <w:vAlign w:val="bottom"/>
          </w:tcPr>
          <w:p w14:paraId="675096E0"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20.6%</w:t>
            </w:r>
          </w:p>
        </w:tc>
      </w:tr>
      <w:tr w:rsidR="0021449F" w:rsidRPr="0016714A" w14:paraId="764E2934" w14:textId="77777777" w:rsidTr="00866FEC">
        <w:tc>
          <w:tcPr>
            <w:tcW w:w="5845" w:type="dxa"/>
            <w:vAlign w:val="bottom"/>
          </w:tcPr>
          <w:p w14:paraId="67BA9EEC" w14:textId="77777777" w:rsidR="0021449F" w:rsidRPr="0016714A" w:rsidRDefault="0021449F" w:rsidP="0021449F">
            <w:pPr>
              <w:autoSpaceDE w:val="0"/>
              <w:autoSpaceDN w:val="0"/>
              <w:adjustRightInd w:val="0"/>
              <w:rPr>
                <w:rFonts w:cstheme="minorHAnsi"/>
                <w:b/>
                <w:bCs/>
                <w:color w:val="0000E1"/>
              </w:rPr>
            </w:pPr>
            <w:r w:rsidRPr="0016714A">
              <w:rPr>
                <w:rFonts w:eastAsia="Times New Roman" w:cstheme="minorHAnsi"/>
                <w:color w:val="0000E1"/>
              </w:rPr>
              <w:t xml:space="preserve">contracts adjusted to a lower decile </w:t>
            </w:r>
          </w:p>
        </w:tc>
        <w:tc>
          <w:tcPr>
            <w:tcW w:w="1080" w:type="dxa"/>
            <w:vAlign w:val="bottom"/>
          </w:tcPr>
          <w:p w14:paraId="7D6FC1AF"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43.6%</w:t>
            </w:r>
          </w:p>
        </w:tc>
        <w:tc>
          <w:tcPr>
            <w:tcW w:w="1170" w:type="dxa"/>
            <w:vAlign w:val="bottom"/>
          </w:tcPr>
          <w:p w14:paraId="436663BD"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42.8%</w:t>
            </w:r>
          </w:p>
        </w:tc>
        <w:tc>
          <w:tcPr>
            <w:tcW w:w="1255" w:type="dxa"/>
            <w:vAlign w:val="bottom"/>
          </w:tcPr>
          <w:p w14:paraId="4A0D2B97"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36.9%</w:t>
            </w:r>
          </w:p>
        </w:tc>
      </w:tr>
      <w:tr w:rsidR="0021449F" w:rsidRPr="0016714A" w14:paraId="7580E0A0" w14:textId="77777777" w:rsidTr="00866FEC">
        <w:tc>
          <w:tcPr>
            <w:tcW w:w="5845" w:type="dxa"/>
            <w:vAlign w:val="bottom"/>
          </w:tcPr>
          <w:p w14:paraId="2F8F9891" w14:textId="77777777" w:rsidR="0021449F" w:rsidRPr="0016714A" w:rsidRDefault="0021449F" w:rsidP="0021449F">
            <w:pPr>
              <w:autoSpaceDE w:val="0"/>
              <w:autoSpaceDN w:val="0"/>
              <w:adjustRightInd w:val="0"/>
              <w:rPr>
                <w:rFonts w:cstheme="minorHAnsi"/>
                <w:b/>
                <w:bCs/>
                <w:color w:val="0000E1"/>
              </w:rPr>
            </w:pPr>
            <w:r w:rsidRPr="0016714A">
              <w:rPr>
                <w:rFonts w:eastAsia="Times New Roman" w:cstheme="minorHAnsi"/>
                <w:color w:val="0000E1"/>
              </w:rPr>
              <w:t>contracts adjusted to the same decile</w:t>
            </w:r>
          </w:p>
        </w:tc>
        <w:tc>
          <w:tcPr>
            <w:tcW w:w="1080" w:type="dxa"/>
            <w:vAlign w:val="bottom"/>
          </w:tcPr>
          <w:p w14:paraId="32DCC313"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31.2%</w:t>
            </w:r>
          </w:p>
        </w:tc>
        <w:tc>
          <w:tcPr>
            <w:tcW w:w="1170" w:type="dxa"/>
            <w:vAlign w:val="bottom"/>
          </w:tcPr>
          <w:p w14:paraId="5A3485EB"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32.7%</w:t>
            </w:r>
          </w:p>
        </w:tc>
        <w:tc>
          <w:tcPr>
            <w:tcW w:w="1255" w:type="dxa"/>
            <w:vAlign w:val="bottom"/>
          </w:tcPr>
          <w:p w14:paraId="2C02764B"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42.5%</w:t>
            </w:r>
          </w:p>
        </w:tc>
      </w:tr>
      <w:tr w:rsidR="0021449F" w:rsidRPr="0016714A" w14:paraId="413742E1" w14:textId="77777777" w:rsidTr="00866FEC">
        <w:tc>
          <w:tcPr>
            <w:tcW w:w="5845" w:type="dxa"/>
            <w:vAlign w:val="bottom"/>
          </w:tcPr>
          <w:p w14:paraId="6C3661F8" w14:textId="77777777" w:rsidR="0021449F" w:rsidRPr="0016714A" w:rsidRDefault="0021449F" w:rsidP="0021449F">
            <w:pPr>
              <w:autoSpaceDE w:val="0"/>
              <w:autoSpaceDN w:val="0"/>
              <w:adjustRightInd w:val="0"/>
              <w:rPr>
                <w:rFonts w:cstheme="minorHAnsi"/>
                <w:b/>
                <w:bCs/>
                <w:color w:val="0000E1"/>
              </w:rPr>
            </w:pPr>
            <w:r w:rsidRPr="0016714A">
              <w:rPr>
                <w:rFonts w:eastAsia="Times New Roman" w:cstheme="minorHAnsi"/>
                <w:color w:val="0000E1"/>
              </w:rPr>
              <w:t>Average (absolute) change in decile</w:t>
            </w:r>
          </w:p>
        </w:tc>
        <w:tc>
          <w:tcPr>
            <w:tcW w:w="1080" w:type="dxa"/>
            <w:vAlign w:val="bottom"/>
          </w:tcPr>
          <w:p w14:paraId="7D594D11"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1.1</w:t>
            </w:r>
          </w:p>
        </w:tc>
        <w:tc>
          <w:tcPr>
            <w:tcW w:w="1170" w:type="dxa"/>
            <w:vAlign w:val="bottom"/>
          </w:tcPr>
          <w:p w14:paraId="65EE8D9E"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1.1</w:t>
            </w:r>
          </w:p>
        </w:tc>
        <w:tc>
          <w:tcPr>
            <w:tcW w:w="1255" w:type="dxa"/>
            <w:vAlign w:val="bottom"/>
          </w:tcPr>
          <w:p w14:paraId="0BBBDDC3"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0.8</w:t>
            </w:r>
          </w:p>
        </w:tc>
      </w:tr>
      <w:tr w:rsidR="0021449F" w:rsidRPr="0016714A" w14:paraId="49064385" w14:textId="77777777" w:rsidTr="00866FEC">
        <w:tc>
          <w:tcPr>
            <w:tcW w:w="5845" w:type="dxa"/>
            <w:vAlign w:val="bottom"/>
          </w:tcPr>
          <w:p w14:paraId="000D7EB2" w14:textId="77777777" w:rsidR="0021449F" w:rsidRPr="0016714A" w:rsidRDefault="0021449F" w:rsidP="0021449F">
            <w:pPr>
              <w:autoSpaceDE w:val="0"/>
              <w:autoSpaceDN w:val="0"/>
              <w:adjustRightInd w:val="0"/>
              <w:rPr>
                <w:rFonts w:cstheme="minorHAnsi"/>
                <w:b/>
                <w:bCs/>
                <w:color w:val="0000E1"/>
              </w:rPr>
            </w:pPr>
            <w:r w:rsidRPr="0016714A">
              <w:rPr>
                <w:rFonts w:eastAsia="Times New Roman" w:cstheme="minorHAnsi"/>
                <w:color w:val="0000E1"/>
              </w:rPr>
              <w:t xml:space="preserve">Average decile </w:t>
            </w:r>
            <w:proofErr w:type="gramStart"/>
            <w:r w:rsidRPr="0016714A">
              <w:rPr>
                <w:rFonts w:eastAsia="Times New Roman" w:cstheme="minorHAnsi"/>
                <w:color w:val="0000E1"/>
              </w:rPr>
              <w:t>change</w:t>
            </w:r>
            <w:proofErr w:type="gramEnd"/>
            <w:r w:rsidRPr="0016714A">
              <w:rPr>
                <w:rFonts w:eastAsia="Times New Roman" w:cstheme="minorHAnsi"/>
                <w:color w:val="0000E1"/>
              </w:rPr>
              <w:t xml:space="preserve"> for contracts adjusted to a higher decile</w:t>
            </w:r>
          </w:p>
        </w:tc>
        <w:tc>
          <w:tcPr>
            <w:tcW w:w="1080" w:type="dxa"/>
            <w:vAlign w:val="bottom"/>
          </w:tcPr>
          <w:p w14:paraId="20C214AF"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2.2</w:t>
            </w:r>
          </w:p>
        </w:tc>
        <w:tc>
          <w:tcPr>
            <w:tcW w:w="1170" w:type="dxa"/>
            <w:vAlign w:val="bottom"/>
          </w:tcPr>
          <w:p w14:paraId="50A042E2"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2.2</w:t>
            </w:r>
          </w:p>
        </w:tc>
        <w:tc>
          <w:tcPr>
            <w:tcW w:w="1255" w:type="dxa"/>
            <w:vAlign w:val="bottom"/>
          </w:tcPr>
          <w:p w14:paraId="2F32C041"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1.9</w:t>
            </w:r>
          </w:p>
        </w:tc>
      </w:tr>
      <w:tr w:rsidR="0021449F" w:rsidRPr="0016714A" w14:paraId="4B0A9648" w14:textId="77777777" w:rsidTr="00866FEC">
        <w:tc>
          <w:tcPr>
            <w:tcW w:w="5845" w:type="dxa"/>
            <w:vAlign w:val="bottom"/>
          </w:tcPr>
          <w:p w14:paraId="10593137" w14:textId="77777777" w:rsidR="0021449F" w:rsidRPr="0016714A" w:rsidRDefault="0021449F" w:rsidP="0021449F">
            <w:pPr>
              <w:autoSpaceDE w:val="0"/>
              <w:autoSpaceDN w:val="0"/>
              <w:adjustRightInd w:val="0"/>
              <w:rPr>
                <w:rFonts w:eastAsia="Times New Roman" w:cstheme="minorHAnsi"/>
                <w:color w:val="0000E1"/>
              </w:rPr>
            </w:pPr>
            <w:r w:rsidRPr="0016714A">
              <w:rPr>
                <w:rFonts w:eastAsia="Times New Roman" w:cstheme="minorHAnsi"/>
                <w:color w:val="0000E1"/>
              </w:rPr>
              <w:t xml:space="preserve">Average decile </w:t>
            </w:r>
            <w:proofErr w:type="gramStart"/>
            <w:r w:rsidRPr="0016714A">
              <w:rPr>
                <w:rFonts w:eastAsia="Times New Roman" w:cstheme="minorHAnsi"/>
                <w:color w:val="0000E1"/>
              </w:rPr>
              <w:t>change</w:t>
            </w:r>
            <w:proofErr w:type="gramEnd"/>
            <w:r w:rsidRPr="0016714A">
              <w:rPr>
                <w:rFonts w:eastAsia="Times New Roman" w:cstheme="minorHAnsi"/>
                <w:color w:val="0000E1"/>
              </w:rPr>
              <w:t xml:space="preserve"> for contracts adjusted to a lower decile</w:t>
            </w:r>
          </w:p>
        </w:tc>
        <w:tc>
          <w:tcPr>
            <w:tcW w:w="1080" w:type="dxa"/>
            <w:vAlign w:val="bottom"/>
          </w:tcPr>
          <w:p w14:paraId="48C1D409"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-1.3</w:t>
            </w:r>
          </w:p>
        </w:tc>
        <w:tc>
          <w:tcPr>
            <w:tcW w:w="1170" w:type="dxa"/>
            <w:vAlign w:val="bottom"/>
          </w:tcPr>
          <w:p w14:paraId="4EF03AEE"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-1.2</w:t>
            </w:r>
          </w:p>
        </w:tc>
        <w:tc>
          <w:tcPr>
            <w:tcW w:w="1255" w:type="dxa"/>
            <w:vAlign w:val="bottom"/>
          </w:tcPr>
          <w:p w14:paraId="7111983F" w14:textId="77777777" w:rsidR="0021449F" w:rsidRPr="0016714A" w:rsidRDefault="0021449F" w:rsidP="0021449F">
            <w:pPr>
              <w:autoSpaceDE w:val="0"/>
              <w:autoSpaceDN w:val="0"/>
              <w:adjustRightInd w:val="0"/>
              <w:jc w:val="center"/>
              <w:rPr>
                <w:rFonts w:cstheme="minorHAnsi"/>
                <w:b/>
                <w:bCs/>
                <w:color w:val="0000E1"/>
              </w:rPr>
            </w:pPr>
            <w:r w:rsidRPr="0016714A">
              <w:rPr>
                <w:rFonts w:eastAsia="Times New Roman" w:cstheme="minorHAnsi"/>
                <w:color w:val="0000E1"/>
              </w:rPr>
              <w:t>-1.1</w:t>
            </w:r>
          </w:p>
        </w:tc>
      </w:tr>
    </w:tbl>
    <w:p w14:paraId="7034297C" w14:textId="77777777" w:rsidR="00E73086" w:rsidRPr="0016714A" w:rsidRDefault="00E73086" w:rsidP="00FE69EC">
      <w:pPr>
        <w:autoSpaceDE w:val="0"/>
        <w:autoSpaceDN w:val="0"/>
        <w:adjustRightInd w:val="0"/>
        <w:spacing w:after="0" w:line="240" w:lineRule="auto"/>
        <w:rPr>
          <w:rFonts w:cstheme="minorHAnsi"/>
          <w:bCs/>
          <w:color w:val="0000E1"/>
        </w:rPr>
      </w:pPr>
    </w:p>
    <w:p w14:paraId="1C287861" w14:textId="4777B601" w:rsidR="00D5116A" w:rsidRPr="0016714A" w:rsidRDefault="00C30C39" w:rsidP="00FE69EC">
      <w:pPr>
        <w:autoSpaceDE w:val="0"/>
        <w:autoSpaceDN w:val="0"/>
        <w:adjustRightInd w:val="0"/>
        <w:spacing w:after="0" w:line="240" w:lineRule="auto"/>
        <w:rPr>
          <w:rFonts w:cstheme="minorHAnsi"/>
          <w:bCs/>
          <w:color w:val="0000E1"/>
        </w:rPr>
      </w:pPr>
      <w:r w:rsidRPr="0016714A">
        <w:rPr>
          <w:rFonts w:cstheme="minorHAnsi"/>
          <w:bCs/>
          <w:color w:val="0000E1"/>
        </w:rPr>
        <w:t xml:space="preserve">The results of the study using the 100% CMS PDE data provide </w:t>
      </w:r>
      <w:r w:rsidR="00E90E73" w:rsidRPr="0016714A">
        <w:rPr>
          <w:rFonts w:cstheme="minorHAnsi"/>
          <w:bCs/>
          <w:color w:val="0000E1"/>
        </w:rPr>
        <w:t>additional</w:t>
      </w:r>
      <w:r w:rsidRPr="0016714A">
        <w:rPr>
          <w:rFonts w:cstheme="minorHAnsi"/>
          <w:bCs/>
          <w:color w:val="0000E1"/>
        </w:rPr>
        <w:t xml:space="preserve"> validation </w:t>
      </w:r>
      <w:r w:rsidR="00E90E73" w:rsidRPr="0016714A">
        <w:rPr>
          <w:rFonts w:cstheme="minorHAnsi"/>
          <w:bCs/>
          <w:color w:val="0000E1"/>
        </w:rPr>
        <w:t>of the risk adjustment models and</w:t>
      </w:r>
      <w:r w:rsidR="00651072">
        <w:rPr>
          <w:rFonts w:cstheme="minorHAnsi"/>
          <w:bCs/>
          <w:color w:val="0000E1"/>
        </w:rPr>
        <w:t xml:space="preserve"> results reported in section 2</w:t>
      </w:r>
      <w:r w:rsidRPr="0016714A">
        <w:rPr>
          <w:rFonts w:cstheme="minorHAnsi"/>
          <w:bCs/>
          <w:color w:val="0000E1"/>
        </w:rPr>
        <w:t>b3 above using the 5% Medicare sample</w:t>
      </w:r>
      <w:r w:rsidR="00E57C81">
        <w:rPr>
          <w:rFonts w:cstheme="minorHAnsi"/>
          <w:bCs/>
          <w:color w:val="0000E1"/>
        </w:rPr>
        <w:t xml:space="preserve">. </w:t>
      </w:r>
      <w:r w:rsidR="00513B70" w:rsidRPr="0016714A">
        <w:rPr>
          <w:rFonts w:cstheme="minorHAnsi"/>
          <w:bCs/>
          <w:color w:val="0000E1"/>
        </w:rPr>
        <w:t xml:space="preserve">A comparison of the plan-contract movement </w:t>
      </w:r>
      <w:r w:rsidR="00651072">
        <w:rPr>
          <w:rFonts w:cstheme="minorHAnsi"/>
          <w:bCs/>
          <w:color w:val="0000E1"/>
        </w:rPr>
        <w:t>at the decile-</w:t>
      </w:r>
      <w:r w:rsidR="00D5116A" w:rsidRPr="0016714A">
        <w:rPr>
          <w:rFonts w:cstheme="minorHAnsi"/>
          <w:bCs/>
          <w:color w:val="0000E1"/>
        </w:rPr>
        <w:t xml:space="preserve">level </w:t>
      </w:r>
      <w:r w:rsidR="00513B70" w:rsidRPr="0016714A">
        <w:rPr>
          <w:rFonts w:cstheme="minorHAnsi"/>
          <w:bCs/>
          <w:color w:val="0000E1"/>
        </w:rPr>
        <w:t xml:space="preserve">post risk adjustment </w:t>
      </w:r>
      <w:r w:rsidR="00DE193D" w:rsidRPr="0016714A">
        <w:rPr>
          <w:rFonts w:cstheme="minorHAnsi"/>
          <w:bCs/>
          <w:color w:val="0000E1"/>
        </w:rPr>
        <w:t>using the final list of recommended SDS risk factors (age, gender, LIS/dual</w:t>
      </w:r>
      <w:r w:rsidR="00BD0D83">
        <w:rPr>
          <w:rFonts w:cstheme="minorHAnsi"/>
          <w:bCs/>
          <w:color w:val="0000E1"/>
        </w:rPr>
        <w:t xml:space="preserve"> eligibility, and</w:t>
      </w:r>
      <w:r w:rsidR="00DE193D" w:rsidRPr="0016714A">
        <w:rPr>
          <w:rFonts w:cstheme="minorHAnsi"/>
          <w:bCs/>
          <w:color w:val="0000E1"/>
        </w:rPr>
        <w:t xml:space="preserve"> disability status) </w:t>
      </w:r>
      <w:r w:rsidR="00201EF3">
        <w:rPr>
          <w:rFonts w:cstheme="minorHAnsi"/>
          <w:bCs/>
          <w:color w:val="0000E1"/>
        </w:rPr>
        <w:t xml:space="preserve">was similar </w:t>
      </w:r>
      <w:r w:rsidR="00513B70" w:rsidRPr="0016714A">
        <w:rPr>
          <w:rFonts w:cstheme="minorHAnsi"/>
          <w:bCs/>
          <w:color w:val="0000E1"/>
        </w:rPr>
        <w:t xml:space="preserve">using the </w:t>
      </w:r>
      <w:r w:rsidR="00DE193D" w:rsidRPr="0016714A">
        <w:rPr>
          <w:rFonts w:cstheme="minorHAnsi"/>
          <w:bCs/>
          <w:color w:val="0000E1"/>
        </w:rPr>
        <w:t xml:space="preserve">2014 </w:t>
      </w:r>
      <w:r w:rsidR="00513B70" w:rsidRPr="0016714A">
        <w:rPr>
          <w:rFonts w:cstheme="minorHAnsi"/>
          <w:bCs/>
          <w:color w:val="0000E1"/>
        </w:rPr>
        <w:t xml:space="preserve">100% </w:t>
      </w:r>
      <w:r w:rsidR="00D5116A" w:rsidRPr="0016714A">
        <w:rPr>
          <w:rFonts w:cstheme="minorHAnsi"/>
          <w:bCs/>
          <w:color w:val="0000E1"/>
        </w:rPr>
        <w:t xml:space="preserve">PDE data and the </w:t>
      </w:r>
      <w:r w:rsidR="00DE193D" w:rsidRPr="0016714A">
        <w:rPr>
          <w:rFonts w:cstheme="minorHAnsi"/>
          <w:bCs/>
          <w:color w:val="0000E1"/>
        </w:rPr>
        <w:t>201</w:t>
      </w:r>
      <w:r w:rsidR="00C450B4">
        <w:rPr>
          <w:rFonts w:cstheme="minorHAnsi"/>
          <w:bCs/>
          <w:color w:val="0000E1"/>
        </w:rPr>
        <w:t>6</w:t>
      </w:r>
      <w:r w:rsidR="00DE193D" w:rsidRPr="0016714A">
        <w:rPr>
          <w:rFonts w:cstheme="minorHAnsi"/>
          <w:bCs/>
          <w:color w:val="0000E1"/>
        </w:rPr>
        <w:t xml:space="preserve"> </w:t>
      </w:r>
      <w:r w:rsidR="00201EF3">
        <w:rPr>
          <w:rFonts w:cstheme="minorHAnsi"/>
          <w:bCs/>
          <w:color w:val="0000E1"/>
        </w:rPr>
        <w:t>5% sample</w:t>
      </w:r>
      <w:r w:rsidR="006151F4" w:rsidRPr="0016714A">
        <w:rPr>
          <w:rFonts w:cstheme="minorHAnsi"/>
          <w:bCs/>
          <w:color w:val="0000E1"/>
        </w:rPr>
        <w:t>. (see Tables 1</w:t>
      </w:r>
      <w:r w:rsidR="00F910A0" w:rsidRPr="0016714A">
        <w:rPr>
          <w:rFonts w:cstheme="minorHAnsi"/>
          <w:bCs/>
          <w:color w:val="0000E1"/>
        </w:rPr>
        <w:t>9</w:t>
      </w:r>
      <w:r w:rsidR="002C290A">
        <w:rPr>
          <w:rFonts w:cstheme="minorHAnsi"/>
          <w:bCs/>
          <w:color w:val="0000E1"/>
        </w:rPr>
        <w:t>-</w:t>
      </w:r>
      <w:r w:rsidR="00F910A0" w:rsidRPr="0016714A">
        <w:rPr>
          <w:rFonts w:cstheme="minorHAnsi"/>
          <w:bCs/>
          <w:color w:val="0000E1"/>
        </w:rPr>
        <w:t>21</w:t>
      </w:r>
      <w:r w:rsidR="00D5116A" w:rsidRPr="0016714A">
        <w:rPr>
          <w:rFonts w:cstheme="minorHAnsi"/>
          <w:bCs/>
          <w:color w:val="0000E1"/>
        </w:rPr>
        <w:t>).</w:t>
      </w:r>
    </w:p>
    <w:p w14:paraId="579EDE4E" w14:textId="77777777" w:rsidR="00BA4B26" w:rsidRPr="0016714A" w:rsidRDefault="00BA4B26" w:rsidP="00FE69EC">
      <w:pPr>
        <w:autoSpaceDE w:val="0"/>
        <w:autoSpaceDN w:val="0"/>
        <w:adjustRightInd w:val="0"/>
        <w:spacing w:after="0" w:line="240" w:lineRule="auto"/>
        <w:rPr>
          <w:rFonts w:cstheme="minorHAnsi"/>
          <w:bCs/>
          <w:color w:val="0000E1"/>
        </w:rPr>
      </w:pPr>
    </w:p>
    <w:p w14:paraId="04C3319A" w14:textId="77777777" w:rsidR="00DE193D" w:rsidRPr="0016714A" w:rsidRDefault="00F910A0" w:rsidP="00DE193D">
      <w:pPr>
        <w:autoSpaceDE w:val="0"/>
        <w:autoSpaceDN w:val="0"/>
        <w:adjustRightInd w:val="0"/>
        <w:spacing w:after="0" w:line="240" w:lineRule="auto"/>
        <w:rPr>
          <w:rFonts w:cstheme="minorHAnsi"/>
          <w:b/>
          <w:bCs/>
          <w:color w:val="0000E1"/>
        </w:rPr>
      </w:pPr>
      <w:r w:rsidRPr="0016714A">
        <w:rPr>
          <w:rFonts w:cstheme="minorHAnsi"/>
          <w:b/>
          <w:bCs/>
          <w:color w:val="0000E1"/>
        </w:rPr>
        <w:t>Table 19</w:t>
      </w:r>
      <w:r w:rsidR="00DE193D" w:rsidRPr="0016714A">
        <w:rPr>
          <w:rFonts w:cstheme="minorHAnsi"/>
          <w:b/>
          <w:bCs/>
          <w:color w:val="0000E1"/>
        </w:rPr>
        <w:t xml:space="preserve">. Risk-Adjusted Decile Rankings for 100% </w:t>
      </w:r>
      <w:r w:rsidR="00DA0358">
        <w:rPr>
          <w:rFonts w:cstheme="minorHAnsi"/>
          <w:b/>
          <w:bCs/>
          <w:color w:val="0000E1"/>
        </w:rPr>
        <w:t>vs.</w:t>
      </w:r>
      <w:r w:rsidR="00DE193D" w:rsidRPr="0016714A">
        <w:rPr>
          <w:rFonts w:cstheme="minorHAnsi"/>
          <w:b/>
          <w:bCs/>
          <w:color w:val="0000E1"/>
        </w:rPr>
        <w:t xml:space="preserve">5% Sample PDE Datasets – Diabetes </w:t>
      </w:r>
    </w:p>
    <w:tbl>
      <w:tblPr>
        <w:tblStyle w:val="TableGrid"/>
        <w:tblW w:w="0" w:type="auto"/>
        <w:tblLook w:val="04A0" w:firstRow="1" w:lastRow="0" w:firstColumn="1" w:lastColumn="0" w:noHBand="0" w:noVBand="1"/>
      </w:tblPr>
      <w:tblGrid>
        <w:gridCol w:w="5845"/>
        <w:gridCol w:w="1800"/>
        <w:gridCol w:w="1705"/>
      </w:tblGrid>
      <w:tr w:rsidR="00DE193D" w:rsidRPr="0016714A" w14:paraId="5E20BA72" w14:textId="77777777" w:rsidTr="00DE193D">
        <w:tc>
          <w:tcPr>
            <w:tcW w:w="5845" w:type="dxa"/>
          </w:tcPr>
          <w:p w14:paraId="4F529D90" w14:textId="77777777" w:rsidR="00DE193D" w:rsidRPr="0016714A" w:rsidRDefault="00DE193D" w:rsidP="00DE193D">
            <w:pPr>
              <w:autoSpaceDE w:val="0"/>
              <w:autoSpaceDN w:val="0"/>
              <w:adjustRightInd w:val="0"/>
              <w:rPr>
                <w:rFonts w:cstheme="minorHAnsi"/>
                <w:b/>
                <w:bCs/>
                <w:color w:val="0000E1"/>
              </w:rPr>
            </w:pPr>
          </w:p>
        </w:tc>
        <w:tc>
          <w:tcPr>
            <w:tcW w:w="1800" w:type="dxa"/>
          </w:tcPr>
          <w:p w14:paraId="2F737521" w14:textId="275CE937" w:rsidR="00DE193D" w:rsidRPr="0016714A" w:rsidRDefault="00DE193D" w:rsidP="00DE193D">
            <w:pPr>
              <w:autoSpaceDE w:val="0"/>
              <w:autoSpaceDN w:val="0"/>
              <w:adjustRightInd w:val="0"/>
              <w:jc w:val="center"/>
              <w:rPr>
                <w:rFonts w:cstheme="minorHAnsi"/>
                <w:b/>
                <w:bCs/>
                <w:color w:val="0000E1"/>
              </w:rPr>
            </w:pPr>
            <w:r w:rsidRPr="0016714A">
              <w:rPr>
                <w:rFonts w:cstheme="minorHAnsi"/>
                <w:b/>
                <w:bCs/>
                <w:color w:val="0000E1"/>
              </w:rPr>
              <w:t>201</w:t>
            </w:r>
            <w:r w:rsidR="00C450B4">
              <w:rPr>
                <w:rFonts w:cstheme="minorHAnsi"/>
                <w:b/>
                <w:bCs/>
                <w:color w:val="0000E1"/>
              </w:rPr>
              <w:t>6</w:t>
            </w:r>
            <w:r w:rsidRPr="0016714A">
              <w:rPr>
                <w:rFonts w:cstheme="minorHAnsi"/>
                <w:b/>
                <w:bCs/>
                <w:color w:val="0000E1"/>
              </w:rPr>
              <w:t xml:space="preserve"> 5% Sample</w:t>
            </w:r>
          </w:p>
        </w:tc>
        <w:tc>
          <w:tcPr>
            <w:tcW w:w="1705" w:type="dxa"/>
          </w:tcPr>
          <w:p w14:paraId="7B614854" w14:textId="77777777" w:rsidR="00DE193D" w:rsidRPr="0016714A" w:rsidRDefault="00DE193D" w:rsidP="00DE193D">
            <w:pPr>
              <w:autoSpaceDE w:val="0"/>
              <w:autoSpaceDN w:val="0"/>
              <w:adjustRightInd w:val="0"/>
              <w:jc w:val="center"/>
              <w:rPr>
                <w:rFonts w:cstheme="minorHAnsi"/>
                <w:b/>
                <w:bCs/>
                <w:color w:val="0000E1"/>
              </w:rPr>
            </w:pPr>
            <w:r w:rsidRPr="0016714A">
              <w:rPr>
                <w:rFonts w:cstheme="minorHAnsi"/>
                <w:b/>
                <w:bCs/>
                <w:color w:val="0000E1"/>
              </w:rPr>
              <w:t>2014 100% Data</w:t>
            </w:r>
          </w:p>
        </w:tc>
      </w:tr>
      <w:tr w:rsidR="00D76076" w:rsidRPr="0016714A" w14:paraId="2594B74B" w14:textId="77777777" w:rsidTr="00234468">
        <w:tc>
          <w:tcPr>
            <w:tcW w:w="5845" w:type="dxa"/>
            <w:vAlign w:val="bottom"/>
          </w:tcPr>
          <w:p w14:paraId="289D920A" w14:textId="77777777" w:rsidR="00D76076" w:rsidRPr="0016714A" w:rsidRDefault="00D76076" w:rsidP="00D76076">
            <w:pPr>
              <w:autoSpaceDE w:val="0"/>
              <w:autoSpaceDN w:val="0"/>
              <w:adjustRightInd w:val="0"/>
              <w:rPr>
                <w:rFonts w:cstheme="minorHAnsi"/>
                <w:b/>
                <w:bCs/>
                <w:color w:val="0000E1"/>
              </w:rPr>
            </w:pPr>
            <w:r w:rsidRPr="0016714A">
              <w:rPr>
                <w:rFonts w:eastAsia="Times New Roman" w:cstheme="minorHAnsi"/>
                <w:color w:val="0000E1"/>
              </w:rPr>
              <w:t xml:space="preserve">Contracts adjusted to a higher decile </w:t>
            </w:r>
          </w:p>
        </w:tc>
        <w:tc>
          <w:tcPr>
            <w:tcW w:w="1800" w:type="dxa"/>
            <w:vAlign w:val="center"/>
          </w:tcPr>
          <w:p w14:paraId="3FF84F51" w14:textId="77777777" w:rsidR="00D76076" w:rsidRPr="0016714A" w:rsidRDefault="00D76076" w:rsidP="00D76076">
            <w:pPr>
              <w:autoSpaceDE w:val="0"/>
              <w:autoSpaceDN w:val="0"/>
              <w:adjustRightInd w:val="0"/>
              <w:jc w:val="center"/>
              <w:rPr>
                <w:rFonts w:cstheme="minorHAnsi"/>
                <w:b/>
                <w:bCs/>
                <w:color w:val="0000E1"/>
              </w:rPr>
            </w:pPr>
            <w:r w:rsidRPr="0016714A">
              <w:rPr>
                <w:rFonts w:cs="Calibri"/>
                <w:color w:val="0000E1"/>
              </w:rPr>
              <w:t>20.6%</w:t>
            </w:r>
          </w:p>
        </w:tc>
        <w:tc>
          <w:tcPr>
            <w:tcW w:w="1705" w:type="dxa"/>
            <w:vAlign w:val="bottom"/>
          </w:tcPr>
          <w:p w14:paraId="3407AD6B" w14:textId="77777777" w:rsidR="00D76076" w:rsidRPr="0016714A" w:rsidRDefault="00D76076" w:rsidP="00D76076">
            <w:pPr>
              <w:autoSpaceDE w:val="0"/>
              <w:autoSpaceDN w:val="0"/>
              <w:adjustRightInd w:val="0"/>
              <w:jc w:val="center"/>
              <w:rPr>
                <w:rFonts w:cstheme="minorHAnsi"/>
                <w:b/>
                <w:bCs/>
                <w:color w:val="0000E1"/>
              </w:rPr>
            </w:pPr>
            <w:r w:rsidRPr="0016714A">
              <w:rPr>
                <w:rFonts w:eastAsia="Times New Roman" w:cstheme="minorHAnsi"/>
                <w:color w:val="0000E1"/>
              </w:rPr>
              <w:t>20.2%</w:t>
            </w:r>
          </w:p>
        </w:tc>
      </w:tr>
      <w:tr w:rsidR="00D76076" w:rsidRPr="0016714A" w14:paraId="00F62584" w14:textId="77777777" w:rsidTr="00234468">
        <w:tc>
          <w:tcPr>
            <w:tcW w:w="5845" w:type="dxa"/>
            <w:vAlign w:val="bottom"/>
          </w:tcPr>
          <w:p w14:paraId="55486E6B" w14:textId="77777777" w:rsidR="00D76076" w:rsidRPr="0016714A" w:rsidRDefault="00D76076" w:rsidP="00D76076">
            <w:pPr>
              <w:autoSpaceDE w:val="0"/>
              <w:autoSpaceDN w:val="0"/>
              <w:adjustRightInd w:val="0"/>
              <w:rPr>
                <w:rFonts w:cstheme="minorHAnsi"/>
                <w:b/>
                <w:bCs/>
                <w:color w:val="0000E1"/>
              </w:rPr>
            </w:pPr>
            <w:r w:rsidRPr="0016714A">
              <w:rPr>
                <w:rFonts w:eastAsia="Times New Roman" w:cstheme="minorHAnsi"/>
                <w:color w:val="0000E1"/>
              </w:rPr>
              <w:t xml:space="preserve">contracts adjusted to a lower decile </w:t>
            </w:r>
          </w:p>
        </w:tc>
        <w:tc>
          <w:tcPr>
            <w:tcW w:w="1800" w:type="dxa"/>
            <w:vAlign w:val="center"/>
          </w:tcPr>
          <w:p w14:paraId="56C0E539" w14:textId="77777777" w:rsidR="00D76076" w:rsidRPr="0016714A" w:rsidRDefault="00D76076" w:rsidP="00D76076">
            <w:pPr>
              <w:autoSpaceDE w:val="0"/>
              <w:autoSpaceDN w:val="0"/>
              <w:adjustRightInd w:val="0"/>
              <w:jc w:val="center"/>
              <w:rPr>
                <w:rFonts w:cstheme="minorHAnsi"/>
                <w:b/>
                <w:bCs/>
                <w:color w:val="0000E1"/>
              </w:rPr>
            </w:pPr>
            <w:r w:rsidRPr="0016714A">
              <w:rPr>
                <w:rFonts w:cs="Calibri"/>
                <w:color w:val="0000E1"/>
              </w:rPr>
              <w:t>29.7%</w:t>
            </w:r>
          </w:p>
        </w:tc>
        <w:tc>
          <w:tcPr>
            <w:tcW w:w="1705" w:type="dxa"/>
            <w:vAlign w:val="bottom"/>
          </w:tcPr>
          <w:p w14:paraId="41269A31" w14:textId="77777777" w:rsidR="00D76076" w:rsidRPr="0016714A" w:rsidRDefault="00D76076" w:rsidP="00D76076">
            <w:pPr>
              <w:autoSpaceDE w:val="0"/>
              <w:autoSpaceDN w:val="0"/>
              <w:adjustRightInd w:val="0"/>
              <w:jc w:val="center"/>
              <w:rPr>
                <w:rFonts w:cstheme="minorHAnsi"/>
                <w:b/>
                <w:bCs/>
                <w:color w:val="0000E1"/>
              </w:rPr>
            </w:pPr>
            <w:r w:rsidRPr="0016714A">
              <w:rPr>
                <w:rFonts w:eastAsia="Times New Roman" w:cstheme="minorHAnsi"/>
                <w:color w:val="0000E1"/>
              </w:rPr>
              <w:t>40.3%</w:t>
            </w:r>
          </w:p>
        </w:tc>
      </w:tr>
      <w:tr w:rsidR="00D76076" w:rsidRPr="0016714A" w14:paraId="3F8E17E6" w14:textId="77777777" w:rsidTr="00234468">
        <w:tc>
          <w:tcPr>
            <w:tcW w:w="5845" w:type="dxa"/>
            <w:vAlign w:val="bottom"/>
          </w:tcPr>
          <w:p w14:paraId="7E09F903" w14:textId="77777777" w:rsidR="00D76076" w:rsidRPr="0016714A" w:rsidRDefault="00D76076" w:rsidP="00D76076">
            <w:pPr>
              <w:autoSpaceDE w:val="0"/>
              <w:autoSpaceDN w:val="0"/>
              <w:adjustRightInd w:val="0"/>
              <w:rPr>
                <w:rFonts w:cstheme="minorHAnsi"/>
                <w:b/>
                <w:bCs/>
                <w:color w:val="0000E1"/>
              </w:rPr>
            </w:pPr>
            <w:r w:rsidRPr="0016714A">
              <w:rPr>
                <w:rFonts w:eastAsia="Times New Roman" w:cstheme="minorHAnsi"/>
                <w:color w:val="0000E1"/>
              </w:rPr>
              <w:t>contracts adjusted to the same decile</w:t>
            </w:r>
          </w:p>
        </w:tc>
        <w:tc>
          <w:tcPr>
            <w:tcW w:w="1800" w:type="dxa"/>
            <w:vAlign w:val="center"/>
          </w:tcPr>
          <w:p w14:paraId="5FA2F3E8" w14:textId="77777777" w:rsidR="00D76076" w:rsidRPr="0016714A" w:rsidRDefault="00D76076" w:rsidP="00D76076">
            <w:pPr>
              <w:autoSpaceDE w:val="0"/>
              <w:autoSpaceDN w:val="0"/>
              <w:adjustRightInd w:val="0"/>
              <w:jc w:val="center"/>
              <w:rPr>
                <w:rFonts w:cstheme="minorHAnsi"/>
                <w:b/>
                <w:bCs/>
                <w:color w:val="0000E1"/>
              </w:rPr>
            </w:pPr>
            <w:r w:rsidRPr="0016714A">
              <w:rPr>
                <w:rFonts w:cs="Calibri"/>
                <w:color w:val="0000E1"/>
              </w:rPr>
              <w:t>49.8%</w:t>
            </w:r>
          </w:p>
        </w:tc>
        <w:tc>
          <w:tcPr>
            <w:tcW w:w="1705" w:type="dxa"/>
            <w:vAlign w:val="bottom"/>
          </w:tcPr>
          <w:p w14:paraId="0973EE6A" w14:textId="77777777" w:rsidR="00D76076" w:rsidRPr="0016714A" w:rsidRDefault="00D76076" w:rsidP="00D76076">
            <w:pPr>
              <w:autoSpaceDE w:val="0"/>
              <w:autoSpaceDN w:val="0"/>
              <w:adjustRightInd w:val="0"/>
              <w:jc w:val="center"/>
              <w:rPr>
                <w:rFonts w:cstheme="minorHAnsi"/>
                <w:b/>
                <w:bCs/>
                <w:color w:val="0000E1"/>
              </w:rPr>
            </w:pPr>
            <w:r w:rsidRPr="0016714A">
              <w:rPr>
                <w:rFonts w:eastAsia="Times New Roman" w:cstheme="minorHAnsi"/>
                <w:color w:val="0000E1"/>
              </w:rPr>
              <w:t>39.5%</w:t>
            </w:r>
          </w:p>
        </w:tc>
      </w:tr>
      <w:tr w:rsidR="00D76076" w:rsidRPr="0016714A" w14:paraId="65843F2D" w14:textId="77777777" w:rsidTr="00234468">
        <w:tc>
          <w:tcPr>
            <w:tcW w:w="5845" w:type="dxa"/>
            <w:vAlign w:val="bottom"/>
          </w:tcPr>
          <w:p w14:paraId="49379FA8" w14:textId="77777777" w:rsidR="00D76076" w:rsidRPr="0016714A" w:rsidRDefault="00D76076" w:rsidP="00D76076">
            <w:pPr>
              <w:autoSpaceDE w:val="0"/>
              <w:autoSpaceDN w:val="0"/>
              <w:adjustRightInd w:val="0"/>
              <w:rPr>
                <w:rFonts w:cstheme="minorHAnsi"/>
                <w:b/>
                <w:bCs/>
                <w:color w:val="0000E1"/>
              </w:rPr>
            </w:pPr>
            <w:r w:rsidRPr="0016714A">
              <w:rPr>
                <w:rFonts w:eastAsia="Times New Roman" w:cstheme="minorHAnsi"/>
                <w:color w:val="0000E1"/>
              </w:rPr>
              <w:t>Average (absolute) change in decile</w:t>
            </w:r>
          </w:p>
        </w:tc>
        <w:tc>
          <w:tcPr>
            <w:tcW w:w="1800" w:type="dxa"/>
            <w:vAlign w:val="center"/>
          </w:tcPr>
          <w:p w14:paraId="75F4C658" w14:textId="77777777" w:rsidR="00D76076" w:rsidRPr="0016714A" w:rsidRDefault="00D76076" w:rsidP="00D76076">
            <w:pPr>
              <w:autoSpaceDE w:val="0"/>
              <w:autoSpaceDN w:val="0"/>
              <w:adjustRightInd w:val="0"/>
              <w:jc w:val="center"/>
              <w:rPr>
                <w:rFonts w:cstheme="minorHAnsi"/>
                <w:b/>
                <w:bCs/>
                <w:color w:val="0000E1"/>
              </w:rPr>
            </w:pPr>
            <w:r w:rsidRPr="0016714A">
              <w:rPr>
                <w:rFonts w:cs="Calibri"/>
                <w:color w:val="0000E1"/>
              </w:rPr>
              <w:t>0.6</w:t>
            </w:r>
          </w:p>
        </w:tc>
        <w:tc>
          <w:tcPr>
            <w:tcW w:w="1705" w:type="dxa"/>
            <w:vAlign w:val="bottom"/>
          </w:tcPr>
          <w:p w14:paraId="4A6A27C3" w14:textId="77777777" w:rsidR="00D76076" w:rsidRPr="0016714A" w:rsidRDefault="00D76076" w:rsidP="00D76076">
            <w:pPr>
              <w:autoSpaceDE w:val="0"/>
              <w:autoSpaceDN w:val="0"/>
              <w:adjustRightInd w:val="0"/>
              <w:jc w:val="center"/>
              <w:rPr>
                <w:rFonts w:cstheme="minorHAnsi"/>
                <w:b/>
                <w:bCs/>
                <w:color w:val="0000E1"/>
              </w:rPr>
            </w:pPr>
            <w:r w:rsidRPr="0016714A">
              <w:rPr>
                <w:rFonts w:eastAsia="Times New Roman" w:cstheme="minorHAnsi"/>
                <w:color w:val="0000E1"/>
              </w:rPr>
              <w:t>0.9</w:t>
            </w:r>
          </w:p>
        </w:tc>
      </w:tr>
      <w:tr w:rsidR="00D76076" w:rsidRPr="0016714A" w14:paraId="176C7F23" w14:textId="77777777" w:rsidTr="00234468">
        <w:tc>
          <w:tcPr>
            <w:tcW w:w="5845" w:type="dxa"/>
            <w:vAlign w:val="bottom"/>
          </w:tcPr>
          <w:p w14:paraId="1D788B4C" w14:textId="77777777" w:rsidR="00D76076" w:rsidRPr="0016714A" w:rsidRDefault="00D76076" w:rsidP="00D76076">
            <w:pPr>
              <w:autoSpaceDE w:val="0"/>
              <w:autoSpaceDN w:val="0"/>
              <w:adjustRightInd w:val="0"/>
              <w:rPr>
                <w:rFonts w:cstheme="minorHAnsi"/>
                <w:b/>
                <w:bCs/>
                <w:color w:val="0000E1"/>
              </w:rPr>
            </w:pPr>
            <w:r w:rsidRPr="0016714A">
              <w:rPr>
                <w:rFonts w:eastAsia="Times New Roman" w:cstheme="minorHAnsi"/>
                <w:color w:val="0000E1"/>
              </w:rPr>
              <w:t xml:space="preserve">Average decile </w:t>
            </w:r>
            <w:proofErr w:type="gramStart"/>
            <w:r w:rsidRPr="0016714A">
              <w:rPr>
                <w:rFonts w:eastAsia="Times New Roman" w:cstheme="minorHAnsi"/>
                <w:color w:val="0000E1"/>
              </w:rPr>
              <w:t>change</w:t>
            </w:r>
            <w:proofErr w:type="gramEnd"/>
            <w:r w:rsidRPr="0016714A">
              <w:rPr>
                <w:rFonts w:eastAsia="Times New Roman" w:cstheme="minorHAnsi"/>
                <w:color w:val="0000E1"/>
              </w:rPr>
              <w:t xml:space="preserve"> for contracts adjusted to a higher decile</w:t>
            </w:r>
          </w:p>
        </w:tc>
        <w:tc>
          <w:tcPr>
            <w:tcW w:w="1800" w:type="dxa"/>
            <w:vAlign w:val="center"/>
          </w:tcPr>
          <w:p w14:paraId="3484B64E" w14:textId="77777777" w:rsidR="00D76076" w:rsidRPr="0016714A" w:rsidRDefault="00D76076" w:rsidP="00D76076">
            <w:pPr>
              <w:autoSpaceDE w:val="0"/>
              <w:autoSpaceDN w:val="0"/>
              <w:adjustRightInd w:val="0"/>
              <w:jc w:val="center"/>
              <w:rPr>
                <w:rFonts w:cstheme="minorHAnsi"/>
                <w:b/>
                <w:bCs/>
                <w:color w:val="0000E1"/>
              </w:rPr>
            </w:pPr>
            <w:r w:rsidRPr="0016714A">
              <w:rPr>
                <w:rFonts w:cs="Calibri"/>
                <w:color w:val="0000E1"/>
              </w:rPr>
              <w:t>1.6</w:t>
            </w:r>
          </w:p>
        </w:tc>
        <w:tc>
          <w:tcPr>
            <w:tcW w:w="1705" w:type="dxa"/>
            <w:vAlign w:val="bottom"/>
          </w:tcPr>
          <w:p w14:paraId="6252A40D" w14:textId="77777777" w:rsidR="00D76076" w:rsidRPr="0016714A" w:rsidRDefault="00D76076" w:rsidP="00D76076">
            <w:pPr>
              <w:autoSpaceDE w:val="0"/>
              <w:autoSpaceDN w:val="0"/>
              <w:adjustRightInd w:val="0"/>
              <w:jc w:val="center"/>
              <w:rPr>
                <w:rFonts w:cstheme="minorHAnsi"/>
                <w:b/>
                <w:bCs/>
                <w:color w:val="0000E1"/>
              </w:rPr>
            </w:pPr>
            <w:r w:rsidRPr="0016714A">
              <w:rPr>
                <w:rFonts w:eastAsia="Times New Roman" w:cstheme="minorHAnsi"/>
                <w:color w:val="0000E1"/>
              </w:rPr>
              <w:t>2.2</w:t>
            </w:r>
          </w:p>
        </w:tc>
      </w:tr>
      <w:tr w:rsidR="00D76076" w:rsidRPr="0016714A" w14:paraId="450052D0" w14:textId="77777777" w:rsidTr="00234468">
        <w:tc>
          <w:tcPr>
            <w:tcW w:w="5845" w:type="dxa"/>
            <w:vAlign w:val="bottom"/>
          </w:tcPr>
          <w:p w14:paraId="38561138" w14:textId="77777777" w:rsidR="00D76076" w:rsidRPr="0016714A" w:rsidRDefault="00D76076" w:rsidP="00D76076">
            <w:pPr>
              <w:autoSpaceDE w:val="0"/>
              <w:autoSpaceDN w:val="0"/>
              <w:adjustRightInd w:val="0"/>
              <w:rPr>
                <w:rFonts w:cstheme="minorHAnsi"/>
                <w:b/>
                <w:bCs/>
                <w:color w:val="0000E1"/>
              </w:rPr>
            </w:pPr>
            <w:r w:rsidRPr="0016714A">
              <w:rPr>
                <w:rFonts w:eastAsia="Times New Roman" w:cstheme="minorHAnsi"/>
                <w:color w:val="0000E1"/>
              </w:rPr>
              <w:t xml:space="preserve">Average decile </w:t>
            </w:r>
            <w:proofErr w:type="gramStart"/>
            <w:r w:rsidRPr="0016714A">
              <w:rPr>
                <w:rFonts w:eastAsia="Times New Roman" w:cstheme="minorHAnsi"/>
                <w:color w:val="0000E1"/>
              </w:rPr>
              <w:t>change</w:t>
            </w:r>
            <w:proofErr w:type="gramEnd"/>
            <w:r w:rsidRPr="0016714A">
              <w:rPr>
                <w:rFonts w:eastAsia="Times New Roman" w:cstheme="minorHAnsi"/>
                <w:color w:val="0000E1"/>
              </w:rPr>
              <w:t xml:space="preserve"> for contracts adjusted to a lower decile</w:t>
            </w:r>
          </w:p>
        </w:tc>
        <w:tc>
          <w:tcPr>
            <w:tcW w:w="1800" w:type="dxa"/>
            <w:vAlign w:val="center"/>
          </w:tcPr>
          <w:p w14:paraId="58DF7153" w14:textId="77777777" w:rsidR="00D76076" w:rsidRPr="0016714A" w:rsidRDefault="00D76076" w:rsidP="00D76076">
            <w:pPr>
              <w:autoSpaceDE w:val="0"/>
              <w:autoSpaceDN w:val="0"/>
              <w:adjustRightInd w:val="0"/>
              <w:jc w:val="center"/>
              <w:rPr>
                <w:rFonts w:cstheme="minorHAnsi"/>
                <w:b/>
                <w:bCs/>
                <w:color w:val="0000E1"/>
              </w:rPr>
            </w:pPr>
            <w:r w:rsidRPr="0016714A">
              <w:rPr>
                <w:rFonts w:cs="Calibri"/>
                <w:color w:val="0000E1"/>
              </w:rPr>
              <w:t>-1.1</w:t>
            </w:r>
          </w:p>
        </w:tc>
        <w:tc>
          <w:tcPr>
            <w:tcW w:w="1705" w:type="dxa"/>
            <w:vAlign w:val="bottom"/>
          </w:tcPr>
          <w:p w14:paraId="0F0B7125" w14:textId="77777777" w:rsidR="00D76076" w:rsidRPr="0016714A" w:rsidRDefault="00D76076" w:rsidP="00D76076">
            <w:pPr>
              <w:autoSpaceDE w:val="0"/>
              <w:autoSpaceDN w:val="0"/>
              <w:adjustRightInd w:val="0"/>
              <w:jc w:val="center"/>
              <w:rPr>
                <w:rFonts w:cstheme="minorHAnsi"/>
                <w:b/>
                <w:bCs/>
                <w:color w:val="0000E1"/>
              </w:rPr>
            </w:pPr>
            <w:r w:rsidRPr="0016714A">
              <w:rPr>
                <w:rFonts w:eastAsia="Times New Roman" w:cstheme="minorHAnsi"/>
                <w:color w:val="0000E1"/>
              </w:rPr>
              <w:t>-1.1</w:t>
            </w:r>
          </w:p>
        </w:tc>
      </w:tr>
    </w:tbl>
    <w:p w14:paraId="3875BC25" w14:textId="77777777" w:rsidR="00DE193D" w:rsidRPr="0016714A" w:rsidRDefault="00DE193D" w:rsidP="00DE193D">
      <w:pPr>
        <w:autoSpaceDE w:val="0"/>
        <w:autoSpaceDN w:val="0"/>
        <w:adjustRightInd w:val="0"/>
        <w:spacing w:after="0" w:line="240" w:lineRule="auto"/>
        <w:rPr>
          <w:rFonts w:cstheme="minorHAnsi"/>
          <w:b/>
          <w:bCs/>
          <w:color w:val="0000E1"/>
        </w:rPr>
      </w:pPr>
    </w:p>
    <w:p w14:paraId="17BFB554" w14:textId="77777777" w:rsidR="00050403" w:rsidRPr="0016714A" w:rsidRDefault="00050403" w:rsidP="00050403">
      <w:pPr>
        <w:autoSpaceDE w:val="0"/>
        <w:autoSpaceDN w:val="0"/>
        <w:adjustRightInd w:val="0"/>
        <w:spacing w:after="0" w:line="240" w:lineRule="auto"/>
        <w:rPr>
          <w:rFonts w:cstheme="minorHAnsi"/>
          <w:b/>
          <w:bCs/>
          <w:color w:val="0000E1"/>
        </w:rPr>
      </w:pPr>
      <w:r w:rsidRPr="0016714A">
        <w:rPr>
          <w:rFonts w:cstheme="minorHAnsi"/>
          <w:b/>
          <w:bCs/>
          <w:color w:val="0000E1"/>
        </w:rPr>
        <w:t xml:space="preserve">Table </w:t>
      </w:r>
      <w:r>
        <w:rPr>
          <w:rFonts w:cstheme="minorHAnsi"/>
          <w:b/>
          <w:bCs/>
          <w:color w:val="0000E1"/>
        </w:rPr>
        <w:t>20</w:t>
      </w:r>
      <w:r w:rsidRPr="0016714A">
        <w:rPr>
          <w:rFonts w:cstheme="minorHAnsi"/>
          <w:b/>
          <w:bCs/>
          <w:color w:val="0000E1"/>
        </w:rPr>
        <w:t xml:space="preserve">. Risk-Adjusted Decile Rankings for 100% </w:t>
      </w:r>
      <w:r>
        <w:rPr>
          <w:rFonts w:cstheme="minorHAnsi"/>
          <w:b/>
          <w:bCs/>
          <w:color w:val="0000E1"/>
        </w:rPr>
        <w:t>vs.</w:t>
      </w:r>
      <w:r w:rsidRPr="0016714A">
        <w:rPr>
          <w:rFonts w:cstheme="minorHAnsi"/>
          <w:b/>
          <w:bCs/>
          <w:color w:val="0000E1"/>
        </w:rPr>
        <w:t xml:space="preserve">5% Sample PDE Datasets – RASA </w:t>
      </w:r>
    </w:p>
    <w:tbl>
      <w:tblPr>
        <w:tblStyle w:val="TableGrid"/>
        <w:tblW w:w="0" w:type="auto"/>
        <w:tblLook w:val="04A0" w:firstRow="1" w:lastRow="0" w:firstColumn="1" w:lastColumn="0" w:noHBand="0" w:noVBand="1"/>
      </w:tblPr>
      <w:tblGrid>
        <w:gridCol w:w="5845"/>
        <w:gridCol w:w="1800"/>
        <w:gridCol w:w="1705"/>
      </w:tblGrid>
      <w:tr w:rsidR="00050403" w:rsidRPr="0016714A" w14:paraId="1715708F" w14:textId="77777777" w:rsidTr="00153788">
        <w:tc>
          <w:tcPr>
            <w:tcW w:w="5845" w:type="dxa"/>
          </w:tcPr>
          <w:p w14:paraId="309C21D9" w14:textId="77777777" w:rsidR="00050403" w:rsidRPr="0016714A" w:rsidRDefault="00050403" w:rsidP="00153788">
            <w:pPr>
              <w:autoSpaceDE w:val="0"/>
              <w:autoSpaceDN w:val="0"/>
              <w:adjustRightInd w:val="0"/>
              <w:rPr>
                <w:rFonts w:cstheme="minorHAnsi"/>
                <w:b/>
                <w:bCs/>
                <w:color w:val="0000E1"/>
              </w:rPr>
            </w:pPr>
          </w:p>
        </w:tc>
        <w:tc>
          <w:tcPr>
            <w:tcW w:w="1800" w:type="dxa"/>
          </w:tcPr>
          <w:p w14:paraId="70CB3C80" w14:textId="69D5DA5B" w:rsidR="00050403" w:rsidRPr="0016714A" w:rsidRDefault="00050403" w:rsidP="00153788">
            <w:pPr>
              <w:autoSpaceDE w:val="0"/>
              <w:autoSpaceDN w:val="0"/>
              <w:adjustRightInd w:val="0"/>
              <w:jc w:val="center"/>
              <w:rPr>
                <w:rFonts w:cstheme="minorHAnsi"/>
                <w:b/>
                <w:bCs/>
                <w:color w:val="0000E1"/>
              </w:rPr>
            </w:pPr>
            <w:r w:rsidRPr="0016714A">
              <w:rPr>
                <w:rFonts w:cstheme="minorHAnsi"/>
                <w:b/>
                <w:bCs/>
                <w:color w:val="0000E1"/>
              </w:rPr>
              <w:t>201</w:t>
            </w:r>
            <w:r w:rsidR="00C450B4">
              <w:rPr>
                <w:rFonts w:cstheme="minorHAnsi"/>
                <w:b/>
                <w:bCs/>
                <w:color w:val="0000E1"/>
              </w:rPr>
              <w:t>6</w:t>
            </w:r>
            <w:r w:rsidRPr="0016714A">
              <w:rPr>
                <w:rFonts w:cstheme="minorHAnsi"/>
                <w:b/>
                <w:bCs/>
                <w:color w:val="0000E1"/>
              </w:rPr>
              <w:t xml:space="preserve"> 5% Sample</w:t>
            </w:r>
          </w:p>
        </w:tc>
        <w:tc>
          <w:tcPr>
            <w:tcW w:w="1705" w:type="dxa"/>
          </w:tcPr>
          <w:p w14:paraId="3FDCDCF5" w14:textId="77777777" w:rsidR="00050403" w:rsidRPr="0016714A" w:rsidRDefault="00050403" w:rsidP="00153788">
            <w:pPr>
              <w:autoSpaceDE w:val="0"/>
              <w:autoSpaceDN w:val="0"/>
              <w:adjustRightInd w:val="0"/>
              <w:jc w:val="center"/>
              <w:rPr>
                <w:rFonts w:cstheme="minorHAnsi"/>
                <w:b/>
                <w:bCs/>
                <w:color w:val="0000E1"/>
              </w:rPr>
            </w:pPr>
            <w:r w:rsidRPr="0016714A">
              <w:rPr>
                <w:rFonts w:cstheme="minorHAnsi"/>
                <w:b/>
                <w:bCs/>
                <w:color w:val="0000E1"/>
              </w:rPr>
              <w:t>2014 100% Data</w:t>
            </w:r>
          </w:p>
        </w:tc>
      </w:tr>
      <w:tr w:rsidR="00050403" w:rsidRPr="0016714A" w14:paraId="26102A87" w14:textId="77777777" w:rsidTr="00153788">
        <w:tc>
          <w:tcPr>
            <w:tcW w:w="5845" w:type="dxa"/>
            <w:vAlign w:val="bottom"/>
          </w:tcPr>
          <w:p w14:paraId="2C8BD15A" w14:textId="77777777" w:rsidR="00050403" w:rsidRPr="0016714A" w:rsidRDefault="00050403" w:rsidP="00153788">
            <w:pPr>
              <w:autoSpaceDE w:val="0"/>
              <w:autoSpaceDN w:val="0"/>
              <w:adjustRightInd w:val="0"/>
              <w:rPr>
                <w:rFonts w:cstheme="minorHAnsi"/>
                <w:b/>
                <w:bCs/>
                <w:color w:val="0000E1"/>
              </w:rPr>
            </w:pPr>
            <w:r w:rsidRPr="0016714A">
              <w:rPr>
                <w:rFonts w:eastAsia="Times New Roman" w:cstheme="minorHAnsi"/>
                <w:color w:val="0000E1"/>
              </w:rPr>
              <w:t xml:space="preserve">Contracts adjusted to a higher decile </w:t>
            </w:r>
          </w:p>
        </w:tc>
        <w:tc>
          <w:tcPr>
            <w:tcW w:w="1800" w:type="dxa"/>
            <w:vAlign w:val="center"/>
          </w:tcPr>
          <w:p w14:paraId="0AEB3467" w14:textId="77777777" w:rsidR="00050403" w:rsidRPr="0016714A" w:rsidRDefault="00050403" w:rsidP="00153788">
            <w:pPr>
              <w:autoSpaceDE w:val="0"/>
              <w:autoSpaceDN w:val="0"/>
              <w:adjustRightInd w:val="0"/>
              <w:jc w:val="center"/>
              <w:rPr>
                <w:rFonts w:cstheme="minorHAnsi"/>
                <w:b/>
                <w:bCs/>
                <w:color w:val="0000E1"/>
              </w:rPr>
            </w:pPr>
            <w:r w:rsidRPr="0016714A">
              <w:rPr>
                <w:rFonts w:cs="Calibri"/>
                <w:color w:val="0000E1"/>
              </w:rPr>
              <w:t>22.7%</w:t>
            </w:r>
          </w:p>
        </w:tc>
        <w:tc>
          <w:tcPr>
            <w:tcW w:w="1705" w:type="dxa"/>
            <w:vAlign w:val="bottom"/>
          </w:tcPr>
          <w:p w14:paraId="7C460A90"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color w:val="0000E1"/>
              </w:rPr>
              <w:t>24.4%</w:t>
            </w:r>
          </w:p>
        </w:tc>
      </w:tr>
      <w:tr w:rsidR="00050403" w:rsidRPr="0016714A" w14:paraId="0AC5A1A1" w14:textId="77777777" w:rsidTr="00153788">
        <w:tc>
          <w:tcPr>
            <w:tcW w:w="5845" w:type="dxa"/>
            <w:vAlign w:val="bottom"/>
          </w:tcPr>
          <w:p w14:paraId="553C4C64" w14:textId="77777777" w:rsidR="00050403" w:rsidRPr="0016714A" w:rsidRDefault="00050403" w:rsidP="00153788">
            <w:pPr>
              <w:autoSpaceDE w:val="0"/>
              <w:autoSpaceDN w:val="0"/>
              <w:adjustRightInd w:val="0"/>
              <w:rPr>
                <w:rFonts w:cstheme="minorHAnsi"/>
                <w:b/>
                <w:bCs/>
                <w:color w:val="0000E1"/>
              </w:rPr>
            </w:pPr>
            <w:r w:rsidRPr="0016714A">
              <w:rPr>
                <w:rFonts w:eastAsia="Times New Roman" w:cstheme="minorHAnsi"/>
                <w:color w:val="0000E1"/>
              </w:rPr>
              <w:t xml:space="preserve">contracts adjusted to a lower decile </w:t>
            </w:r>
          </w:p>
        </w:tc>
        <w:tc>
          <w:tcPr>
            <w:tcW w:w="1800" w:type="dxa"/>
            <w:vAlign w:val="center"/>
          </w:tcPr>
          <w:p w14:paraId="054B7FE2" w14:textId="77777777" w:rsidR="00050403" w:rsidRPr="0016714A" w:rsidRDefault="00050403" w:rsidP="00153788">
            <w:pPr>
              <w:autoSpaceDE w:val="0"/>
              <w:autoSpaceDN w:val="0"/>
              <w:adjustRightInd w:val="0"/>
              <w:jc w:val="center"/>
              <w:rPr>
                <w:rFonts w:cstheme="minorHAnsi"/>
                <w:b/>
                <w:bCs/>
                <w:color w:val="0000E1"/>
              </w:rPr>
            </w:pPr>
            <w:r w:rsidRPr="0016714A">
              <w:rPr>
                <w:rFonts w:cs="Calibri"/>
                <w:color w:val="0000E1"/>
              </w:rPr>
              <w:t>39.4%</w:t>
            </w:r>
          </w:p>
        </w:tc>
        <w:tc>
          <w:tcPr>
            <w:tcW w:w="1705" w:type="dxa"/>
            <w:vAlign w:val="bottom"/>
          </w:tcPr>
          <w:p w14:paraId="3C75B5A0"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color w:val="0000E1"/>
              </w:rPr>
              <w:t>46.8%</w:t>
            </w:r>
          </w:p>
        </w:tc>
      </w:tr>
      <w:tr w:rsidR="00050403" w:rsidRPr="0016714A" w14:paraId="0D207ACA" w14:textId="77777777" w:rsidTr="00153788">
        <w:tc>
          <w:tcPr>
            <w:tcW w:w="5845" w:type="dxa"/>
            <w:vAlign w:val="bottom"/>
          </w:tcPr>
          <w:p w14:paraId="5AD6638C" w14:textId="77777777" w:rsidR="00050403" w:rsidRPr="0016714A" w:rsidRDefault="00050403" w:rsidP="00153788">
            <w:pPr>
              <w:autoSpaceDE w:val="0"/>
              <w:autoSpaceDN w:val="0"/>
              <w:adjustRightInd w:val="0"/>
              <w:rPr>
                <w:rFonts w:cstheme="minorHAnsi"/>
                <w:b/>
                <w:bCs/>
                <w:color w:val="0000E1"/>
              </w:rPr>
            </w:pPr>
            <w:r w:rsidRPr="0016714A">
              <w:rPr>
                <w:rFonts w:eastAsia="Times New Roman" w:cstheme="minorHAnsi"/>
                <w:color w:val="0000E1"/>
              </w:rPr>
              <w:t>contracts adjusted to the same decile</w:t>
            </w:r>
          </w:p>
        </w:tc>
        <w:tc>
          <w:tcPr>
            <w:tcW w:w="1800" w:type="dxa"/>
            <w:vAlign w:val="center"/>
          </w:tcPr>
          <w:p w14:paraId="6DB5C554" w14:textId="77777777" w:rsidR="00050403" w:rsidRPr="0016714A" w:rsidRDefault="00050403" w:rsidP="00153788">
            <w:pPr>
              <w:autoSpaceDE w:val="0"/>
              <w:autoSpaceDN w:val="0"/>
              <w:adjustRightInd w:val="0"/>
              <w:jc w:val="center"/>
              <w:rPr>
                <w:rFonts w:cstheme="minorHAnsi"/>
                <w:b/>
                <w:bCs/>
                <w:color w:val="0000E1"/>
              </w:rPr>
            </w:pPr>
            <w:r w:rsidRPr="0016714A">
              <w:rPr>
                <w:rFonts w:cs="Calibri"/>
                <w:color w:val="0000E1"/>
              </w:rPr>
              <w:t>37.9%</w:t>
            </w:r>
          </w:p>
        </w:tc>
        <w:tc>
          <w:tcPr>
            <w:tcW w:w="1705" w:type="dxa"/>
            <w:vAlign w:val="bottom"/>
          </w:tcPr>
          <w:p w14:paraId="71600EB0"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color w:val="0000E1"/>
              </w:rPr>
              <w:t>28.8%</w:t>
            </w:r>
          </w:p>
        </w:tc>
      </w:tr>
      <w:tr w:rsidR="00050403" w:rsidRPr="0016714A" w14:paraId="3C1DB72B" w14:textId="77777777" w:rsidTr="00153788">
        <w:tc>
          <w:tcPr>
            <w:tcW w:w="5845" w:type="dxa"/>
            <w:vAlign w:val="bottom"/>
          </w:tcPr>
          <w:p w14:paraId="32134CCF" w14:textId="77777777" w:rsidR="00050403" w:rsidRPr="0016714A" w:rsidRDefault="00050403" w:rsidP="00153788">
            <w:pPr>
              <w:autoSpaceDE w:val="0"/>
              <w:autoSpaceDN w:val="0"/>
              <w:adjustRightInd w:val="0"/>
              <w:rPr>
                <w:rFonts w:cstheme="minorHAnsi"/>
                <w:b/>
                <w:bCs/>
                <w:color w:val="0000E1"/>
              </w:rPr>
            </w:pPr>
            <w:r w:rsidRPr="0016714A">
              <w:rPr>
                <w:rFonts w:eastAsia="Times New Roman" w:cstheme="minorHAnsi"/>
                <w:color w:val="0000E1"/>
              </w:rPr>
              <w:t>Average (absolute) change in decile</w:t>
            </w:r>
          </w:p>
        </w:tc>
        <w:tc>
          <w:tcPr>
            <w:tcW w:w="1800" w:type="dxa"/>
            <w:vAlign w:val="center"/>
          </w:tcPr>
          <w:p w14:paraId="2976683C" w14:textId="77777777" w:rsidR="00050403" w:rsidRPr="0016714A" w:rsidRDefault="00050403" w:rsidP="00153788">
            <w:pPr>
              <w:autoSpaceDE w:val="0"/>
              <w:autoSpaceDN w:val="0"/>
              <w:adjustRightInd w:val="0"/>
              <w:jc w:val="center"/>
              <w:rPr>
                <w:rFonts w:cstheme="minorHAnsi"/>
                <w:b/>
                <w:bCs/>
                <w:color w:val="0000E1"/>
              </w:rPr>
            </w:pPr>
            <w:r w:rsidRPr="0016714A">
              <w:rPr>
                <w:rFonts w:cs="Calibri"/>
                <w:color w:val="0000E1"/>
              </w:rPr>
              <w:t>1.0</w:t>
            </w:r>
          </w:p>
        </w:tc>
        <w:tc>
          <w:tcPr>
            <w:tcW w:w="1705" w:type="dxa"/>
            <w:vAlign w:val="bottom"/>
          </w:tcPr>
          <w:p w14:paraId="3E8980C4"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color w:val="0000E1"/>
              </w:rPr>
              <w:t>1.1</w:t>
            </w:r>
          </w:p>
        </w:tc>
      </w:tr>
      <w:tr w:rsidR="00050403" w:rsidRPr="0016714A" w14:paraId="3336C588" w14:textId="77777777" w:rsidTr="00153788">
        <w:tc>
          <w:tcPr>
            <w:tcW w:w="5845" w:type="dxa"/>
            <w:vAlign w:val="bottom"/>
          </w:tcPr>
          <w:p w14:paraId="5B08CFE6" w14:textId="77777777" w:rsidR="00050403" w:rsidRPr="0016714A" w:rsidRDefault="00050403" w:rsidP="00153788">
            <w:pPr>
              <w:autoSpaceDE w:val="0"/>
              <w:autoSpaceDN w:val="0"/>
              <w:adjustRightInd w:val="0"/>
              <w:rPr>
                <w:rFonts w:cstheme="minorHAnsi"/>
                <w:b/>
                <w:bCs/>
                <w:color w:val="0000E1"/>
              </w:rPr>
            </w:pPr>
            <w:r w:rsidRPr="0016714A">
              <w:rPr>
                <w:rFonts w:eastAsia="Times New Roman" w:cstheme="minorHAnsi"/>
                <w:color w:val="0000E1"/>
              </w:rPr>
              <w:t xml:space="preserve">Average decile </w:t>
            </w:r>
            <w:proofErr w:type="gramStart"/>
            <w:r w:rsidRPr="0016714A">
              <w:rPr>
                <w:rFonts w:eastAsia="Times New Roman" w:cstheme="minorHAnsi"/>
                <w:color w:val="0000E1"/>
              </w:rPr>
              <w:t>change</w:t>
            </w:r>
            <w:proofErr w:type="gramEnd"/>
            <w:r w:rsidRPr="0016714A">
              <w:rPr>
                <w:rFonts w:eastAsia="Times New Roman" w:cstheme="minorHAnsi"/>
                <w:color w:val="0000E1"/>
              </w:rPr>
              <w:t xml:space="preserve"> for contracts adjusted to a higher decile</w:t>
            </w:r>
          </w:p>
        </w:tc>
        <w:tc>
          <w:tcPr>
            <w:tcW w:w="1800" w:type="dxa"/>
            <w:vAlign w:val="center"/>
          </w:tcPr>
          <w:p w14:paraId="7C1C9E3E" w14:textId="77777777" w:rsidR="00050403" w:rsidRPr="0016714A" w:rsidRDefault="00050403" w:rsidP="00153788">
            <w:pPr>
              <w:autoSpaceDE w:val="0"/>
              <w:autoSpaceDN w:val="0"/>
              <w:adjustRightInd w:val="0"/>
              <w:jc w:val="center"/>
              <w:rPr>
                <w:rFonts w:cstheme="minorHAnsi"/>
                <w:b/>
                <w:bCs/>
                <w:color w:val="0000E1"/>
              </w:rPr>
            </w:pPr>
            <w:r w:rsidRPr="0016714A">
              <w:rPr>
                <w:rFonts w:cs="Calibri"/>
                <w:color w:val="0000E1"/>
              </w:rPr>
              <w:t>2.2</w:t>
            </w:r>
          </w:p>
        </w:tc>
        <w:tc>
          <w:tcPr>
            <w:tcW w:w="1705" w:type="dxa"/>
            <w:vAlign w:val="bottom"/>
          </w:tcPr>
          <w:p w14:paraId="70EF9BBE"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color w:val="0000E1"/>
              </w:rPr>
              <w:t>2.3</w:t>
            </w:r>
          </w:p>
        </w:tc>
      </w:tr>
      <w:tr w:rsidR="00050403" w:rsidRPr="0016714A" w14:paraId="238B22F9" w14:textId="77777777" w:rsidTr="00153788">
        <w:tc>
          <w:tcPr>
            <w:tcW w:w="5845" w:type="dxa"/>
            <w:vAlign w:val="bottom"/>
          </w:tcPr>
          <w:p w14:paraId="5744AF79" w14:textId="77777777" w:rsidR="00050403" w:rsidRPr="0016714A" w:rsidRDefault="00050403" w:rsidP="00153788">
            <w:pPr>
              <w:autoSpaceDE w:val="0"/>
              <w:autoSpaceDN w:val="0"/>
              <w:adjustRightInd w:val="0"/>
              <w:rPr>
                <w:rFonts w:cstheme="minorHAnsi"/>
                <w:b/>
                <w:bCs/>
                <w:color w:val="0000E1"/>
              </w:rPr>
            </w:pPr>
            <w:r w:rsidRPr="0016714A">
              <w:rPr>
                <w:rFonts w:eastAsia="Times New Roman" w:cstheme="minorHAnsi"/>
                <w:color w:val="0000E1"/>
              </w:rPr>
              <w:t xml:space="preserve">Average decile </w:t>
            </w:r>
            <w:proofErr w:type="gramStart"/>
            <w:r w:rsidRPr="0016714A">
              <w:rPr>
                <w:rFonts w:eastAsia="Times New Roman" w:cstheme="minorHAnsi"/>
                <w:color w:val="0000E1"/>
              </w:rPr>
              <w:t>change</w:t>
            </w:r>
            <w:proofErr w:type="gramEnd"/>
            <w:r w:rsidRPr="0016714A">
              <w:rPr>
                <w:rFonts w:eastAsia="Times New Roman" w:cstheme="minorHAnsi"/>
                <w:color w:val="0000E1"/>
              </w:rPr>
              <w:t xml:space="preserve"> for contracts adjusted to a lower decile</w:t>
            </w:r>
          </w:p>
        </w:tc>
        <w:tc>
          <w:tcPr>
            <w:tcW w:w="1800" w:type="dxa"/>
            <w:vAlign w:val="center"/>
          </w:tcPr>
          <w:p w14:paraId="010C9039" w14:textId="77777777" w:rsidR="00050403" w:rsidRPr="0016714A" w:rsidRDefault="00050403" w:rsidP="00153788">
            <w:pPr>
              <w:autoSpaceDE w:val="0"/>
              <w:autoSpaceDN w:val="0"/>
              <w:adjustRightInd w:val="0"/>
              <w:jc w:val="center"/>
              <w:rPr>
                <w:rFonts w:cstheme="minorHAnsi"/>
                <w:b/>
                <w:bCs/>
                <w:color w:val="0000E1"/>
              </w:rPr>
            </w:pPr>
            <w:r w:rsidRPr="0016714A">
              <w:rPr>
                <w:rFonts w:cs="Calibri"/>
                <w:color w:val="0000E1"/>
              </w:rPr>
              <w:t>-1.3</w:t>
            </w:r>
          </w:p>
        </w:tc>
        <w:tc>
          <w:tcPr>
            <w:tcW w:w="1705" w:type="dxa"/>
            <w:vAlign w:val="bottom"/>
          </w:tcPr>
          <w:p w14:paraId="5A059753" w14:textId="77777777" w:rsidR="00050403" w:rsidRPr="0016714A" w:rsidRDefault="00050403" w:rsidP="00153788">
            <w:pPr>
              <w:autoSpaceDE w:val="0"/>
              <w:autoSpaceDN w:val="0"/>
              <w:adjustRightInd w:val="0"/>
              <w:jc w:val="center"/>
              <w:rPr>
                <w:rFonts w:cstheme="minorHAnsi"/>
                <w:b/>
                <w:bCs/>
                <w:color w:val="0000E1"/>
              </w:rPr>
            </w:pPr>
            <w:r w:rsidRPr="0016714A">
              <w:rPr>
                <w:rFonts w:eastAsia="Times New Roman" w:cstheme="minorHAnsi"/>
                <w:color w:val="0000E1"/>
              </w:rPr>
              <w:t>-1.2</w:t>
            </w:r>
          </w:p>
        </w:tc>
      </w:tr>
    </w:tbl>
    <w:p w14:paraId="2BC964E7" w14:textId="77777777" w:rsidR="00050403" w:rsidRDefault="00050403" w:rsidP="00D76076">
      <w:pPr>
        <w:autoSpaceDE w:val="0"/>
        <w:autoSpaceDN w:val="0"/>
        <w:adjustRightInd w:val="0"/>
        <w:spacing w:after="0" w:line="240" w:lineRule="auto"/>
        <w:rPr>
          <w:rFonts w:cstheme="minorHAnsi"/>
          <w:b/>
          <w:bCs/>
          <w:color w:val="0000E1"/>
        </w:rPr>
      </w:pPr>
    </w:p>
    <w:p w14:paraId="6830BF77" w14:textId="77777777" w:rsidR="00D76076" w:rsidRPr="0016714A" w:rsidRDefault="00D76076" w:rsidP="00D76076">
      <w:pPr>
        <w:autoSpaceDE w:val="0"/>
        <w:autoSpaceDN w:val="0"/>
        <w:adjustRightInd w:val="0"/>
        <w:spacing w:after="0" w:line="240" w:lineRule="auto"/>
        <w:rPr>
          <w:rFonts w:cstheme="minorHAnsi"/>
          <w:b/>
          <w:bCs/>
          <w:color w:val="0000E1"/>
        </w:rPr>
      </w:pPr>
      <w:r w:rsidRPr="0016714A">
        <w:rPr>
          <w:rFonts w:cstheme="minorHAnsi"/>
          <w:b/>
          <w:bCs/>
          <w:color w:val="0000E1"/>
        </w:rPr>
        <w:t xml:space="preserve">Table </w:t>
      </w:r>
      <w:r w:rsidR="00F910A0" w:rsidRPr="0016714A">
        <w:rPr>
          <w:rFonts w:cstheme="minorHAnsi"/>
          <w:b/>
          <w:bCs/>
          <w:color w:val="0000E1"/>
        </w:rPr>
        <w:t>2</w:t>
      </w:r>
      <w:r w:rsidR="00050403">
        <w:rPr>
          <w:rFonts w:cstheme="minorHAnsi"/>
          <w:b/>
          <w:bCs/>
          <w:color w:val="0000E1"/>
        </w:rPr>
        <w:t>1</w:t>
      </w:r>
      <w:r w:rsidRPr="0016714A">
        <w:rPr>
          <w:rFonts w:cstheme="minorHAnsi"/>
          <w:b/>
          <w:bCs/>
          <w:color w:val="0000E1"/>
        </w:rPr>
        <w:t xml:space="preserve">. Risk-Adjusted Decile Rankings for 100% </w:t>
      </w:r>
      <w:r w:rsidR="00DA0358">
        <w:rPr>
          <w:rFonts w:cstheme="minorHAnsi"/>
          <w:b/>
          <w:bCs/>
          <w:color w:val="0000E1"/>
        </w:rPr>
        <w:t>vs.</w:t>
      </w:r>
      <w:r w:rsidRPr="0016714A">
        <w:rPr>
          <w:rFonts w:cstheme="minorHAnsi"/>
          <w:b/>
          <w:bCs/>
          <w:color w:val="0000E1"/>
        </w:rPr>
        <w:t xml:space="preserve">5% Sample PDE Datasets – Statins </w:t>
      </w:r>
    </w:p>
    <w:tbl>
      <w:tblPr>
        <w:tblStyle w:val="TableGrid"/>
        <w:tblW w:w="0" w:type="auto"/>
        <w:tblLook w:val="04A0" w:firstRow="1" w:lastRow="0" w:firstColumn="1" w:lastColumn="0" w:noHBand="0" w:noVBand="1"/>
      </w:tblPr>
      <w:tblGrid>
        <w:gridCol w:w="5845"/>
        <w:gridCol w:w="1800"/>
        <w:gridCol w:w="1705"/>
      </w:tblGrid>
      <w:tr w:rsidR="00D76076" w:rsidRPr="0016714A" w14:paraId="1C5BBD91" w14:textId="77777777" w:rsidTr="00234468">
        <w:tc>
          <w:tcPr>
            <w:tcW w:w="5845" w:type="dxa"/>
          </w:tcPr>
          <w:p w14:paraId="312E385C" w14:textId="77777777" w:rsidR="00D76076" w:rsidRPr="0016714A" w:rsidRDefault="00D76076" w:rsidP="00234468">
            <w:pPr>
              <w:autoSpaceDE w:val="0"/>
              <w:autoSpaceDN w:val="0"/>
              <w:adjustRightInd w:val="0"/>
              <w:rPr>
                <w:rFonts w:cstheme="minorHAnsi"/>
                <w:b/>
                <w:bCs/>
                <w:color w:val="0000E1"/>
              </w:rPr>
            </w:pPr>
          </w:p>
        </w:tc>
        <w:tc>
          <w:tcPr>
            <w:tcW w:w="1800" w:type="dxa"/>
          </w:tcPr>
          <w:p w14:paraId="5534EC20" w14:textId="06BF54D0" w:rsidR="00D76076" w:rsidRPr="0016714A" w:rsidRDefault="00D76076" w:rsidP="00234468">
            <w:pPr>
              <w:autoSpaceDE w:val="0"/>
              <w:autoSpaceDN w:val="0"/>
              <w:adjustRightInd w:val="0"/>
              <w:jc w:val="center"/>
              <w:rPr>
                <w:rFonts w:cstheme="minorHAnsi"/>
                <w:b/>
                <w:bCs/>
                <w:color w:val="0000E1"/>
              </w:rPr>
            </w:pPr>
            <w:r w:rsidRPr="0016714A">
              <w:rPr>
                <w:rFonts w:cstheme="minorHAnsi"/>
                <w:b/>
                <w:bCs/>
                <w:color w:val="0000E1"/>
              </w:rPr>
              <w:t>201</w:t>
            </w:r>
            <w:r w:rsidR="00C450B4">
              <w:rPr>
                <w:rFonts w:cstheme="minorHAnsi"/>
                <w:b/>
                <w:bCs/>
                <w:color w:val="0000E1"/>
              </w:rPr>
              <w:t>6</w:t>
            </w:r>
            <w:r w:rsidRPr="0016714A">
              <w:rPr>
                <w:rFonts w:cstheme="minorHAnsi"/>
                <w:b/>
                <w:bCs/>
                <w:color w:val="0000E1"/>
              </w:rPr>
              <w:t xml:space="preserve"> 5% Sample</w:t>
            </w:r>
          </w:p>
        </w:tc>
        <w:tc>
          <w:tcPr>
            <w:tcW w:w="1705" w:type="dxa"/>
          </w:tcPr>
          <w:p w14:paraId="6A536522" w14:textId="77777777" w:rsidR="00D76076" w:rsidRPr="0016714A" w:rsidRDefault="00D76076" w:rsidP="00234468">
            <w:pPr>
              <w:autoSpaceDE w:val="0"/>
              <w:autoSpaceDN w:val="0"/>
              <w:adjustRightInd w:val="0"/>
              <w:jc w:val="center"/>
              <w:rPr>
                <w:rFonts w:cstheme="minorHAnsi"/>
                <w:b/>
                <w:bCs/>
                <w:color w:val="0000E1"/>
              </w:rPr>
            </w:pPr>
            <w:r w:rsidRPr="0016714A">
              <w:rPr>
                <w:rFonts w:cstheme="minorHAnsi"/>
                <w:b/>
                <w:bCs/>
                <w:color w:val="0000E1"/>
              </w:rPr>
              <w:t>2014 100% Data</w:t>
            </w:r>
          </w:p>
        </w:tc>
      </w:tr>
      <w:tr w:rsidR="00D116A5" w:rsidRPr="0016714A" w14:paraId="59956296" w14:textId="77777777" w:rsidTr="00234468">
        <w:tc>
          <w:tcPr>
            <w:tcW w:w="5845" w:type="dxa"/>
            <w:vAlign w:val="bottom"/>
          </w:tcPr>
          <w:p w14:paraId="068432F4" w14:textId="77777777" w:rsidR="00D116A5" w:rsidRPr="0016714A" w:rsidRDefault="00D116A5" w:rsidP="00D116A5">
            <w:pPr>
              <w:autoSpaceDE w:val="0"/>
              <w:autoSpaceDN w:val="0"/>
              <w:adjustRightInd w:val="0"/>
              <w:rPr>
                <w:rFonts w:cstheme="minorHAnsi"/>
                <w:b/>
                <w:bCs/>
                <w:color w:val="0000E1"/>
              </w:rPr>
            </w:pPr>
            <w:r w:rsidRPr="0016714A">
              <w:rPr>
                <w:rFonts w:eastAsia="Times New Roman" w:cstheme="minorHAnsi"/>
                <w:color w:val="0000E1"/>
              </w:rPr>
              <w:t xml:space="preserve">Contracts adjusted to a higher decile </w:t>
            </w:r>
          </w:p>
        </w:tc>
        <w:tc>
          <w:tcPr>
            <w:tcW w:w="1800" w:type="dxa"/>
            <w:vAlign w:val="center"/>
          </w:tcPr>
          <w:p w14:paraId="18A374DD" w14:textId="77777777" w:rsidR="00D116A5" w:rsidRPr="0016714A" w:rsidRDefault="00D116A5" w:rsidP="00D116A5">
            <w:pPr>
              <w:autoSpaceDE w:val="0"/>
              <w:autoSpaceDN w:val="0"/>
              <w:adjustRightInd w:val="0"/>
              <w:jc w:val="center"/>
              <w:rPr>
                <w:rFonts w:cstheme="minorHAnsi"/>
                <w:b/>
                <w:bCs/>
                <w:color w:val="0000E1"/>
              </w:rPr>
            </w:pPr>
            <w:r w:rsidRPr="0016714A">
              <w:rPr>
                <w:rFonts w:cs="Calibri"/>
                <w:color w:val="0000E1"/>
              </w:rPr>
              <w:t>22.9%</w:t>
            </w:r>
          </w:p>
        </w:tc>
        <w:tc>
          <w:tcPr>
            <w:tcW w:w="1705" w:type="dxa"/>
            <w:vAlign w:val="bottom"/>
          </w:tcPr>
          <w:p w14:paraId="51C6FAEE" w14:textId="77777777" w:rsidR="00D116A5" w:rsidRPr="0016714A" w:rsidRDefault="00D116A5" w:rsidP="00D116A5">
            <w:pPr>
              <w:autoSpaceDE w:val="0"/>
              <w:autoSpaceDN w:val="0"/>
              <w:adjustRightInd w:val="0"/>
              <w:jc w:val="center"/>
              <w:rPr>
                <w:rFonts w:cstheme="minorHAnsi"/>
                <w:b/>
                <w:bCs/>
                <w:color w:val="0000E1"/>
              </w:rPr>
            </w:pPr>
            <w:r w:rsidRPr="0016714A">
              <w:rPr>
                <w:rFonts w:eastAsia="Times New Roman" w:cstheme="minorHAnsi"/>
                <w:color w:val="0000E1"/>
              </w:rPr>
              <w:t>20.6%</w:t>
            </w:r>
          </w:p>
        </w:tc>
      </w:tr>
      <w:tr w:rsidR="00D116A5" w:rsidRPr="0016714A" w14:paraId="4022B714" w14:textId="77777777" w:rsidTr="00234468">
        <w:tc>
          <w:tcPr>
            <w:tcW w:w="5845" w:type="dxa"/>
            <w:vAlign w:val="bottom"/>
          </w:tcPr>
          <w:p w14:paraId="52F4046F" w14:textId="77777777" w:rsidR="00D116A5" w:rsidRPr="0016714A" w:rsidRDefault="00D116A5" w:rsidP="00D116A5">
            <w:pPr>
              <w:autoSpaceDE w:val="0"/>
              <w:autoSpaceDN w:val="0"/>
              <w:adjustRightInd w:val="0"/>
              <w:rPr>
                <w:rFonts w:cstheme="minorHAnsi"/>
                <w:b/>
                <w:bCs/>
                <w:color w:val="0000E1"/>
              </w:rPr>
            </w:pPr>
            <w:r w:rsidRPr="0016714A">
              <w:rPr>
                <w:rFonts w:eastAsia="Times New Roman" w:cstheme="minorHAnsi"/>
                <w:color w:val="0000E1"/>
              </w:rPr>
              <w:t xml:space="preserve">contracts adjusted to a lower decile </w:t>
            </w:r>
          </w:p>
        </w:tc>
        <w:tc>
          <w:tcPr>
            <w:tcW w:w="1800" w:type="dxa"/>
            <w:vAlign w:val="center"/>
          </w:tcPr>
          <w:p w14:paraId="765AFE66" w14:textId="77777777" w:rsidR="00D116A5" w:rsidRPr="0016714A" w:rsidRDefault="00D116A5" w:rsidP="00D116A5">
            <w:pPr>
              <w:autoSpaceDE w:val="0"/>
              <w:autoSpaceDN w:val="0"/>
              <w:adjustRightInd w:val="0"/>
              <w:jc w:val="center"/>
              <w:rPr>
                <w:rFonts w:cstheme="minorHAnsi"/>
                <w:b/>
                <w:bCs/>
                <w:color w:val="0000E1"/>
              </w:rPr>
            </w:pPr>
            <w:r w:rsidRPr="0016714A">
              <w:rPr>
                <w:rFonts w:cs="Calibri"/>
                <w:color w:val="0000E1"/>
              </w:rPr>
              <w:t>35.4%</w:t>
            </w:r>
          </w:p>
        </w:tc>
        <w:tc>
          <w:tcPr>
            <w:tcW w:w="1705" w:type="dxa"/>
            <w:vAlign w:val="bottom"/>
          </w:tcPr>
          <w:p w14:paraId="1BDE745C" w14:textId="77777777" w:rsidR="00D116A5" w:rsidRPr="0016714A" w:rsidRDefault="00D116A5" w:rsidP="00D116A5">
            <w:pPr>
              <w:autoSpaceDE w:val="0"/>
              <w:autoSpaceDN w:val="0"/>
              <w:adjustRightInd w:val="0"/>
              <w:jc w:val="center"/>
              <w:rPr>
                <w:rFonts w:cstheme="minorHAnsi"/>
                <w:b/>
                <w:bCs/>
                <w:color w:val="0000E1"/>
              </w:rPr>
            </w:pPr>
            <w:r w:rsidRPr="0016714A">
              <w:rPr>
                <w:rFonts w:eastAsia="Times New Roman" w:cstheme="minorHAnsi"/>
                <w:color w:val="0000E1"/>
              </w:rPr>
              <w:t>36.9%</w:t>
            </w:r>
          </w:p>
        </w:tc>
      </w:tr>
      <w:tr w:rsidR="00D116A5" w:rsidRPr="0016714A" w14:paraId="350F39B2" w14:textId="77777777" w:rsidTr="00234468">
        <w:tc>
          <w:tcPr>
            <w:tcW w:w="5845" w:type="dxa"/>
            <w:vAlign w:val="bottom"/>
          </w:tcPr>
          <w:p w14:paraId="0ED642F3" w14:textId="77777777" w:rsidR="00D116A5" w:rsidRPr="0016714A" w:rsidRDefault="00D116A5" w:rsidP="00D116A5">
            <w:pPr>
              <w:autoSpaceDE w:val="0"/>
              <w:autoSpaceDN w:val="0"/>
              <w:adjustRightInd w:val="0"/>
              <w:rPr>
                <w:rFonts w:cstheme="minorHAnsi"/>
                <w:b/>
                <w:bCs/>
                <w:color w:val="0000E1"/>
              </w:rPr>
            </w:pPr>
            <w:r w:rsidRPr="0016714A">
              <w:rPr>
                <w:rFonts w:eastAsia="Times New Roman" w:cstheme="minorHAnsi"/>
                <w:color w:val="0000E1"/>
              </w:rPr>
              <w:t>contracts adjusted to the same decile</w:t>
            </w:r>
          </w:p>
        </w:tc>
        <w:tc>
          <w:tcPr>
            <w:tcW w:w="1800" w:type="dxa"/>
            <w:vAlign w:val="center"/>
          </w:tcPr>
          <w:p w14:paraId="4CD31F18" w14:textId="77777777" w:rsidR="00D116A5" w:rsidRPr="0016714A" w:rsidRDefault="00D116A5" w:rsidP="00D116A5">
            <w:pPr>
              <w:autoSpaceDE w:val="0"/>
              <w:autoSpaceDN w:val="0"/>
              <w:adjustRightInd w:val="0"/>
              <w:jc w:val="center"/>
              <w:rPr>
                <w:rFonts w:cstheme="minorHAnsi"/>
                <w:b/>
                <w:bCs/>
                <w:color w:val="0000E1"/>
              </w:rPr>
            </w:pPr>
            <w:r w:rsidRPr="0016714A">
              <w:rPr>
                <w:rFonts w:cs="Calibri"/>
                <w:color w:val="0000E1"/>
              </w:rPr>
              <w:t>41.7%</w:t>
            </w:r>
          </w:p>
        </w:tc>
        <w:tc>
          <w:tcPr>
            <w:tcW w:w="1705" w:type="dxa"/>
            <w:vAlign w:val="bottom"/>
          </w:tcPr>
          <w:p w14:paraId="5A5CCC1C" w14:textId="77777777" w:rsidR="00D116A5" w:rsidRPr="0016714A" w:rsidRDefault="00D116A5" w:rsidP="00D116A5">
            <w:pPr>
              <w:autoSpaceDE w:val="0"/>
              <w:autoSpaceDN w:val="0"/>
              <w:adjustRightInd w:val="0"/>
              <w:jc w:val="center"/>
              <w:rPr>
                <w:rFonts w:cstheme="minorHAnsi"/>
                <w:b/>
                <w:bCs/>
                <w:color w:val="0000E1"/>
              </w:rPr>
            </w:pPr>
            <w:r w:rsidRPr="0016714A">
              <w:rPr>
                <w:rFonts w:eastAsia="Times New Roman" w:cstheme="minorHAnsi"/>
                <w:color w:val="0000E1"/>
              </w:rPr>
              <w:t>42.5%</w:t>
            </w:r>
          </w:p>
        </w:tc>
      </w:tr>
      <w:tr w:rsidR="00D116A5" w:rsidRPr="0016714A" w14:paraId="70F3B93A" w14:textId="77777777" w:rsidTr="00234468">
        <w:tc>
          <w:tcPr>
            <w:tcW w:w="5845" w:type="dxa"/>
            <w:vAlign w:val="bottom"/>
          </w:tcPr>
          <w:p w14:paraId="24252E3E" w14:textId="77777777" w:rsidR="00D116A5" w:rsidRPr="0016714A" w:rsidRDefault="00D116A5" w:rsidP="00D116A5">
            <w:pPr>
              <w:autoSpaceDE w:val="0"/>
              <w:autoSpaceDN w:val="0"/>
              <w:adjustRightInd w:val="0"/>
              <w:rPr>
                <w:rFonts w:cstheme="minorHAnsi"/>
                <w:b/>
                <w:bCs/>
                <w:color w:val="0000E1"/>
              </w:rPr>
            </w:pPr>
            <w:r w:rsidRPr="0016714A">
              <w:rPr>
                <w:rFonts w:eastAsia="Times New Roman" w:cstheme="minorHAnsi"/>
                <w:color w:val="0000E1"/>
              </w:rPr>
              <w:t>Average (absolute) change in decile</w:t>
            </w:r>
          </w:p>
        </w:tc>
        <w:tc>
          <w:tcPr>
            <w:tcW w:w="1800" w:type="dxa"/>
            <w:vAlign w:val="center"/>
          </w:tcPr>
          <w:p w14:paraId="416BCC6D" w14:textId="77777777" w:rsidR="00D116A5" w:rsidRPr="0016714A" w:rsidRDefault="00D116A5" w:rsidP="00D116A5">
            <w:pPr>
              <w:autoSpaceDE w:val="0"/>
              <w:autoSpaceDN w:val="0"/>
              <w:adjustRightInd w:val="0"/>
              <w:jc w:val="center"/>
              <w:rPr>
                <w:rFonts w:cstheme="minorHAnsi"/>
                <w:b/>
                <w:bCs/>
                <w:color w:val="0000E1"/>
              </w:rPr>
            </w:pPr>
            <w:r w:rsidRPr="0016714A">
              <w:rPr>
                <w:rFonts w:cs="Calibri"/>
                <w:color w:val="0000E1"/>
              </w:rPr>
              <w:t>0.8</w:t>
            </w:r>
          </w:p>
        </w:tc>
        <w:tc>
          <w:tcPr>
            <w:tcW w:w="1705" w:type="dxa"/>
            <w:vAlign w:val="bottom"/>
          </w:tcPr>
          <w:p w14:paraId="5F8E4B83" w14:textId="77777777" w:rsidR="00D116A5" w:rsidRPr="0016714A" w:rsidRDefault="00D116A5" w:rsidP="00D116A5">
            <w:pPr>
              <w:autoSpaceDE w:val="0"/>
              <w:autoSpaceDN w:val="0"/>
              <w:adjustRightInd w:val="0"/>
              <w:jc w:val="center"/>
              <w:rPr>
                <w:rFonts w:cstheme="minorHAnsi"/>
                <w:b/>
                <w:bCs/>
                <w:color w:val="0000E1"/>
              </w:rPr>
            </w:pPr>
            <w:r w:rsidRPr="0016714A">
              <w:rPr>
                <w:rFonts w:eastAsia="Times New Roman" w:cstheme="minorHAnsi"/>
                <w:color w:val="0000E1"/>
              </w:rPr>
              <w:t>0.8</w:t>
            </w:r>
          </w:p>
        </w:tc>
      </w:tr>
      <w:tr w:rsidR="00D116A5" w:rsidRPr="0016714A" w14:paraId="2E912262" w14:textId="77777777" w:rsidTr="00234468">
        <w:tc>
          <w:tcPr>
            <w:tcW w:w="5845" w:type="dxa"/>
            <w:vAlign w:val="bottom"/>
          </w:tcPr>
          <w:p w14:paraId="5115E1B4" w14:textId="77777777" w:rsidR="00D116A5" w:rsidRPr="0016714A" w:rsidRDefault="00D116A5" w:rsidP="00D116A5">
            <w:pPr>
              <w:autoSpaceDE w:val="0"/>
              <w:autoSpaceDN w:val="0"/>
              <w:adjustRightInd w:val="0"/>
              <w:rPr>
                <w:rFonts w:cstheme="minorHAnsi"/>
                <w:b/>
                <w:bCs/>
                <w:color w:val="0000E1"/>
              </w:rPr>
            </w:pPr>
            <w:r w:rsidRPr="0016714A">
              <w:rPr>
                <w:rFonts w:eastAsia="Times New Roman" w:cstheme="minorHAnsi"/>
                <w:color w:val="0000E1"/>
              </w:rPr>
              <w:t xml:space="preserve">Average decile </w:t>
            </w:r>
            <w:proofErr w:type="gramStart"/>
            <w:r w:rsidRPr="0016714A">
              <w:rPr>
                <w:rFonts w:eastAsia="Times New Roman" w:cstheme="minorHAnsi"/>
                <w:color w:val="0000E1"/>
              </w:rPr>
              <w:t>change</w:t>
            </w:r>
            <w:proofErr w:type="gramEnd"/>
            <w:r w:rsidRPr="0016714A">
              <w:rPr>
                <w:rFonts w:eastAsia="Times New Roman" w:cstheme="minorHAnsi"/>
                <w:color w:val="0000E1"/>
              </w:rPr>
              <w:t xml:space="preserve"> for contracts adjusted to a higher decile</w:t>
            </w:r>
          </w:p>
        </w:tc>
        <w:tc>
          <w:tcPr>
            <w:tcW w:w="1800" w:type="dxa"/>
            <w:vAlign w:val="center"/>
          </w:tcPr>
          <w:p w14:paraId="4F808524" w14:textId="77777777" w:rsidR="00D116A5" w:rsidRPr="0016714A" w:rsidRDefault="00D116A5" w:rsidP="00D116A5">
            <w:pPr>
              <w:autoSpaceDE w:val="0"/>
              <w:autoSpaceDN w:val="0"/>
              <w:adjustRightInd w:val="0"/>
              <w:jc w:val="center"/>
              <w:rPr>
                <w:rFonts w:cstheme="minorHAnsi"/>
                <w:b/>
                <w:bCs/>
                <w:color w:val="0000E1"/>
              </w:rPr>
            </w:pPr>
            <w:r w:rsidRPr="0016714A">
              <w:rPr>
                <w:rFonts w:cs="Calibri"/>
                <w:color w:val="0000E1"/>
              </w:rPr>
              <w:t>1.8</w:t>
            </w:r>
          </w:p>
        </w:tc>
        <w:tc>
          <w:tcPr>
            <w:tcW w:w="1705" w:type="dxa"/>
            <w:vAlign w:val="bottom"/>
          </w:tcPr>
          <w:p w14:paraId="10808C40" w14:textId="77777777" w:rsidR="00D116A5" w:rsidRPr="0016714A" w:rsidRDefault="00D116A5" w:rsidP="00D116A5">
            <w:pPr>
              <w:autoSpaceDE w:val="0"/>
              <w:autoSpaceDN w:val="0"/>
              <w:adjustRightInd w:val="0"/>
              <w:jc w:val="center"/>
              <w:rPr>
                <w:rFonts w:cstheme="minorHAnsi"/>
                <w:b/>
                <w:bCs/>
                <w:color w:val="0000E1"/>
              </w:rPr>
            </w:pPr>
            <w:r w:rsidRPr="0016714A">
              <w:rPr>
                <w:rFonts w:eastAsia="Times New Roman" w:cstheme="minorHAnsi"/>
                <w:color w:val="0000E1"/>
              </w:rPr>
              <w:t>1.9</w:t>
            </w:r>
          </w:p>
        </w:tc>
      </w:tr>
      <w:tr w:rsidR="00D116A5" w:rsidRPr="0016714A" w14:paraId="2F38F726" w14:textId="77777777" w:rsidTr="00234468">
        <w:tc>
          <w:tcPr>
            <w:tcW w:w="5845" w:type="dxa"/>
            <w:vAlign w:val="bottom"/>
          </w:tcPr>
          <w:p w14:paraId="10E0C6BF" w14:textId="77777777" w:rsidR="00D116A5" w:rsidRPr="0016714A" w:rsidRDefault="00D116A5" w:rsidP="00D116A5">
            <w:pPr>
              <w:autoSpaceDE w:val="0"/>
              <w:autoSpaceDN w:val="0"/>
              <w:adjustRightInd w:val="0"/>
              <w:rPr>
                <w:rFonts w:cstheme="minorHAnsi"/>
                <w:b/>
                <w:bCs/>
                <w:color w:val="0000E1"/>
              </w:rPr>
            </w:pPr>
            <w:r w:rsidRPr="0016714A">
              <w:rPr>
                <w:rFonts w:eastAsia="Times New Roman" w:cstheme="minorHAnsi"/>
                <w:color w:val="0000E1"/>
              </w:rPr>
              <w:t xml:space="preserve">Average decile </w:t>
            </w:r>
            <w:proofErr w:type="gramStart"/>
            <w:r w:rsidRPr="0016714A">
              <w:rPr>
                <w:rFonts w:eastAsia="Times New Roman" w:cstheme="minorHAnsi"/>
                <w:color w:val="0000E1"/>
              </w:rPr>
              <w:t>change</w:t>
            </w:r>
            <w:proofErr w:type="gramEnd"/>
            <w:r w:rsidRPr="0016714A">
              <w:rPr>
                <w:rFonts w:eastAsia="Times New Roman" w:cstheme="minorHAnsi"/>
                <w:color w:val="0000E1"/>
              </w:rPr>
              <w:t xml:space="preserve"> for contracts adjusted to a lower decile</w:t>
            </w:r>
          </w:p>
        </w:tc>
        <w:tc>
          <w:tcPr>
            <w:tcW w:w="1800" w:type="dxa"/>
            <w:vAlign w:val="center"/>
          </w:tcPr>
          <w:p w14:paraId="1A354942" w14:textId="77777777" w:rsidR="00D116A5" w:rsidRPr="0016714A" w:rsidRDefault="00D116A5" w:rsidP="00D116A5">
            <w:pPr>
              <w:autoSpaceDE w:val="0"/>
              <w:autoSpaceDN w:val="0"/>
              <w:adjustRightInd w:val="0"/>
              <w:jc w:val="center"/>
              <w:rPr>
                <w:rFonts w:cstheme="minorHAnsi"/>
                <w:b/>
                <w:bCs/>
                <w:color w:val="0000E1"/>
              </w:rPr>
            </w:pPr>
            <w:r w:rsidRPr="0016714A">
              <w:rPr>
                <w:rFonts w:cs="Calibri"/>
                <w:color w:val="0000E1"/>
              </w:rPr>
              <w:t>-1.2</w:t>
            </w:r>
          </w:p>
        </w:tc>
        <w:tc>
          <w:tcPr>
            <w:tcW w:w="1705" w:type="dxa"/>
            <w:vAlign w:val="bottom"/>
          </w:tcPr>
          <w:p w14:paraId="0948217A" w14:textId="77777777" w:rsidR="00D116A5" w:rsidRPr="0016714A" w:rsidRDefault="00D116A5" w:rsidP="00D116A5">
            <w:pPr>
              <w:autoSpaceDE w:val="0"/>
              <w:autoSpaceDN w:val="0"/>
              <w:adjustRightInd w:val="0"/>
              <w:jc w:val="center"/>
              <w:rPr>
                <w:rFonts w:cstheme="minorHAnsi"/>
                <w:b/>
                <w:bCs/>
                <w:color w:val="0000E1"/>
              </w:rPr>
            </w:pPr>
            <w:r w:rsidRPr="0016714A">
              <w:rPr>
                <w:rFonts w:eastAsia="Times New Roman" w:cstheme="minorHAnsi"/>
                <w:color w:val="0000E1"/>
              </w:rPr>
              <w:t>-1.1</w:t>
            </w:r>
          </w:p>
        </w:tc>
      </w:tr>
    </w:tbl>
    <w:p w14:paraId="376E3EA1" w14:textId="77777777" w:rsidR="00DE193D" w:rsidRPr="0016714A" w:rsidRDefault="00DE193D" w:rsidP="00DE193D">
      <w:pPr>
        <w:autoSpaceDE w:val="0"/>
        <w:autoSpaceDN w:val="0"/>
        <w:adjustRightInd w:val="0"/>
        <w:spacing w:after="0" w:line="240" w:lineRule="auto"/>
        <w:rPr>
          <w:rFonts w:cstheme="minorHAnsi"/>
          <w:b/>
          <w:bCs/>
          <w:color w:val="0000E1"/>
        </w:rPr>
      </w:pPr>
    </w:p>
    <w:p w14:paraId="1B656774" w14:textId="77777777" w:rsidR="00D61410" w:rsidRPr="00A25024" w:rsidRDefault="00D61410" w:rsidP="00FE69EC">
      <w:pPr>
        <w:rPr>
          <w:rFonts w:cstheme="minorHAnsi"/>
          <w:bCs/>
        </w:rPr>
      </w:pPr>
      <w:r>
        <w:rPr>
          <w:rFonts w:cstheme="minorHAnsi"/>
          <w:bCs/>
        </w:rPr>
        <w:t>_______________________</w:t>
      </w:r>
    </w:p>
    <w:p w14:paraId="1C3E9320" w14:textId="7BB70E8E" w:rsidR="00DD0554" w:rsidRDefault="00DD0554" w:rsidP="00D61410">
      <w:pPr>
        <w:autoSpaceDE w:val="0"/>
        <w:autoSpaceDN w:val="0"/>
        <w:adjustRightInd w:val="0"/>
        <w:spacing w:after="0" w:line="240" w:lineRule="auto"/>
        <w:rPr>
          <w:rFonts w:cstheme="minorHAnsi"/>
          <w:b/>
          <w:bCs/>
        </w:rPr>
      </w:pPr>
      <w:bookmarkStart w:id="15" w:name="section2b5"/>
      <w:bookmarkEnd w:id="15"/>
    </w:p>
    <w:p w14:paraId="38B64BA8" w14:textId="77777777" w:rsidR="00B0228D" w:rsidRDefault="00B0228D" w:rsidP="00D61410">
      <w:pPr>
        <w:autoSpaceDE w:val="0"/>
        <w:autoSpaceDN w:val="0"/>
        <w:adjustRightInd w:val="0"/>
        <w:spacing w:after="0" w:line="240" w:lineRule="auto"/>
        <w:rPr>
          <w:rFonts w:cstheme="minorHAnsi"/>
          <w:b/>
          <w:bCs/>
        </w:rPr>
      </w:pPr>
    </w:p>
    <w:p w14:paraId="19AE59ED" w14:textId="4B55948C" w:rsidR="00D61410" w:rsidRDefault="009C7513" w:rsidP="00D61410">
      <w:pPr>
        <w:autoSpaceDE w:val="0"/>
        <w:autoSpaceDN w:val="0"/>
        <w:adjustRightInd w:val="0"/>
        <w:spacing w:after="0" w:line="240" w:lineRule="auto"/>
        <w:rPr>
          <w:rFonts w:cstheme="minorHAnsi"/>
          <w:b/>
          <w:bCs/>
        </w:rPr>
      </w:pPr>
      <w:r w:rsidRPr="000D4FB5">
        <w:rPr>
          <w:rFonts w:cstheme="minorHAnsi"/>
          <w:b/>
          <w:bCs/>
        </w:rPr>
        <w:lastRenderedPageBreak/>
        <w:t>2b4</w:t>
      </w:r>
      <w:r w:rsidR="00D61410" w:rsidRPr="000D4FB5">
        <w:rPr>
          <w:rFonts w:cstheme="minorHAnsi"/>
          <w:b/>
          <w:bCs/>
        </w:rPr>
        <w:t>. IDENTIFICATION OF STATISTICALLY SIGNIFICANT &amp; MEANINGFUL DIFFERENCES IN PERFORMANCE</w:t>
      </w:r>
    </w:p>
    <w:p w14:paraId="2D309122" w14:textId="77777777" w:rsidR="0086602C" w:rsidRPr="000D4FB5" w:rsidRDefault="0086602C" w:rsidP="00D61410">
      <w:pPr>
        <w:autoSpaceDE w:val="0"/>
        <w:autoSpaceDN w:val="0"/>
        <w:adjustRightInd w:val="0"/>
        <w:spacing w:after="0" w:line="240" w:lineRule="auto"/>
        <w:rPr>
          <w:rFonts w:cstheme="minorHAnsi"/>
          <w:b/>
          <w:bCs/>
        </w:rPr>
      </w:pPr>
    </w:p>
    <w:p w14:paraId="50BC90C5" w14:textId="77777777" w:rsidR="00D61410" w:rsidRDefault="009C7513" w:rsidP="00D61410">
      <w:pPr>
        <w:autoSpaceDE w:val="0"/>
        <w:autoSpaceDN w:val="0"/>
        <w:adjustRightInd w:val="0"/>
        <w:spacing w:after="0" w:line="240" w:lineRule="auto"/>
        <w:rPr>
          <w:rFonts w:cstheme="minorHAnsi"/>
          <w:bCs/>
        </w:rPr>
      </w:pPr>
      <w:r w:rsidRPr="000D4FB5">
        <w:rPr>
          <w:rFonts w:cstheme="minorHAnsi"/>
          <w:b/>
          <w:bCs/>
        </w:rPr>
        <w:t>2b4</w:t>
      </w:r>
      <w:r w:rsidR="00D61410" w:rsidRPr="000D4FB5">
        <w:rPr>
          <w:rFonts w:cstheme="minorHAnsi"/>
          <w:b/>
          <w:bCs/>
        </w:rPr>
        <w:t>.1. Describe the method for determining if statistically significant and clinically/practically meaningful differences in performance measure scores among the measured entities can be identified</w:t>
      </w:r>
      <w:r w:rsidR="00D61410" w:rsidRPr="000D4FB5">
        <w:rPr>
          <w:rFonts w:cstheme="minorHAnsi"/>
          <w:bCs/>
        </w:rPr>
        <w:t xml:space="preserve"> (</w:t>
      </w:r>
      <w:r w:rsidR="00D61410" w:rsidRPr="000D4FB5">
        <w:rPr>
          <w:rFonts w:cstheme="minorHAnsi"/>
          <w:bCs/>
          <w:i/>
        </w:rPr>
        <w:t xml:space="preserve">describe the steps―do not just name a method; what statistical analysis was used? Do not just repeat the information provided related to performance gap in 1b) </w:t>
      </w:r>
      <w:r w:rsidR="00D61410" w:rsidRPr="000D4FB5">
        <w:rPr>
          <w:rFonts w:cstheme="minorHAnsi"/>
          <w:bCs/>
        </w:rPr>
        <w:br/>
        <w:t xml:space="preserve"> </w:t>
      </w:r>
    </w:p>
    <w:p w14:paraId="6D0AADD4" w14:textId="4659DE4D" w:rsidR="00281099" w:rsidRPr="000361DF" w:rsidRDefault="00281099" w:rsidP="00281099">
      <w:pPr>
        <w:autoSpaceDE w:val="0"/>
        <w:autoSpaceDN w:val="0"/>
        <w:adjustRightInd w:val="0"/>
        <w:spacing w:after="0" w:line="240" w:lineRule="auto"/>
        <w:rPr>
          <w:rFonts w:cstheme="minorHAnsi"/>
          <w:bCs/>
          <w:color w:val="0000E1"/>
        </w:rPr>
      </w:pPr>
      <w:r w:rsidRPr="000361DF">
        <w:rPr>
          <w:rFonts w:cstheme="minorHAnsi"/>
          <w:bCs/>
          <w:color w:val="0000E1"/>
        </w:rPr>
        <w:t>To assess significant differences in measure rates</w:t>
      </w:r>
      <w:r w:rsidR="00C96C9F" w:rsidRPr="000361DF">
        <w:rPr>
          <w:rFonts w:cstheme="minorHAnsi"/>
          <w:bCs/>
          <w:color w:val="0000E1"/>
        </w:rPr>
        <w:t>, unadjusted measure rates for Medicare and Medicaid, as well as risk-adjusted rates</w:t>
      </w:r>
      <w:r w:rsidRPr="000361DF">
        <w:rPr>
          <w:rFonts w:cstheme="minorHAnsi"/>
          <w:bCs/>
          <w:color w:val="0000E1"/>
        </w:rPr>
        <w:t xml:space="preserve"> for Medicare</w:t>
      </w:r>
      <w:r w:rsidR="00C96C9F" w:rsidRPr="000361DF">
        <w:rPr>
          <w:rFonts w:cstheme="minorHAnsi"/>
          <w:bCs/>
          <w:color w:val="0000E1"/>
        </w:rPr>
        <w:t xml:space="preserve"> </w:t>
      </w:r>
      <w:r w:rsidRPr="000361DF">
        <w:rPr>
          <w:rFonts w:cstheme="minorHAnsi"/>
          <w:bCs/>
          <w:color w:val="0000E1"/>
        </w:rPr>
        <w:t>were used to calculate the mean, median, standard deviation, and interquartile range. In addition, the rates were divided into quartiles, and a Student’s t-test was used to compare the rates of the plans</w:t>
      </w:r>
      <w:r w:rsidR="006F150B">
        <w:rPr>
          <w:rFonts w:cstheme="minorHAnsi"/>
          <w:bCs/>
          <w:color w:val="0000E1"/>
        </w:rPr>
        <w:t>/contracts</w:t>
      </w:r>
      <w:r w:rsidRPr="000361DF">
        <w:rPr>
          <w:rFonts w:cstheme="minorHAnsi"/>
          <w:bCs/>
          <w:color w:val="0000E1"/>
        </w:rPr>
        <w:t xml:space="preserve"> in the 25th percentile to the rates of the plans</w:t>
      </w:r>
      <w:r w:rsidR="006F150B">
        <w:rPr>
          <w:rFonts w:cstheme="minorHAnsi"/>
          <w:bCs/>
          <w:color w:val="0000E1"/>
        </w:rPr>
        <w:t>/contracts</w:t>
      </w:r>
      <w:r w:rsidRPr="000361DF">
        <w:rPr>
          <w:rFonts w:cstheme="minorHAnsi"/>
          <w:bCs/>
          <w:color w:val="0000E1"/>
        </w:rPr>
        <w:t xml:space="preserve"> in the 75th percentile</w:t>
      </w:r>
      <w:r w:rsidR="00E57C81">
        <w:rPr>
          <w:rFonts w:cstheme="minorHAnsi"/>
          <w:bCs/>
          <w:color w:val="0000E1"/>
        </w:rPr>
        <w:t xml:space="preserve">. </w:t>
      </w:r>
      <w:r w:rsidRPr="000361DF">
        <w:rPr>
          <w:rFonts w:cstheme="minorHAnsi"/>
          <w:bCs/>
          <w:color w:val="0000E1"/>
        </w:rPr>
        <w:t xml:space="preserve">Finally, to assess impact of risk adjustment on measure rates, </w:t>
      </w:r>
      <w:r w:rsidR="006F150B">
        <w:rPr>
          <w:rFonts w:cstheme="minorHAnsi"/>
          <w:bCs/>
          <w:color w:val="0000E1"/>
        </w:rPr>
        <w:t>plan-</w:t>
      </w:r>
      <w:r w:rsidRPr="000361DF">
        <w:rPr>
          <w:rFonts w:cstheme="minorHAnsi"/>
          <w:bCs/>
          <w:color w:val="0000E1"/>
        </w:rPr>
        <w:t xml:space="preserve">contracts were placed into deciles using the unadjusted as well as the risk adjusted rates and assessed to </w:t>
      </w:r>
      <w:r w:rsidR="00C96C9F" w:rsidRPr="000361DF">
        <w:rPr>
          <w:rFonts w:cstheme="minorHAnsi"/>
          <w:bCs/>
          <w:color w:val="0000E1"/>
        </w:rPr>
        <w:t>determine the rate of</w:t>
      </w:r>
      <w:r w:rsidRPr="000361DF">
        <w:rPr>
          <w:rFonts w:cstheme="minorHAnsi"/>
          <w:bCs/>
          <w:color w:val="0000E1"/>
        </w:rPr>
        <w:t xml:space="preserve"> decile shifts post risk adjustment. </w:t>
      </w:r>
    </w:p>
    <w:p w14:paraId="4DBB9D2B" w14:textId="77777777" w:rsidR="00281099" w:rsidRPr="000D4FB5" w:rsidRDefault="00281099" w:rsidP="00D61410">
      <w:pPr>
        <w:autoSpaceDE w:val="0"/>
        <w:autoSpaceDN w:val="0"/>
        <w:adjustRightInd w:val="0"/>
        <w:spacing w:after="0" w:line="240" w:lineRule="auto"/>
        <w:rPr>
          <w:rFonts w:cstheme="minorHAnsi"/>
          <w:bCs/>
        </w:rPr>
      </w:pPr>
    </w:p>
    <w:p w14:paraId="31895DE7" w14:textId="77777777" w:rsidR="00D61410" w:rsidRDefault="009C7513" w:rsidP="00D61410">
      <w:pPr>
        <w:autoSpaceDE w:val="0"/>
        <w:autoSpaceDN w:val="0"/>
        <w:adjustRightInd w:val="0"/>
        <w:spacing w:after="0" w:line="240" w:lineRule="auto"/>
        <w:rPr>
          <w:rFonts w:cstheme="minorHAnsi"/>
          <w:bCs/>
        </w:rPr>
      </w:pPr>
      <w:r w:rsidRPr="000D4FB5">
        <w:rPr>
          <w:rFonts w:cstheme="minorHAnsi"/>
          <w:b/>
          <w:bCs/>
        </w:rPr>
        <w:t>2b4</w:t>
      </w:r>
      <w:r w:rsidR="00D61410" w:rsidRPr="000D4FB5">
        <w:rPr>
          <w:rFonts w:cstheme="minorHAnsi"/>
          <w:b/>
          <w:bCs/>
        </w:rPr>
        <w:t xml:space="preserve">.2. What were the statistical results from testing the ability to identify </w:t>
      </w:r>
      <w:r w:rsidR="001E69DC" w:rsidRPr="000D4FB5">
        <w:rPr>
          <w:rFonts w:cstheme="minorHAnsi"/>
          <w:b/>
          <w:bCs/>
        </w:rPr>
        <w:t xml:space="preserve">statistically significant and/or clinically/practically meaningful </w:t>
      </w:r>
      <w:r w:rsidR="00D61410" w:rsidRPr="000D4FB5">
        <w:rPr>
          <w:rFonts w:cstheme="minorHAnsi"/>
          <w:b/>
          <w:bCs/>
        </w:rPr>
        <w:t>differences in performance measure scores across measured entities?</w:t>
      </w:r>
      <w:r w:rsidR="00D61410" w:rsidRPr="000D4FB5">
        <w:rPr>
          <w:rFonts w:cstheme="minorHAnsi"/>
          <w:bCs/>
        </w:rPr>
        <w:t xml:space="preserve"> (e.g., </w:t>
      </w:r>
      <w:r w:rsidR="00D61410" w:rsidRPr="000D4FB5">
        <w:rPr>
          <w:rFonts w:cstheme="minorHAnsi"/>
          <w:bCs/>
          <w:i/>
        </w:rPr>
        <w:t xml:space="preserve">number and percentage </w:t>
      </w:r>
      <w:r w:rsidR="001E69DC" w:rsidRPr="000D4FB5">
        <w:rPr>
          <w:rFonts w:cstheme="minorHAnsi"/>
          <w:bCs/>
          <w:i/>
        </w:rPr>
        <w:t xml:space="preserve">of entities with scores </w:t>
      </w:r>
      <w:r w:rsidR="00D61410" w:rsidRPr="000D4FB5">
        <w:rPr>
          <w:rFonts w:cstheme="minorHAnsi"/>
          <w:bCs/>
          <w:i/>
        </w:rPr>
        <w:t xml:space="preserve">that were statistically significantly different from mean </w:t>
      </w:r>
      <w:r w:rsidR="001E69DC" w:rsidRPr="000D4FB5">
        <w:rPr>
          <w:rFonts w:cstheme="minorHAnsi"/>
          <w:bCs/>
          <w:i/>
        </w:rPr>
        <w:t>or some benchmark, different from expected; how was meaningful difference defined</w:t>
      </w:r>
      <w:r w:rsidR="00D61410" w:rsidRPr="000D4FB5">
        <w:rPr>
          <w:rFonts w:cstheme="minorHAnsi"/>
          <w:bCs/>
        </w:rPr>
        <w:t>)</w:t>
      </w:r>
      <w:r w:rsidR="00D61410" w:rsidRPr="00A25024">
        <w:rPr>
          <w:rFonts w:cstheme="minorHAnsi"/>
          <w:bCs/>
        </w:rPr>
        <w:br/>
      </w:r>
    </w:p>
    <w:p w14:paraId="7DE4343E" w14:textId="567556D5" w:rsidR="00FE69EC" w:rsidRPr="000361DF" w:rsidRDefault="00DC201F" w:rsidP="00FE69EC">
      <w:pPr>
        <w:autoSpaceDE w:val="0"/>
        <w:autoSpaceDN w:val="0"/>
        <w:adjustRightInd w:val="0"/>
        <w:spacing w:after="0" w:line="240" w:lineRule="auto"/>
        <w:rPr>
          <w:rFonts w:cstheme="minorHAnsi"/>
          <w:bCs/>
          <w:color w:val="0000E1"/>
        </w:rPr>
      </w:pPr>
      <w:r w:rsidRPr="000361DF">
        <w:rPr>
          <w:rFonts w:cstheme="minorHAnsi"/>
          <w:bCs/>
          <w:color w:val="0000E1"/>
        </w:rPr>
        <w:t>For the Medicare population, for Diabetes, the mean rate (with standard deviation</w:t>
      </w:r>
      <w:r w:rsidR="008E1F57">
        <w:rPr>
          <w:rFonts w:cstheme="minorHAnsi"/>
          <w:bCs/>
          <w:color w:val="0000E1"/>
        </w:rPr>
        <w:t xml:space="preserve"> [SD]</w:t>
      </w:r>
      <w:r w:rsidRPr="000361DF">
        <w:rPr>
          <w:rFonts w:cstheme="minorHAnsi"/>
          <w:bCs/>
          <w:color w:val="0000E1"/>
        </w:rPr>
        <w:t>) was 82.1% (5.5%), for RASA the mean rate (</w:t>
      </w:r>
      <w:r w:rsidR="008E1F57">
        <w:rPr>
          <w:rFonts w:cstheme="minorHAnsi"/>
          <w:bCs/>
          <w:color w:val="0000E1"/>
        </w:rPr>
        <w:t>SD</w:t>
      </w:r>
      <w:r w:rsidR="007E6E07" w:rsidRPr="000361DF">
        <w:rPr>
          <w:rFonts w:cstheme="minorHAnsi"/>
          <w:bCs/>
          <w:color w:val="0000E1"/>
        </w:rPr>
        <w:t>)</w:t>
      </w:r>
      <w:r w:rsidRPr="000361DF">
        <w:rPr>
          <w:rFonts w:cstheme="minorHAnsi"/>
          <w:bCs/>
          <w:color w:val="0000E1"/>
        </w:rPr>
        <w:t xml:space="preserve"> was </w:t>
      </w:r>
      <w:r w:rsidR="007E6E07" w:rsidRPr="000361DF">
        <w:rPr>
          <w:rFonts w:cstheme="minorHAnsi"/>
          <w:bCs/>
          <w:color w:val="0000E1"/>
        </w:rPr>
        <w:t>85.7% (5.0%) and for S</w:t>
      </w:r>
      <w:r w:rsidRPr="000361DF">
        <w:rPr>
          <w:rFonts w:cstheme="minorHAnsi"/>
          <w:bCs/>
          <w:color w:val="0000E1"/>
        </w:rPr>
        <w:t xml:space="preserve">tatins the mean rate </w:t>
      </w:r>
      <w:r w:rsidR="007E6E07" w:rsidRPr="000361DF">
        <w:rPr>
          <w:rFonts w:cstheme="minorHAnsi"/>
          <w:bCs/>
          <w:color w:val="0000E1"/>
        </w:rPr>
        <w:t>(</w:t>
      </w:r>
      <w:r w:rsidR="008E1F57">
        <w:rPr>
          <w:rFonts w:cstheme="minorHAnsi"/>
          <w:bCs/>
          <w:color w:val="0000E1"/>
        </w:rPr>
        <w:t>SD</w:t>
      </w:r>
      <w:r w:rsidR="007E6E07" w:rsidRPr="000361DF">
        <w:rPr>
          <w:rFonts w:cstheme="minorHAnsi"/>
          <w:bCs/>
          <w:color w:val="0000E1"/>
        </w:rPr>
        <w:t xml:space="preserve">) was </w:t>
      </w:r>
      <w:r w:rsidR="00433D2F">
        <w:rPr>
          <w:rFonts w:cstheme="minorHAnsi"/>
          <w:bCs/>
          <w:color w:val="0000E1"/>
        </w:rPr>
        <w:t>80.6% (5.9</w:t>
      </w:r>
      <w:r w:rsidR="007E6E07" w:rsidRPr="000361DF">
        <w:rPr>
          <w:rFonts w:cstheme="minorHAnsi"/>
          <w:bCs/>
          <w:color w:val="0000E1"/>
        </w:rPr>
        <w:t>%).</w:t>
      </w:r>
      <w:r w:rsidRPr="000361DF">
        <w:rPr>
          <w:rFonts w:cstheme="minorHAnsi"/>
          <w:bCs/>
          <w:color w:val="0000E1"/>
        </w:rPr>
        <w:t xml:space="preserve"> </w:t>
      </w:r>
      <w:r w:rsidR="007E6E07" w:rsidRPr="000361DF">
        <w:rPr>
          <w:rFonts w:cstheme="minorHAnsi"/>
          <w:bCs/>
          <w:color w:val="0000E1"/>
        </w:rPr>
        <w:t xml:space="preserve">(see Table </w:t>
      </w:r>
      <w:r w:rsidR="001D35AA" w:rsidRPr="000361DF">
        <w:rPr>
          <w:rFonts w:cstheme="minorHAnsi"/>
          <w:bCs/>
          <w:color w:val="0000E1"/>
        </w:rPr>
        <w:t>22</w:t>
      </w:r>
      <w:r w:rsidR="007E6E07" w:rsidRPr="000361DF">
        <w:rPr>
          <w:rFonts w:cstheme="minorHAnsi"/>
          <w:bCs/>
          <w:color w:val="0000E1"/>
        </w:rPr>
        <w:t>).</w:t>
      </w:r>
    </w:p>
    <w:p w14:paraId="36B519BF" w14:textId="77777777" w:rsidR="00B74488" w:rsidRPr="000361DF" w:rsidRDefault="00B74488" w:rsidP="00FE69EC">
      <w:pPr>
        <w:autoSpaceDE w:val="0"/>
        <w:autoSpaceDN w:val="0"/>
        <w:adjustRightInd w:val="0"/>
        <w:spacing w:after="0" w:line="240" w:lineRule="auto"/>
        <w:rPr>
          <w:rFonts w:cstheme="minorHAnsi"/>
          <w:b/>
          <w:bCs/>
          <w:color w:val="0000E1"/>
        </w:rPr>
      </w:pPr>
    </w:p>
    <w:p w14:paraId="5CA98B87" w14:textId="77777777" w:rsidR="00FE69EC" w:rsidRPr="000361DF" w:rsidRDefault="00FE69EC" w:rsidP="00FE69EC">
      <w:pPr>
        <w:autoSpaceDE w:val="0"/>
        <w:autoSpaceDN w:val="0"/>
        <w:adjustRightInd w:val="0"/>
        <w:spacing w:after="0" w:line="240" w:lineRule="auto"/>
        <w:rPr>
          <w:rFonts w:cstheme="minorHAnsi"/>
          <w:b/>
          <w:bCs/>
          <w:color w:val="0000E1"/>
        </w:rPr>
      </w:pPr>
      <w:r w:rsidRPr="000361DF">
        <w:rPr>
          <w:rFonts w:cstheme="minorHAnsi"/>
          <w:b/>
          <w:bCs/>
          <w:color w:val="0000E1"/>
        </w:rPr>
        <w:t xml:space="preserve">Table </w:t>
      </w:r>
      <w:r w:rsidR="001D35AA" w:rsidRPr="000361DF">
        <w:rPr>
          <w:rFonts w:cstheme="minorHAnsi"/>
          <w:b/>
          <w:bCs/>
          <w:color w:val="0000E1"/>
        </w:rPr>
        <w:t>22</w:t>
      </w:r>
      <w:r w:rsidRPr="000361DF">
        <w:rPr>
          <w:rFonts w:cstheme="minorHAnsi"/>
          <w:b/>
          <w:bCs/>
          <w:color w:val="0000E1"/>
        </w:rPr>
        <w:t xml:space="preserve">. Means Distribution of </w:t>
      </w:r>
      <w:r w:rsidR="00A61369" w:rsidRPr="000361DF">
        <w:rPr>
          <w:rFonts w:cstheme="minorHAnsi"/>
          <w:b/>
          <w:bCs/>
          <w:color w:val="0000E1"/>
        </w:rPr>
        <w:t xml:space="preserve">Unadjusted </w:t>
      </w:r>
      <w:r w:rsidRPr="000361DF">
        <w:rPr>
          <w:rFonts w:cstheme="minorHAnsi"/>
          <w:b/>
          <w:bCs/>
          <w:color w:val="0000E1"/>
        </w:rPr>
        <w:t xml:space="preserve">Measure Rates for Medicare – By </w:t>
      </w:r>
      <w:r w:rsidR="00AB15B4" w:rsidRPr="000361DF">
        <w:rPr>
          <w:rFonts w:cstheme="minorHAnsi"/>
          <w:b/>
          <w:bCs/>
          <w:color w:val="0000E1"/>
        </w:rPr>
        <w:t>Therapeutic Category</w:t>
      </w:r>
    </w:p>
    <w:tbl>
      <w:tblPr>
        <w:tblStyle w:val="TableGrid"/>
        <w:tblW w:w="0" w:type="auto"/>
        <w:tblLook w:val="04A0" w:firstRow="1" w:lastRow="0" w:firstColumn="1" w:lastColumn="0" w:noHBand="0" w:noVBand="1"/>
      </w:tblPr>
      <w:tblGrid>
        <w:gridCol w:w="2337"/>
        <w:gridCol w:w="2337"/>
        <w:gridCol w:w="2338"/>
        <w:gridCol w:w="2338"/>
      </w:tblGrid>
      <w:tr w:rsidR="00D841B3" w:rsidRPr="000361DF" w14:paraId="501850F6" w14:textId="77777777" w:rsidTr="00740EFD">
        <w:tc>
          <w:tcPr>
            <w:tcW w:w="2337" w:type="dxa"/>
            <w:shd w:val="clear" w:color="auto" w:fill="D9D9D9" w:themeFill="background1" w:themeFillShade="D9"/>
          </w:tcPr>
          <w:p w14:paraId="6F5A9D65" w14:textId="77777777" w:rsidR="00D841B3" w:rsidRPr="000361DF" w:rsidRDefault="00D841B3" w:rsidP="00D841B3">
            <w:pPr>
              <w:autoSpaceDE w:val="0"/>
              <w:autoSpaceDN w:val="0"/>
              <w:adjustRightInd w:val="0"/>
              <w:rPr>
                <w:rFonts w:cstheme="minorHAnsi"/>
                <w:b/>
                <w:bCs/>
                <w:color w:val="0000E1"/>
              </w:rPr>
            </w:pPr>
            <w:r w:rsidRPr="000361DF">
              <w:rPr>
                <w:rFonts w:cstheme="minorHAnsi"/>
                <w:b/>
                <w:bCs/>
                <w:color w:val="0000E1"/>
              </w:rPr>
              <w:t>Statistic</w:t>
            </w:r>
          </w:p>
        </w:tc>
        <w:tc>
          <w:tcPr>
            <w:tcW w:w="2337" w:type="dxa"/>
            <w:shd w:val="clear" w:color="auto" w:fill="D9D9D9" w:themeFill="background1" w:themeFillShade="D9"/>
          </w:tcPr>
          <w:p w14:paraId="0255265A" w14:textId="77777777" w:rsidR="00D841B3" w:rsidRPr="000361DF" w:rsidRDefault="00D841B3" w:rsidP="00D841B3">
            <w:pPr>
              <w:autoSpaceDE w:val="0"/>
              <w:autoSpaceDN w:val="0"/>
              <w:adjustRightInd w:val="0"/>
              <w:jc w:val="center"/>
              <w:rPr>
                <w:rFonts w:cstheme="minorHAnsi"/>
                <w:b/>
                <w:bCs/>
                <w:color w:val="0000E1"/>
              </w:rPr>
            </w:pPr>
            <w:r w:rsidRPr="000361DF">
              <w:rPr>
                <w:rFonts w:cstheme="minorHAnsi"/>
                <w:b/>
                <w:bCs/>
                <w:color w:val="0000E1"/>
              </w:rPr>
              <w:t>Diabetes</w:t>
            </w:r>
          </w:p>
        </w:tc>
        <w:tc>
          <w:tcPr>
            <w:tcW w:w="2338" w:type="dxa"/>
            <w:shd w:val="clear" w:color="auto" w:fill="D9D9D9" w:themeFill="background1" w:themeFillShade="D9"/>
          </w:tcPr>
          <w:p w14:paraId="17AD0B83" w14:textId="77777777" w:rsidR="00D841B3" w:rsidRPr="000361DF" w:rsidRDefault="00D841B3" w:rsidP="00D841B3">
            <w:pPr>
              <w:autoSpaceDE w:val="0"/>
              <w:autoSpaceDN w:val="0"/>
              <w:adjustRightInd w:val="0"/>
              <w:jc w:val="center"/>
              <w:rPr>
                <w:rFonts w:cstheme="minorHAnsi"/>
                <w:b/>
                <w:bCs/>
                <w:color w:val="0000E1"/>
              </w:rPr>
            </w:pPr>
            <w:r w:rsidRPr="000361DF">
              <w:rPr>
                <w:rFonts w:cstheme="minorHAnsi"/>
                <w:b/>
                <w:bCs/>
                <w:color w:val="0000E1"/>
              </w:rPr>
              <w:t>RASA</w:t>
            </w:r>
          </w:p>
        </w:tc>
        <w:tc>
          <w:tcPr>
            <w:tcW w:w="2338" w:type="dxa"/>
            <w:shd w:val="clear" w:color="auto" w:fill="D9D9D9" w:themeFill="background1" w:themeFillShade="D9"/>
            <w:vAlign w:val="center"/>
          </w:tcPr>
          <w:p w14:paraId="649F58A3" w14:textId="77777777" w:rsidR="00D841B3" w:rsidRPr="000361DF" w:rsidRDefault="00D841B3" w:rsidP="00D841B3">
            <w:pPr>
              <w:autoSpaceDE w:val="0"/>
              <w:autoSpaceDN w:val="0"/>
              <w:adjustRightInd w:val="0"/>
              <w:jc w:val="center"/>
              <w:rPr>
                <w:rFonts w:cstheme="minorHAnsi"/>
                <w:b/>
                <w:bCs/>
                <w:color w:val="0000E1"/>
              </w:rPr>
            </w:pPr>
            <w:r>
              <w:rPr>
                <w:rFonts w:ascii="Calibri" w:hAnsi="Calibri" w:cstheme="minorHAnsi"/>
                <w:b/>
                <w:bCs/>
                <w:color w:val="0000E1"/>
              </w:rPr>
              <w:t>Statins</w:t>
            </w:r>
          </w:p>
        </w:tc>
      </w:tr>
      <w:tr w:rsidR="00D841B3" w:rsidRPr="000361DF" w14:paraId="5319139B" w14:textId="77777777" w:rsidTr="00740EFD">
        <w:tc>
          <w:tcPr>
            <w:tcW w:w="2337" w:type="dxa"/>
          </w:tcPr>
          <w:p w14:paraId="4FE6CED9"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Mean</w:t>
            </w:r>
          </w:p>
        </w:tc>
        <w:tc>
          <w:tcPr>
            <w:tcW w:w="2337" w:type="dxa"/>
          </w:tcPr>
          <w:p w14:paraId="649A40BC"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82.1%</w:t>
            </w:r>
          </w:p>
        </w:tc>
        <w:tc>
          <w:tcPr>
            <w:tcW w:w="2338" w:type="dxa"/>
          </w:tcPr>
          <w:p w14:paraId="0CB24757"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85.7%</w:t>
            </w:r>
          </w:p>
        </w:tc>
        <w:tc>
          <w:tcPr>
            <w:tcW w:w="2338" w:type="dxa"/>
            <w:vAlign w:val="center"/>
          </w:tcPr>
          <w:p w14:paraId="2E677C52" w14:textId="77777777" w:rsidR="00D841B3" w:rsidRPr="000361DF" w:rsidRDefault="00D841B3" w:rsidP="00D841B3">
            <w:pPr>
              <w:autoSpaceDE w:val="0"/>
              <w:autoSpaceDN w:val="0"/>
              <w:adjustRightInd w:val="0"/>
              <w:jc w:val="right"/>
              <w:rPr>
                <w:rFonts w:cstheme="minorHAnsi"/>
                <w:bCs/>
                <w:color w:val="0000E1"/>
              </w:rPr>
            </w:pPr>
            <w:r>
              <w:rPr>
                <w:rFonts w:ascii="Calibri" w:hAnsi="Calibri" w:cs="Calibri"/>
                <w:color w:val="0000E1"/>
              </w:rPr>
              <w:t>80.6%</w:t>
            </w:r>
          </w:p>
        </w:tc>
      </w:tr>
      <w:tr w:rsidR="00D841B3" w:rsidRPr="000361DF" w14:paraId="45AF8A0C" w14:textId="77777777" w:rsidTr="00740EFD">
        <w:tc>
          <w:tcPr>
            <w:tcW w:w="2337" w:type="dxa"/>
          </w:tcPr>
          <w:p w14:paraId="0411F588"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Std. Deviation (Mean)</w:t>
            </w:r>
          </w:p>
        </w:tc>
        <w:tc>
          <w:tcPr>
            <w:tcW w:w="2337" w:type="dxa"/>
          </w:tcPr>
          <w:p w14:paraId="40051C2D"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5.5%</w:t>
            </w:r>
          </w:p>
        </w:tc>
        <w:tc>
          <w:tcPr>
            <w:tcW w:w="2338" w:type="dxa"/>
          </w:tcPr>
          <w:p w14:paraId="1F16C5EA"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5.0%</w:t>
            </w:r>
          </w:p>
        </w:tc>
        <w:tc>
          <w:tcPr>
            <w:tcW w:w="2338" w:type="dxa"/>
            <w:vAlign w:val="center"/>
          </w:tcPr>
          <w:p w14:paraId="47B35422" w14:textId="77777777" w:rsidR="00D841B3" w:rsidRPr="000361DF" w:rsidRDefault="00D841B3" w:rsidP="00D841B3">
            <w:pPr>
              <w:autoSpaceDE w:val="0"/>
              <w:autoSpaceDN w:val="0"/>
              <w:adjustRightInd w:val="0"/>
              <w:jc w:val="right"/>
              <w:rPr>
                <w:rFonts w:cstheme="minorHAnsi"/>
                <w:bCs/>
                <w:color w:val="0000E1"/>
              </w:rPr>
            </w:pPr>
            <w:r>
              <w:rPr>
                <w:rFonts w:ascii="Calibri" w:hAnsi="Calibri" w:cs="Calibri"/>
                <w:color w:val="0000E1"/>
              </w:rPr>
              <w:t>5.9%</w:t>
            </w:r>
          </w:p>
        </w:tc>
      </w:tr>
      <w:tr w:rsidR="00D841B3" w:rsidRPr="000361DF" w14:paraId="504E725B" w14:textId="77777777" w:rsidTr="00740EFD">
        <w:tc>
          <w:tcPr>
            <w:tcW w:w="2337" w:type="dxa"/>
          </w:tcPr>
          <w:p w14:paraId="7A4FC533"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Minimum</w:t>
            </w:r>
          </w:p>
        </w:tc>
        <w:tc>
          <w:tcPr>
            <w:tcW w:w="2337" w:type="dxa"/>
          </w:tcPr>
          <w:p w14:paraId="614D235F"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62.5%</w:t>
            </w:r>
          </w:p>
        </w:tc>
        <w:tc>
          <w:tcPr>
            <w:tcW w:w="2338" w:type="dxa"/>
          </w:tcPr>
          <w:p w14:paraId="6752D870"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63.9%</w:t>
            </w:r>
          </w:p>
        </w:tc>
        <w:tc>
          <w:tcPr>
            <w:tcW w:w="2338" w:type="dxa"/>
            <w:vAlign w:val="center"/>
          </w:tcPr>
          <w:p w14:paraId="70463439" w14:textId="77777777" w:rsidR="00D841B3" w:rsidRPr="000361DF" w:rsidRDefault="00D841B3" w:rsidP="00D841B3">
            <w:pPr>
              <w:autoSpaceDE w:val="0"/>
              <w:autoSpaceDN w:val="0"/>
              <w:adjustRightInd w:val="0"/>
              <w:jc w:val="right"/>
              <w:rPr>
                <w:rFonts w:cstheme="minorHAnsi"/>
                <w:bCs/>
                <w:color w:val="0000E1"/>
              </w:rPr>
            </w:pPr>
            <w:r>
              <w:rPr>
                <w:rFonts w:ascii="Calibri" w:hAnsi="Calibri" w:cs="Calibri"/>
                <w:color w:val="0000E1"/>
              </w:rPr>
              <w:t>59.3%</w:t>
            </w:r>
          </w:p>
        </w:tc>
      </w:tr>
      <w:tr w:rsidR="00D841B3" w:rsidRPr="000361DF" w14:paraId="63CA9BC6" w14:textId="77777777" w:rsidTr="00740EFD">
        <w:tc>
          <w:tcPr>
            <w:tcW w:w="2337" w:type="dxa"/>
          </w:tcPr>
          <w:p w14:paraId="6C85EC71"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25</w:t>
            </w:r>
            <w:r w:rsidRPr="000361DF">
              <w:rPr>
                <w:rFonts w:cstheme="minorHAnsi"/>
                <w:bCs/>
                <w:color w:val="0000E1"/>
                <w:vertAlign w:val="superscript"/>
              </w:rPr>
              <w:t>th</w:t>
            </w:r>
            <w:r w:rsidRPr="000361DF">
              <w:rPr>
                <w:rFonts w:cstheme="minorHAnsi"/>
                <w:bCs/>
                <w:color w:val="0000E1"/>
              </w:rPr>
              <w:t xml:space="preserve"> Percentile</w:t>
            </w:r>
          </w:p>
        </w:tc>
        <w:tc>
          <w:tcPr>
            <w:tcW w:w="2337" w:type="dxa"/>
          </w:tcPr>
          <w:p w14:paraId="68CC8DA7"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78.8%</w:t>
            </w:r>
          </w:p>
        </w:tc>
        <w:tc>
          <w:tcPr>
            <w:tcW w:w="2338" w:type="dxa"/>
          </w:tcPr>
          <w:p w14:paraId="0A63415F"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83.0%</w:t>
            </w:r>
          </w:p>
        </w:tc>
        <w:tc>
          <w:tcPr>
            <w:tcW w:w="2338" w:type="dxa"/>
            <w:vAlign w:val="center"/>
          </w:tcPr>
          <w:p w14:paraId="1CCF9D19" w14:textId="77777777" w:rsidR="00D841B3" w:rsidRPr="000361DF" w:rsidRDefault="00D841B3" w:rsidP="00D841B3">
            <w:pPr>
              <w:autoSpaceDE w:val="0"/>
              <w:autoSpaceDN w:val="0"/>
              <w:adjustRightInd w:val="0"/>
              <w:jc w:val="right"/>
              <w:rPr>
                <w:rFonts w:cstheme="minorHAnsi"/>
                <w:bCs/>
                <w:color w:val="0000E1"/>
              </w:rPr>
            </w:pPr>
            <w:r>
              <w:rPr>
                <w:rFonts w:ascii="Calibri" w:hAnsi="Calibri" w:cs="Calibri"/>
                <w:color w:val="0000E1"/>
              </w:rPr>
              <w:t>77.3%</w:t>
            </w:r>
          </w:p>
        </w:tc>
      </w:tr>
      <w:tr w:rsidR="00D841B3" w:rsidRPr="000361DF" w14:paraId="46CA280D" w14:textId="77777777" w:rsidTr="00740EFD">
        <w:tc>
          <w:tcPr>
            <w:tcW w:w="2337" w:type="dxa"/>
          </w:tcPr>
          <w:p w14:paraId="6EC6F702"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50</w:t>
            </w:r>
            <w:r w:rsidRPr="000361DF">
              <w:rPr>
                <w:rFonts w:cstheme="minorHAnsi"/>
                <w:bCs/>
                <w:color w:val="0000E1"/>
                <w:vertAlign w:val="superscript"/>
              </w:rPr>
              <w:t>th</w:t>
            </w:r>
            <w:r w:rsidRPr="000361DF">
              <w:rPr>
                <w:rFonts w:cstheme="minorHAnsi"/>
                <w:bCs/>
                <w:color w:val="0000E1"/>
              </w:rPr>
              <w:t xml:space="preserve"> Percentile</w:t>
            </w:r>
          </w:p>
        </w:tc>
        <w:tc>
          <w:tcPr>
            <w:tcW w:w="2337" w:type="dxa"/>
          </w:tcPr>
          <w:p w14:paraId="61FF0022"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82.5%</w:t>
            </w:r>
          </w:p>
        </w:tc>
        <w:tc>
          <w:tcPr>
            <w:tcW w:w="2338" w:type="dxa"/>
          </w:tcPr>
          <w:p w14:paraId="0EB514A9"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86.7%</w:t>
            </w:r>
          </w:p>
        </w:tc>
        <w:tc>
          <w:tcPr>
            <w:tcW w:w="2338" w:type="dxa"/>
            <w:vAlign w:val="center"/>
          </w:tcPr>
          <w:p w14:paraId="53E657FB" w14:textId="77777777" w:rsidR="00D841B3" w:rsidRPr="000361DF" w:rsidRDefault="00D841B3" w:rsidP="00D841B3">
            <w:pPr>
              <w:autoSpaceDE w:val="0"/>
              <w:autoSpaceDN w:val="0"/>
              <w:adjustRightInd w:val="0"/>
              <w:jc w:val="right"/>
              <w:rPr>
                <w:rFonts w:cstheme="minorHAnsi"/>
                <w:bCs/>
                <w:color w:val="0000E1"/>
              </w:rPr>
            </w:pPr>
            <w:r>
              <w:rPr>
                <w:rFonts w:ascii="Calibri" w:hAnsi="Calibri" w:cs="Calibri"/>
                <w:color w:val="0000E1"/>
              </w:rPr>
              <w:t>81.7%</w:t>
            </w:r>
          </w:p>
        </w:tc>
      </w:tr>
      <w:tr w:rsidR="00D841B3" w:rsidRPr="000361DF" w14:paraId="372FE30E" w14:textId="77777777" w:rsidTr="00740EFD">
        <w:tc>
          <w:tcPr>
            <w:tcW w:w="2337" w:type="dxa"/>
          </w:tcPr>
          <w:p w14:paraId="546F5BD4"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75</w:t>
            </w:r>
            <w:r w:rsidRPr="000361DF">
              <w:rPr>
                <w:rFonts w:cstheme="minorHAnsi"/>
                <w:bCs/>
                <w:color w:val="0000E1"/>
                <w:vertAlign w:val="superscript"/>
              </w:rPr>
              <w:t>th</w:t>
            </w:r>
            <w:r w:rsidRPr="000361DF">
              <w:rPr>
                <w:rFonts w:cstheme="minorHAnsi"/>
                <w:bCs/>
                <w:color w:val="0000E1"/>
              </w:rPr>
              <w:t xml:space="preserve"> Percentile</w:t>
            </w:r>
          </w:p>
        </w:tc>
        <w:tc>
          <w:tcPr>
            <w:tcW w:w="2337" w:type="dxa"/>
          </w:tcPr>
          <w:p w14:paraId="4F22BD70"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85.8%</w:t>
            </w:r>
          </w:p>
        </w:tc>
        <w:tc>
          <w:tcPr>
            <w:tcW w:w="2338" w:type="dxa"/>
          </w:tcPr>
          <w:p w14:paraId="02CA6156"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88.9%</w:t>
            </w:r>
          </w:p>
        </w:tc>
        <w:tc>
          <w:tcPr>
            <w:tcW w:w="2338" w:type="dxa"/>
            <w:vAlign w:val="center"/>
          </w:tcPr>
          <w:p w14:paraId="2904C615" w14:textId="77777777" w:rsidR="00D841B3" w:rsidRPr="000361DF" w:rsidRDefault="00D841B3" w:rsidP="00D841B3">
            <w:pPr>
              <w:autoSpaceDE w:val="0"/>
              <w:autoSpaceDN w:val="0"/>
              <w:adjustRightInd w:val="0"/>
              <w:jc w:val="right"/>
              <w:rPr>
                <w:rFonts w:cstheme="minorHAnsi"/>
                <w:bCs/>
                <w:color w:val="0000E1"/>
              </w:rPr>
            </w:pPr>
            <w:r>
              <w:rPr>
                <w:rFonts w:ascii="Calibri" w:hAnsi="Calibri" w:cs="Calibri"/>
                <w:color w:val="0000E1"/>
              </w:rPr>
              <w:t>84.2%</w:t>
            </w:r>
          </w:p>
        </w:tc>
      </w:tr>
      <w:tr w:rsidR="00D841B3" w:rsidRPr="000361DF" w14:paraId="2A0ADF63" w14:textId="77777777" w:rsidTr="00740EFD">
        <w:tc>
          <w:tcPr>
            <w:tcW w:w="2337" w:type="dxa"/>
          </w:tcPr>
          <w:p w14:paraId="43266F3F"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Maximum</w:t>
            </w:r>
          </w:p>
        </w:tc>
        <w:tc>
          <w:tcPr>
            <w:tcW w:w="2337" w:type="dxa"/>
          </w:tcPr>
          <w:p w14:paraId="34869197"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96.8%</w:t>
            </w:r>
          </w:p>
        </w:tc>
        <w:tc>
          <w:tcPr>
            <w:tcW w:w="2338" w:type="dxa"/>
          </w:tcPr>
          <w:p w14:paraId="298C0F32"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97.2%</w:t>
            </w:r>
          </w:p>
        </w:tc>
        <w:tc>
          <w:tcPr>
            <w:tcW w:w="2338" w:type="dxa"/>
            <w:vAlign w:val="center"/>
          </w:tcPr>
          <w:p w14:paraId="7D2FB39F" w14:textId="77777777" w:rsidR="00D841B3" w:rsidRPr="000361DF" w:rsidRDefault="00D841B3" w:rsidP="00D841B3">
            <w:pPr>
              <w:autoSpaceDE w:val="0"/>
              <w:autoSpaceDN w:val="0"/>
              <w:adjustRightInd w:val="0"/>
              <w:jc w:val="right"/>
              <w:rPr>
                <w:rFonts w:cstheme="minorHAnsi"/>
                <w:bCs/>
                <w:color w:val="0000E1"/>
              </w:rPr>
            </w:pPr>
            <w:r>
              <w:rPr>
                <w:rFonts w:ascii="Calibri" w:hAnsi="Calibri" w:cs="Calibri"/>
                <w:color w:val="0000E1"/>
              </w:rPr>
              <w:t>97.1%</w:t>
            </w:r>
          </w:p>
        </w:tc>
      </w:tr>
      <w:tr w:rsidR="00D841B3" w:rsidRPr="000361DF" w14:paraId="667ADD8A" w14:textId="77777777" w:rsidTr="00DD0554">
        <w:tc>
          <w:tcPr>
            <w:tcW w:w="2337" w:type="dxa"/>
            <w:tcBorders>
              <w:bottom w:val="single" w:sz="4" w:space="0" w:color="auto"/>
            </w:tcBorders>
          </w:tcPr>
          <w:p w14:paraId="7E289FEB"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Interquartile Range</w:t>
            </w:r>
          </w:p>
        </w:tc>
        <w:tc>
          <w:tcPr>
            <w:tcW w:w="2337" w:type="dxa"/>
            <w:tcBorders>
              <w:bottom w:val="single" w:sz="4" w:space="0" w:color="auto"/>
            </w:tcBorders>
          </w:tcPr>
          <w:p w14:paraId="778BFB18"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7.0%</w:t>
            </w:r>
          </w:p>
        </w:tc>
        <w:tc>
          <w:tcPr>
            <w:tcW w:w="2338" w:type="dxa"/>
            <w:tcBorders>
              <w:bottom w:val="single" w:sz="4" w:space="0" w:color="auto"/>
            </w:tcBorders>
          </w:tcPr>
          <w:p w14:paraId="502CCA51"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5.9%</w:t>
            </w:r>
          </w:p>
        </w:tc>
        <w:tc>
          <w:tcPr>
            <w:tcW w:w="2338" w:type="dxa"/>
            <w:tcBorders>
              <w:bottom w:val="single" w:sz="4" w:space="0" w:color="auto"/>
            </w:tcBorders>
            <w:vAlign w:val="center"/>
          </w:tcPr>
          <w:p w14:paraId="615A7657" w14:textId="77777777" w:rsidR="00D841B3" w:rsidRPr="000361DF" w:rsidRDefault="00D841B3" w:rsidP="00D841B3">
            <w:pPr>
              <w:autoSpaceDE w:val="0"/>
              <w:autoSpaceDN w:val="0"/>
              <w:adjustRightInd w:val="0"/>
              <w:jc w:val="right"/>
              <w:rPr>
                <w:rFonts w:cstheme="minorHAnsi"/>
                <w:bCs/>
                <w:color w:val="0000E1"/>
              </w:rPr>
            </w:pPr>
            <w:r>
              <w:rPr>
                <w:rFonts w:ascii="Calibri" w:hAnsi="Calibri" w:cs="Calibri"/>
                <w:color w:val="0000E1"/>
              </w:rPr>
              <w:t>7.0%</w:t>
            </w:r>
          </w:p>
        </w:tc>
      </w:tr>
      <w:tr w:rsidR="00D841B3" w:rsidRPr="000361DF" w14:paraId="5E58C575" w14:textId="77777777" w:rsidTr="00DD0554">
        <w:tc>
          <w:tcPr>
            <w:tcW w:w="2337" w:type="dxa"/>
            <w:tcBorders>
              <w:bottom w:val="single" w:sz="4" w:space="0" w:color="auto"/>
            </w:tcBorders>
          </w:tcPr>
          <w:p w14:paraId="1291F398"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Student’s t-test p-value</w:t>
            </w:r>
          </w:p>
        </w:tc>
        <w:tc>
          <w:tcPr>
            <w:tcW w:w="2337" w:type="dxa"/>
            <w:tcBorders>
              <w:bottom w:val="single" w:sz="4" w:space="0" w:color="auto"/>
            </w:tcBorders>
            <w:vAlign w:val="center"/>
          </w:tcPr>
          <w:p w14:paraId="043AB662" w14:textId="77777777" w:rsidR="00D841B3" w:rsidRPr="000361DF" w:rsidRDefault="00D841B3" w:rsidP="00D841B3">
            <w:pPr>
              <w:autoSpaceDE w:val="0"/>
              <w:autoSpaceDN w:val="0"/>
              <w:adjustRightInd w:val="0"/>
              <w:jc w:val="right"/>
              <w:rPr>
                <w:rFonts w:cstheme="minorHAnsi"/>
                <w:bCs/>
                <w:color w:val="0000E1"/>
              </w:rPr>
            </w:pPr>
            <w:r w:rsidRPr="000361DF">
              <w:rPr>
                <w:rFonts w:cstheme="minorHAnsi"/>
                <w:color w:val="0000E1"/>
              </w:rPr>
              <w:t>&lt;.0001</w:t>
            </w:r>
          </w:p>
        </w:tc>
        <w:tc>
          <w:tcPr>
            <w:tcW w:w="2338" w:type="dxa"/>
            <w:tcBorders>
              <w:bottom w:val="single" w:sz="4" w:space="0" w:color="auto"/>
            </w:tcBorders>
          </w:tcPr>
          <w:p w14:paraId="5B738EDD" w14:textId="77777777" w:rsidR="00D841B3" w:rsidRPr="000361DF" w:rsidRDefault="00D841B3" w:rsidP="00D841B3">
            <w:pPr>
              <w:autoSpaceDE w:val="0"/>
              <w:autoSpaceDN w:val="0"/>
              <w:adjustRightInd w:val="0"/>
              <w:jc w:val="right"/>
              <w:rPr>
                <w:rFonts w:cstheme="minorHAnsi"/>
                <w:bCs/>
                <w:color w:val="0000E1"/>
              </w:rPr>
            </w:pPr>
            <w:r w:rsidRPr="000361DF">
              <w:rPr>
                <w:rFonts w:cstheme="minorHAnsi"/>
                <w:color w:val="0000E1"/>
              </w:rPr>
              <w:t>&lt;.0001</w:t>
            </w:r>
          </w:p>
        </w:tc>
        <w:tc>
          <w:tcPr>
            <w:tcW w:w="2338" w:type="dxa"/>
            <w:tcBorders>
              <w:bottom w:val="single" w:sz="4" w:space="0" w:color="auto"/>
            </w:tcBorders>
            <w:vAlign w:val="center"/>
          </w:tcPr>
          <w:p w14:paraId="7B3C9623" w14:textId="77777777" w:rsidR="00D841B3" w:rsidRPr="000361DF" w:rsidRDefault="00D841B3" w:rsidP="00D841B3">
            <w:pPr>
              <w:autoSpaceDE w:val="0"/>
              <w:autoSpaceDN w:val="0"/>
              <w:adjustRightInd w:val="0"/>
              <w:jc w:val="right"/>
              <w:rPr>
                <w:rFonts w:cstheme="minorHAnsi"/>
                <w:bCs/>
                <w:color w:val="0000E1"/>
              </w:rPr>
            </w:pPr>
            <w:r>
              <w:rPr>
                <w:rFonts w:ascii="Calibri" w:hAnsi="Calibri" w:cstheme="minorHAnsi"/>
                <w:color w:val="0000E1"/>
              </w:rPr>
              <w:t>&lt;.0001</w:t>
            </w:r>
          </w:p>
        </w:tc>
      </w:tr>
      <w:tr w:rsidR="008E1F57" w:rsidRPr="000361DF" w14:paraId="12AD67CB" w14:textId="77777777" w:rsidTr="00DD0554">
        <w:tc>
          <w:tcPr>
            <w:tcW w:w="9350" w:type="dxa"/>
            <w:gridSpan w:val="4"/>
            <w:tcBorders>
              <w:top w:val="single" w:sz="4" w:space="0" w:color="auto"/>
              <w:left w:val="nil"/>
              <w:bottom w:val="nil"/>
              <w:right w:val="nil"/>
            </w:tcBorders>
          </w:tcPr>
          <w:p w14:paraId="0E9C0661" w14:textId="77777777" w:rsidR="008E1F57" w:rsidRPr="0061194B" w:rsidRDefault="008E1F57" w:rsidP="00057B56">
            <w:pPr>
              <w:autoSpaceDE w:val="0"/>
              <w:autoSpaceDN w:val="0"/>
              <w:adjustRightInd w:val="0"/>
              <w:rPr>
                <w:rFonts w:cstheme="minorHAnsi"/>
                <w:i/>
                <w:color w:val="0000E1"/>
                <w:sz w:val="20"/>
              </w:rPr>
            </w:pPr>
            <w:r w:rsidRPr="0061194B">
              <w:rPr>
                <w:rFonts w:cstheme="minorHAnsi"/>
                <w:i/>
                <w:color w:val="0000E1"/>
                <w:sz w:val="20"/>
              </w:rPr>
              <w:t xml:space="preserve">RASA: renin-angiotensin system antagonist </w:t>
            </w:r>
          </w:p>
        </w:tc>
      </w:tr>
    </w:tbl>
    <w:p w14:paraId="2173A533" w14:textId="77777777" w:rsidR="00FE69EC" w:rsidRPr="000361DF" w:rsidRDefault="00FE69EC" w:rsidP="00FE69EC">
      <w:pPr>
        <w:autoSpaceDE w:val="0"/>
        <w:autoSpaceDN w:val="0"/>
        <w:adjustRightInd w:val="0"/>
        <w:spacing w:after="0" w:line="240" w:lineRule="auto"/>
        <w:rPr>
          <w:rFonts w:cstheme="minorHAnsi"/>
          <w:bCs/>
          <w:color w:val="0000E1"/>
        </w:rPr>
      </w:pPr>
    </w:p>
    <w:p w14:paraId="6C954FD2" w14:textId="77777777" w:rsidR="007E6E07" w:rsidRDefault="007E6E07" w:rsidP="00FE69EC">
      <w:pPr>
        <w:autoSpaceDE w:val="0"/>
        <w:autoSpaceDN w:val="0"/>
        <w:adjustRightInd w:val="0"/>
        <w:spacing w:after="0" w:line="240" w:lineRule="auto"/>
        <w:rPr>
          <w:rFonts w:cstheme="minorHAnsi"/>
          <w:bCs/>
          <w:color w:val="0000E1"/>
        </w:rPr>
      </w:pPr>
      <w:r w:rsidRPr="000361DF">
        <w:rPr>
          <w:rFonts w:cstheme="minorHAnsi"/>
          <w:bCs/>
          <w:color w:val="0000E1"/>
        </w:rPr>
        <w:t>For the Medicaid population, for Diabetes, the mean rate (</w:t>
      </w:r>
      <w:r w:rsidR="008E1F57">
        <w:rPr>
          <w:rFonts w:cstheme="minorHAnsi"/>
          <w:bCs/>
          <w:color w:val="0000E1"/>
        </w:rPr>
        <w:t>SD</w:t>
      </w:r>
      <w:r w:rsidRPr="000361DF">
        <w:rPr>
          <w:rFonts w:cstheme="minorHAnsi"/>
          <w:bCs/>
          <w:color w:val="0000E1"/>
        </w:rPr>
        <w:t>) was 59.6% (11.4%), for RASA the mean rate (</w:t>
      </w:r>
      <w:r w:rsidR="008E1F57">
        <w:rPr>
          <w:rFonts w:cstheme="minorHAnsi"/>
          <w:bCs/>
          <w:color w:val="0000E1"/>
        </w:rPr>
        <w:t>SD</w:t>
      </w:r>
      <w:r w:rsidRPr="000361DF">
        <w:rPr>
          <w:rFonts w:cstheme="minorHAnsi"/>
          <w:bCs/>
          <w:color w:val="0000E1"/>
        </w:rPr>
        <w:t>) was 62.2% (10.7%) and for Statins the mean rate (</w:t>
      </w:r>
      <w:r w:rsidR="008E1F57">
        <w:rPr>
          <w:rFonts w:cstheme="minorHAnsi"/>
          <w:bCs/>
          <w:color w:val="0000E1"/>
        </w:rPr>
        <w:t>SD</w:t>
      </w:r>
      <w:r w:rsidRPr="000361DF">
        <w:rPr>
          <w:rFonts w:cstheme="minorHAnsi"/>
          <w:bCs/>
          <w:color w:val="0000E1"/>
        </w:rPr>
        <w:t xml:space="preserve">) was 58.7% (11.0%). (see Table </w:t>
      </w:r>
      <w:r w:rsidR="001D35AA" w:rsidRPr="000361DF">
        <w:rPr>
          <w:rFonts w:cstheme="minorHAnsi"/>
          <w:bCs/>
          <w:color w:val="0000E1"/>
        </w:rPr>
        <w:t>23</w:t>
      </w:r>
      <w:r w:rsidRPr="000361DF">
        <w:rPr>
          <w:rFonts w:cstheme="minorHAnsi"/>
          <w:bCs/>
          <w:color w:val="0000E1"/>
        </w:rPr>
        <w:t xml:space="preserve">). </w:t>
      </w:r>
    </w:p>
    <w:p w14:paraId="37241144" w14:textId="77777777" w:rsidR="00791DA3" w:rsidRPr="000361DF" w:rsidRDefault="00791DA3" w:rsidP="00FE69EC">
      <w:pPr>
        <w:autoSpaceDE w:val="0"/>
        <w:autoSpaceDN w:val="0"/>
        <w:adjustRightInd w:val="0"/>
        <w:spacing w:after="0" w:line="240" w:lineRule="auto"/>
        <w:rPr>
          <w:rFonts w:cstheme="minorHAnsi"/>
          <w:bCs/>
          <w:color w:val="0000E1"/>
        </w:rPr>
      </w:pPr>
    </w:p>
    <w:p w14:paraId="7DB73FC8" w14:textId="77777777" w:rsidR="00DD0554" w:rsidRDefault="00DD0554">
      <w:pPr>
        <w:rPr>
          <w:rFonts w:cstheme="minorHAnsi"/>
          <w:b/>
          <w:bCs/>
          <w:color w:val="0000E1"/>
        </w:rPr>
      </w:pPr>
      <w:r>
        <w:rPr>
          <w:rFonts w:cstheme="minorHAnsi"/>
          <w:b/>
          <w:bCs/>
          <w:color w:val="0000E1"/>
        </w:rPr>
        <w:br w:type="page"/>
      </w:r>
    </w:p>
    <w:p w14:paraId="7A16D2F0" w14:textId="77777777" w:rsidR="00CC5D89" w:rsidRPr="000361DF" w:rsidRDefault="00CC5D89" w:rsidP="00CC5D89">
      <w:pPr>
        <w:autoSpaceDE w:val="0"/>
        <w:autoSpaceDN w:val="0"/>
        <w:adjustRightInd w:val="0"/>
        <w:spacing w:after="0" w:line="240" w:lineRule="auto"/>
        <w:rPr>
          <w:rFonts w:cstheme="minorHAnsi"/>
          <w:b/>
          <w:bCs/>
          <w:color w:val="0000E1"/>
        </w:rPr>
      </w:pPr>
      <w:r w:rsidRPr="000361DF">
        <w:rPr>
          <w:rFonts w:cstheme="minorHAnsi"/>
          <w:b/>
          <w:bCs/>
          <w:color w:val="0000E1"/>
        </w:rPr>
        <w:lastRenderedPageBreak/>
        <w:t xml:space="preserve">Table </w:t>
      </w:r>
      <w:r w:rsidR="001D35AA" w:rsidRPr="000361DF">
        <w:rPr>
          <w:rFonts w:cstheme="minorHAnsi"/>
          <w:b/>
          <w:bCs/>
          <w:color w:val="0000E1"/>
        </w:rPr>
        <w:t>23</w:t>
      </w:r>
      <w:r w:rsidRPr="000361DF">
        <w:rPr>
          <w:rFonts w:cstheme="minorHAnsi"/>
          <w:b/>
          <w:bCs/>
          <w:color w:val="0000E1"/>
        </w:rPr>
        <w:t>. Means Distribution of Measure Rates for Medicaid – By Therapeutic Category</w:t>
      </w:r>
    </w:p>
    <w:tbl>
      <w:tblPr>
        <w:tblStyle w:val="TableGrid"/>
        <w:tblW w:w="0" w:type="auto"/>
        <w:tblLook w:val="04A0" w:firstRow="1" w:lastRow="0" w:firstColumn="1" w:lastColumn="0" w:noHBand="0" w:noVBand="1"/>
      </w:tblPr>
      <w:tblGrid>
        <w:gridCol w:w="2337"/>
        <w:gridCol w:w="2337"/>
        <w:gridCol w:w="2338"/>
        <w:gridCol w:w="2338"/>
      </w:tblGrid>
      <w:tr w:rsidR="00D841B3" w:rsidRPr="000361DF" w14:paraId="55464603" w14:textId="77777777" w:rsidTr="00D30130">
        <w:tc>
          <w:tcPr>
            <w:tcW w:w="2337" w:type="dxa"/>
            <w:shd w:val="clear" w:color="auto" w:fill="D9D9D9" w:themeFill="background1" w:themeFillShade="D9"/>
          </w:tcPr>
          <w:p w14:paraId="58A747FB" w14:textId="77777777" w:rsidR="00D841B3" w:rsidRPr="000361DF" w:rsidRDefault="00D841B3" w:rsidP="00D841B3">
            <w:pPr>
              <w:autoSpaceDE w:val="0"/>
              <w:autoSpaceDN w:val="0"/>
              <w:adjustRightInd w:val="0"/>
              <w:rPr>
                <w:rFonts w:cstheme="minorHAnsi"/>
                <w:b/>
                <w:bCs/>
                <w:color w:val="0000E1"/>
              </w:rPr>
            </w:pPr>
            <w:r w:rsidRPr="000361DF">
              <w:rPr>
                <w:rFonts w:cstheme="minorHAnsi"/>
                <w:b/>
                <w:bCs/>
                <w:color w:val="0000E1"/>
              </w:rPr>
              <w:t>Statistic</w:t>
            </w:r>
          </w:p>
        </w:tc>
        <w:tc>
          <w:tcPr>
            <w:tcW w:w="2337" w:type="dxa"/>
            <w:shd w:val="clear" w:color="auto" w:fill="D9D9D9" w:themeFill="background1" w:themeFillShade="D9"/>
          </w:tcPr>
          <w:p w14:paraId="24815FB2" w14:textId="77777777" w:rsidR="00D841B3" w:rsidRPr="000361DF" w:rsidRDefault="00D841B3" w:rsidP="00D841B3">
            <w:pPr>
              <w:autoSpaceDE w:val="0"/>
              <w:autoSpaceDN w:val="0"/>
              <w:adjustRightInd w:val="0"/>
              <w:jc w:val="center"/>
              <w:rPr>
                <w:rFonts w:cstheme="minorHAnsi"/>
                <w:b/>
                <w:bCs/>
                <w:color w:val="0000E1"/>
              </w:rPr>
            </w:pPr>
            <w:r w:rsidRPr="000361DF">
              <w:rPr>
                <w:rFonts w:cstheme="minorHAnsi"/>
                <w:b/>
                <w:bCs/>
                <w:color w:val="0000E1"/>
              </w:rPr>
              <w:t>Diabetes</w:t>
            </w:r>
          </w:p>
        </w:tc>
        <w:tc>
          <w:tcPr>
            <w:tcW w:w="2338" w:type="dxa"/>
            <w:shd w:val="clear" w:color="auto" w:fill="D9D9D9" w:themeFill="background1" w:themeFillShade="D9"/>
          </w:tcPr>
          <w:p w14:paraId="1240FEA4" w14:textId="77777777" w:rsidR="00D841B3" w:rsidRPr="000361DF" w:rsidRDefault="00D841B3" w:rsidP="00D841B3">
            <w:pPr>
              <w:autoSpaceDE w:val="0"/>
              <w:autoSpaceDN w:val="0"/>
              <w:adjustRightInd w:val="0"/>
              <w:jc w:val="center"/>
              <w:rPr>
                <w:rFonts w:cstheme="minorHAnsi"/>
                <w:b/>
                <w:bCs/>
                <w:color w:val="0000E1"/>
              </w:rPr>
            </w:pPr>
            <w:r w:rsidRPr="000361DF">
              <w:rPr>
                <w:rFonts w:cstheme="minorHAnsi"/>
                <w:b/>
                <w:bCs/>
                <w:color w:val="0000E1"/>
              </w:rPr>
              <w:t>RASA</w:t>
            </w:r>
          </w:p>
        </w:tc>
        <w:tc>
          <w:tcPr>
            <w:tcW w:w="2338" w:type="dxa"/>
            <w:shd w:val="clear" w:color="auto" w:fill="D9D9D9" w:themeFill="background1" w:themeFillShade="D9"/>
          </w:tcPr>
          <w:p w14:paraId="62759E49" w14:textId="77777777" w:rsidR="00D841B3" w:rsidRPr="000361DF" w:rsidRDefault="00D841B3" w:rsidP="00D841B3">
            <w:pPr>
              <w:autoSpaceDE w:val="0"/>
              <w:autoSpaceDN w:val="0"/>
              <w:adjustRightInd w:val="0"/>
              <w:jc w:val="center"/>
              <w:rPr>
                <w:rFonts w:cstheme="minorHAnsi"/>
                <w:b/>
                <w:bCs/>
                <w:color w:val="0000E1"/>
              </w:rPr>
            </w:pPr>
            <w:r>
              <w:rPr>
                <w:rFonts w:cstheme="minorHAnsi"/>
                <w:b/>
                <w:bCs/>
                <w:color w:val="0000E1"/>
              </w:rPr>
              <w:t>Statins</w:t>
            </w:r>
          </w:p>
        </w:tc>
      </w:tr>
      <w:tr w:rsidR="00D841B3" w:rsidRPr="000361DF" w14:paraId="50D6B202" w14:textId="77777777" w:rsidTr="00740EFD">
        <w:tc>
          <w:tcPr>
            <w:tcW w:w="2337" w:type="dxa"/>
          </w:tcPr>
          <w:p w14:paraId="03F8C5B9"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Mean</w:t>
            </w:r>
          </w:p>
        </w:tc>
        <w:tc>
          <w:tcPr>
            <w:tcW w:w="2337" w:type="dxa"/>
          </w:tcPr>
          <w:p w14:paraId="79C5FB82" w14:textId="77777777" w:rsidR="00D841B3" w:rsidRPr="000361DF" w:rsidRDefault="00D841B3" w:rsidP="00D841B3">
            <w:pPr>
              <w:autoSpaceDE w:val="0"/>
              <w:autoSpaceDN w:val="0"/>
              <w:adjustRightInd w:val="0"/>
              <w:jc w:val="right"/>
              <w:rPr>
                <w:rFonts w:cstheme="minorHAnsi"/>
                <w:bCs/>
                <w:color w:val="0000E1"/>
              </w:rPr>
            </w:pPr>
            <w:r w:rsidRPr="000361DF">
              <w:rPr>
                <w:rFonts w:cstheme="minorHAnsi"/>
                <w:color w:val="0000E1"/>
              </w:rPr>
              <w:t>59.6%</w:t>
            </w:r>
          </w:p>
        </w:tc>
        <w:tc>
          <w:tcPr>
            <w:tcW w:w="2338" w:type="dxa"/>
          </w:tcPr>
          <w:p w14:paraId="3B4E97FF" w14:textId="77777777" w:rsidR="00D841B3" w:rsidRPr="000361DF" w:rsidRDefault="00D841B3" w:rsidP="00D841B3">
            <w:pPr>
              <w:autoSpaceDE w:val="0"/>
              <w:autoSpaceDN w:val="0"/>
              <w:adjustRightInd w:val="0"/>
              <w:jc w:val="right"/>
              <w:rPr>
                <w:rFonts w:cstheme="minorHAnsi"/>
                <w:bCs/>
                <w:color w:val="0000E1"/>
              </w:rPr>
            </w:pPr>
            <w:r w:rsidRPr="000361DF">
              <w:rPr>
                <w:rFonts w:cstheme="minorHAnsi"/>
                <w:color w:val="0000E1"/>
              </w:rPr>
              <w:t>62.2%</w:t>
            </w:r>
          </w:p>
        </w:tc>
        <w:tc>
          <w:tcPr>
            <w:tcW w:w="2338" w:type="dxa"/>
            <w:vAlign w:val="center"/>
          </w:tcPr>
          <w:p w14:paraId="5129EF85" w14:textId="77777777" w:rsidR="00D841B3" w:rsidRPr="000361DF" w:rsidRDefault="00D841B3" w:rsidP="00D841B3">
            <w:pPr>
              <w:autoSpaceDE w:val="0"/>
              <w:autoSpaceDN w:val="0"/>
              <w:adjustRightInd w:val="0"/>
              <w:jc w:val="right"/>
              <w:rPr>
                <w:rFonts w:cstheme="minorHAnsi"/>
                <w:bCs/>
                <w:color w:val="0000E1"/>
              </w:rPr>
            </w:pPr>
            <w:r>
              <w:rPr>
                <w:rFonts w:ascii="Calibri" w:hAnsi="Calibri" w:cstheme="minorHAnsi"/>
                <w:color w:val="0000E1"/>
              </w:rPr>
              <w:t>58.7%</w:t>
            </w:r>
          </w:p>
        </w:tc>
      </w:tr>
      <w:tr w:rsidR="00D841B3" w:rsidRPr="000361DF" w14:paraId="2D00AF80" w14:textId="77777777" w:rsidTr="00740EFD">
        <w:tc>
          <w:tcPr>
            <w:tcW w:w="2337" w:type="dxa"/>
          </w:tcPr>
          <w:p w14:paraId="5777D7C2"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Std. Deviation (Mean)</w:t>
            </w:r>
          </w:p>
        </w:tc>
        <w:tc>
          <w:tcPr>
            <w:tcW w:w="2337" w:type="dxa"/>
          </w:tcPr>
          <w:p w14:paraId="2B9D0FEF" w14:textId="77777777" w:rsidR="00D841B3" w:rsidRPr="000361DF" w:rsidRDefault="00D841B3" w:rsidP="00D841B3">
            <w:pPr>
              <w:autoSpaceDE w:val="0"/>
              <w:autoSpaceDN w:val="0"/>
              <w:adjustRightInd w:val="0"/>
              <w:jc w:val="right"/>
              <w:rPr>
                <w:rFonts w:cstheme="minorHAnsi"/>
                <w:bCs/>
                <w:color w:val="0000E1"/>
              </w:rPr>
            </w:pPr>
            <w:r w:rsidRPr="000361DF">
              <w:rPr>
                <w:rFonts w:cstheme="minorHAnsi"/>
                <w:color w:val="0000E1"/>
              </w:rPr>
              <w:t>11.4%</w:t>
            </w:r>
          </w:p>
        </w:tc>
        <w:tc>
          <w:tcPr>
            <w:tcW w:w="2338" w:type="dxa"/>
          </w:tcPr>
          <w:p w14:paraId="4379113A" w14:textId="77777777" w:rsidR="00D841B3" w:rsidRPr="000361DF" w:rsidRDefault="00D841B3" w:rsidP="00D841B3">
            <w:pPr>
              <w:autoSpaceDE w:val="0"/>
              <w:autoSpaceDN w:val="0"/>
              <w:adjustRightInd w:val="0"/>
              <w:jc w:val="right"/>
              <w:rPr>
                <w:rFonts w:cstheme="minorHAnsi"/>
                <w:bCs/>
                <w:color w:val="0000E1"/>
              </w:rPr>
            </w:pPr>
            <w:r w:rsidRPr="000361DF">
              <w:rPr>
                <w:rFonts w:cstheme="minorHAnsi"/>
                <w:color w:val="0000E1"/>
              </w:rPr>
              <w:t>10.7%</w:t>
            </w:r>
          </w:p>
        </w:tc>
        <w:tc>
          <w:tcPr>
            <w:tcW w:w="2338" w:type="dxa"/>
            <w:vAlign w:val="center"/>
          </w:tcPr>
          <w:p w14:paraId="1696A9E7" w14:textId="77777777" w:rsidR="00D841B3" w:rsidRPr="000361DF" w:rsidRDefault="00D841B3" w:rsidP="00D841B3">
            <w:pPr>
              <w:autoSpaceDE w:val="0"/>
              <w:autoSpaceDN w:val="0"/>
              <w:adjustRightInd w:val="0"/>
              <w:jc w:val="right"/>
              <w:rPr>
                <w:rFonts w:cstheme="minorHAnsi"/>
                <w:bCs/>
                <w:color w:val="0000E1"/>
              </w:rPr>
            </w:pPr>
            <w:r>
              <w:rPr>
                <w:rFonts w:ascii="Calibri" w:hAnsi="Calibri" w:cstheme="minorHAnsi"/>
                <w:color w:val="0000E1"/>
              </w:rPr>
              <w:t>11.0%</w:t>
            </w:r>
          </w:p>
        </w:tc>
      </w:tr>
      <w:tr w:rsidR="00D841B3" w:rsidRPr="000361DF" w14:paraId="25DCF11E" w14:textId="77777777" w:rsidTr="00740EFD">
        <w:tc>
          <w:tcPr>
            <w:tcW w:w="2337" w:type="dxa"/>
          </w:tcPr>
          <w:p w14:paraId="0E599E44"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Minimum</w:t>
            </w:r>
          </w:p>
        </w:tc>
        <w:tc>
          <w:tcPr>
            <w:tcW w:w="2337" w:type="dxa"/>
          </w:tcPr>
          <w:p w14:paraId="1F19453C" w14:textId="77777777" w:rsidR="00D841B3" w:rsidRPr="000361DF" w:rsidRDefault="00D841B3" w:rsidP="00D841B3">
            <w:pPr>
              <w:autoSpaceDE w:val="0"/>
              <w:autoSpaceDN w:val="0"/>
              <w:adjustRightInd w:val="0"/>
              <w:jc w:val="right"/>
              <w:rPr>
                <w:rFonts w:cstheme="minorHAnsi"/>
                <w:bCs/>
                <w:color w:val="0000E1"/>
              </w:rPr>
            </w:pPr>
            <w:r w:rsidRPr="000361DF">
              <w:rPr>
                <w:rFonts w:cstheme="minorHAnsi"/>
                <w:color w:val="0000E1"/>
              </w:rPr>
              <w:t>32.1%</w:t>
            </w:r>
          </w:p>
        </w:tc>
        <w:tc>
          <w:tcPr>
            <w:tcW w:w="2338" w:type="dxa"/>
          </w:tcPr>
          <w:p w14:paraId="2781E0EC" w14:textId="77777777" w:rsidR="00D841B3" w:rsidRPr="000361DF" w:rsidRDefault="00D841B3" w:rsidP="00D841B3">
            <w:pPr>
              <w:autoSpaceDE w:val="0"/>
              <w:autoSpaceDN w:val="0"/>
              <w:adjustRightInd w:val="0"/>
              <w:jc w:val="right"/>
              <w:rPr>
                <w:rFonts w:cstheme="minorHAnsi"/>
                <w:bCs/>
                <w:color w:val="0000E1"/>
              </w:rPr>
            </w:pPr>
            <w:r w:rsidRPr="000361DF">
              <w:rPr>
                <w:rFonts w:cstheme="minorHAnsi"/>
                <w:color w:val="0000E1"/>
              </w:rPr>
              <w:t>34.1%</w:t>
            </w:r>
          </w:p>
        </w:tc>
        <w:tc>
          <w:tcPr>
            <w:tcW w:w="2338" w:type="dxa"/>
            <w:vAlign w:val="center"/>
          </w:tcPr>
          <w:p w14:paraId="3C9E7435" w14:textId="77777777" w:rsidR="00D841B3" w:rsidRPr="000361DF" w:rsidRDefault="00D841B3" w:rsidP="00D841B3">
            <w:pPr>
              <w:autoSpaceDE w:val="0"/>
              <w:autoSpaceDN w:val="0"/>
              <w:adjustRightInd w:val="0"/>
              <w:jc w:val="right"/>
              <w:rPr>
                <w:rFonts w:cstheme="minorHAnsi"/>
                <w:bCs/>
                <w:color w:val="0000E1"/>
              </w:rPr>
            </w:pPr>
            <w:r>
              <w:rPr>
                <w:rFonts w:ascii="Calibri" w:hAnsi="Calibri" w:cstheme="minorHAnsi"/>
                <w:color w:val="0000E1"/>
              </w:rPr>
              <w:t>31.9%</w:t>
            </w:r>
          </w:p>
        </w:tc>
      </w:tr>
      <w:tr w:rsidR="00D841B3" w:rsidRPr="000361DF" w14:paraId="6793FCB2" w14:textId="77777777" w:rsidTr="00740EFD">
        <w:tc>
          <w:tcPr>
            <w:tcW w:w="2337" w:type="dxa"/>
          </w:tcPr>
          <w:p w14:paraId="281AD9E7"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25</w:t>
            </w:r>
            <w:r w:rsidRPr="000361DF">
              <w:rPr>
                <w:rFonts w:cstheme="minorHAnsi"/>
                <w:bCs/>
                <w:color w:val="0000E1"/>
                <w:vertAlign w:val="superscript"/>
              </w:rPr>
              <w:t>th</w:t>
            </w:r>
            <w:r w:rsidRPr="000361DF">
              <w:rPr>
                <w:rFonts w:cstheme="minorHAnsi"/>
                <w:bCs/>
                <w:color w:val="0000E1"/>
              </w:rPr>
              <w:t xml:space="preserve"> Percentile</w:t>
            </w:r>
          </w:p>
        </w:tc>
        <w:tc>
          <w:tcPr>
            <w:tcW w:w="2337" w:type="dxa"/>
          </w:tcPr>
          <w:p w14:paraId="292629C4" w14:textId="77777777" w:rsidR="00D841B3" w:rsidRPr="000361DF" w:rsidRDefault="00D841B3" w:rsidP="00D841B3">
            <w:pPr>
              <w:autoSpaceDE w:val="0"/>
              <w:autoSpaceDN w:val="0"/>
              <w:adjustRightInd w:val="0"/>
              <w:jc w:val="right"/>
              <w:rPr>
                <w:rFonts w:cstheme="minorHAnsi"/>
                <w:bCs/>
                <w:color w:val="0000E1"/>
              </w:rPr>
            </w:pPr>
            <w:r w:rsidRPr="000361DF">
              <w:rPr>
                <w:rFonts w:cstheme="minorHAnsi"/>
                <w:color w:val="0000E1"/>
              </w:rPr>
              <w:t>53.0%</w:t>
            </w:r>
          </w:p>
        </w:tc>
        <w:tc>
          <w:tcPr>
            <w:tcW w:w="2338" w:type="dxa"/>
          </w:tcPr>
          <w:p w14:paraId="381D1C8B" w14:textId="77777777" w:rsidR="00D841B3" w:rsidRPr="000361DF" w:rsidRDefault="00D841B3" w:rsidP="00D841B3">
            <w:pPr>
              <w:autoSpaceDE w:val="0"/>
              <w:autoSpaceDN w:val="0"/>
              <w:adjustRightInd w:val="0"/>
              <w:jc w:val="right"/>
              <w:rPr>
                <w:rFonts w:cstheme="minorHAnsi"/>
                <w:bCs/>
                <w:color w:val="0000E1"/>
              </w:rPr>
            </w:pPr>
            <w:r w:rsidRPr="000361DF">
              <w:rPr>
                <w:rFonts w:cstheme="minorHAnsi"/>
                <w:color w:val="0000E1"/>
              </w:rPr>
              <w:t>55.6%</w:t>
            </w:r>
          </w:p>
        </w:tc>
        <w:tc>
          <w:tcPr>
            <w:tcW w:w="2338" w:type="dxa"/>
            <w:vAlign w:val="center"/>
          </w:tcPr>
          <w:p w14:paraId="4FDCE041" w14:textId="77777777" w:rsidR="00D841B3" w:rsidRPr="000361DF" w:rsidRDefault="00D841B3" w:rsidP="00D841B3">
            <w:pPr>
              <w:autoSpaceDE w:val="0"/>
              <w:autoSpaceDN w:val="0"/>
              <w:adjustRightInd w:val="0"/>
              <w:jc w:val="right"/>
              <w:rPr>
                <w:rFonts w:cstheme="minorHAnsi"/>
                <w:bCs/>
                <w:color w:val="0000E1"/>
              </w:rPr>
            </w:pPr>
            <w:r>
              <w:rPr>
                <w:rFonts w:ascii="Calibri" w:hAnsi="Calibri" w:cstheme="minorHAnsi"/>
                <w:color w:val="0000E1"/>
              </w:rPr>
              <w:t>52.2%</w:t>
            </w:r>
          </w:p>
        </w:tc>
      </w:tr>
      <w:tr w:rsidR="00D841B3" w:rsidRPr="000361DF" w14:paraId="5BE54696" w14:textId="77777777" w:rsidTr="00740EFD">
        <w:tc>
          <w:tcPr>
            <w:tcW w:w="2337" w:type="dxa"/>
          </w:tcPr>
          <w:p w14:paraId="335225C3"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50</w:t>
            </w:r>
            <w:r w:rsidRPr="000361DF">
              <w:rPr>
                <w:rFonts w:cstheme="minorHAnsi"/>
                <w:bCs/>
                <w:color w:val="0000E1"/>
                <w:vertAlign w:val="superscript"/>
              </w:rPr>
              <w:t>th</w:t>
            </w:r>
            <w:r w:rsidRPr="000361DF">
              <w:rPr>
                <w:rFonts w:cstheme="minorHAnsi"/>
                <w:bCs/>
                <w:color w:val="0000E1"/>
              </w:rPr>
              <w:t xml:space="preserve"> Percentile</w:t>
            </w:r>
          </w:p>
        </w:tc>
        <w:tc>
          <w:tcPr>
            <w:tcW w:w="2337" w:type="dxa"/>
          </w:tcPr>
          <w:p w14:paraId="717F6F4C" w14:textId="77777777" w:rsidR="00D841B3" w:rsidRPr="000361DF" w:rsidRDefault="00D841B3" w:rsidP="00D841B3">
            <w:pPr>
              <w:autoSpaceDE w:val="0"/>
              <w:autoSpaceDN w:val="0"/>
              <w:adjustRightInd w:val="0"/>
              <w:jc w:val="right"/>
              <w:rPr>
                <w:rFonts w:cstheme="minorHAnsi"/>
                <w:bCs/>
                <w:color w:val="0000E1"/>
              </w:rPr>
            </w:pPr>
            <w:r w:rsidRPr="000361DF">
              <w:rPr>
                <w:rFonts w:cstheme="minorHAnsi"/>
                <w:color w:val="0000E1"/>
              </w:rPr>
              <w:t>60.9%</w:t>
            </w:r>
          </w:p>
        </w:tc>
        <w:tc>
          <w:tcPr>
            <w:tcW w:w="2338" w:type="dxa"/>
          </w:tcPr>
          <w:p w14:paraId="40DD9F0F" w14:textId="77777777" w:rsidR="00D841B3" w:rsidRPr="000361DF" w:rsidRDefault="00D841B3" w:rsidP="00D841B3">
            <w:pPr>
              <w:autoSpaceDE w:val="0"/>
              <w:autoSpaceDN w:val="0"/>
              <w:adjustRightInd w:val="0"/>
              <w:jc w:val="right"/>
              <w:rPr>
                <w:rFonts w:cstheme="minorHAnsi"/>
                <w:bCs/>
                <w:color w:val="0000E1"/>
              </w:rPr>
            </w:pPr>
            <w:r w:rsidRPr="000361DF">
              <w:rPr>
                <w:rFonts w:cstheme="minorHAnsi"/>
                <w:color w:val="0000E1"/>
              </w:rPr>
              <w:t>63.0%</w:t>
            </w:r>
          </w:p>
        </w:tc>
        <w:tc>
          <w:tcPr>
            <w:tcW w:w="2338" w:type="dxa"/>
            <w:vAlign w:val="center"/>
          </w:tcPr>
          <w:p w14:paraId="112BE462" w14:textId="77777777" w:rsidR="00D841B3" w:rsidRPr="000361DF" w:rsidRDefault="00D841B3" w:rsidP="00D841B3">
            <w:pPr>
              <w:autoSpaceDE w:val="0"/>
              <w:autoSpaceDN w:val="0"/>
              <w:adjustRightInd w:val="0"/>
              <w:jc w:val="right"/>
              <w:rPr>
                <w:rFonts w:cstheme="minorHAnsi"/>
                <w:bCs/>
                <w:color w:val="0000E1"/>
              </w:rPr>
            </w:pPr>
            <w:r>
              <w:rPr>
                <w:rFonts w:ascii="Calibri" w:hAnsi="Calibri" w:cstheme="minorHAnsi"/>
                <w:color w:val="0000E1"/>
              </w:rPr>
              <w:t>59.6%</w:t>
            </w:r>
          </w:p>
        </w:tc>
      </w:tr>
      <w:tr w:rsidR="00D841B3" w:rsidRPr="000361DF" w14:paraId="534ABC27" w14:textId="77777777" w:rsidTr="00740EFD">
        <w:tc>
          <w:tcPr>
            <w:tcW w:w="2337" w:type="dxa"/>
          </w:tcPr>
          <w:p w14:paraId="05D1D12C"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75</w:t>
            </w:r>
            <w:r w:rsidRPr="000361DF">
              <w:rPr>
                <w:rFonts w:cstheme="minorHAnsi"/>
                <w:bCs/>
                <w:color w:val="0000E1"/>
                <w:vertAlign w:val="superscript"/>
              </w:rPr>
              <w:t>th</w:t>
            </w:r>
            <w:r w:rsidRPr="000361DF">
              <w:rPr>
                <w:rFonts w:cstheme="minorHAnsi"/>
                <w:bCs/>
                <w:color w:val="0000E1"/>
              </w:rPr>
              <w:t xml:space="preserve"> Percentile</w:t>
            </w:r>
          </w:p>
        </w:tc>
        <w:tc>
          <w:tcPr>
            <w:tcW w:w="2337" w:type="dxa"/>
          </w:tcPr>
          <w:p w14:paraId="5D522EF1" w14:textId="77777777" w:rsidR="00D841B3" w:rsidRPr="000361DF" w:rsidRDefault="00D841B3" w:rsidP="00D841B3">
            <w:pPr>
              <w:autoSpaceDE w:val="0"/>
              <w:autoSpaceDN w:val="0"/>
              <w:adjustRightInd w:val="0"/>
              <w:jc w:val="right"/>
              <w:rPr>
                <w:rFonts w:cstheme="minorHAnsi"/>
                <w:bCs/>
                <w:color w:val="0000E1"/>
              </w:rPr>
            </w:pPr>
            <w:r w:rsidRPr="000361DF">
              <w:rPr>
                <w:rFonts w:cstheme="minorHAnsi"/>
                <w:color w:val="0000E1"/>
              </w:rPr>
              <w:t>67.1%</w:t>
            </w:r>
          </w:p>
        </w:tc>
        <w:tc>
          <w:tcPr>
            <w:tcW w:w="2338" w:type="dxa"/>
          </w:tcPr>
          <w:p w14:paraId="34DFC8F7" w14:textId="77777777" w:rsidR="00D841B3" w:rsidRPr="000361DF" w:rsidRDefault="00D841B3" w:rsidP="00D841B3">
            <w:pPr>
              <w:autoSpaceDE w:val="0"/>
              <w:autoSpaceDN w:val="0"/>
              <w:adjustRightInd w:val="0"/>
              <w:jc w:val="right"/>
              <w:rPr>
                <w:rFonts w:cstheme="minorHAnsi"/>
                <w:bCs/>
                <w:color w:val="0000E1"/>
              </w:rPr>
            </w:pPr>
            <w:r w:rsidRPr="000361DF">
              <w:rPr>
                <w:rFonts w:cstheme="minorHAnsi"/>
                <w:color w:val="0000E1"/>
              </w:rPr>
              <w:t>68.7%</w:t>
            </w:r>
          </w:p>
        </w:tc>
        <w:tc>
          <w:tcPr>
            <w:tcW w:w="2338" w:type="dxa"/>
            <w:vAlign w:val="center"/>
          </w:tcPr>
          <w:p w14:paraId="082D7769" w14:textId="77777777" w:rsidR="00D841B3" w:rsidRPr="000361DF" w:rsidRDefault="00D841B3" w:rsidP="00D841B3">
            <w:pPr>
              <w:autoSpaceDE w:val="0"/>
              <w:autoSpaceDN w:val="0"/>
              <w:adjustRightInd w:val="0"/>
              <w:jc w:val="right"/>
              <w:rPr>
                <w:rFonts w:cstheme="minorHAnsi"/>
                <w:bCs/>
                <w:color w:val="0000E1"/>
              </w:rPr>
            </w:pPr>
            <w:r>
              <w:rPr>
                <w:rFonts w:ascii="Calibri" w:hAnsi="Calibri" w:cstheme="minorHAnsi"/>
                <w:color w:val="0000E1"/>
              </w:rPr>
              <w:t>65.6%</w:t>
            </w:r>
          </w:p>
        </w:tc>
      </w:tr>
      <w:tr w:rsidR="00D841B3" w:rsidRPr="000361DF" w14:paraId="419A4034" w14:textId="77777777" w:rsidTr="00740EFD">
        <w:tc>
          <w:tcPr>
            <w:tcW w:w="2337" w:type="dxa"/>
          </w:tcPr>
          <w:p w14:paraId="7521092B"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Maximum</w:t>
            </w:r>
          </w:p>
        </w:tc>
        <w:tc>
          <w:tcPr>
            <w:tcW w:w="2337" w:type="dxa"/>
          </w:tcPr>
          <w:p w14:paraId="0F69B122" w14:textId="77777777" w:rsidR="00D841B3" w:rsidRPr="000361DF" w:rsidRDefault="00D841B3" w:rsidP="00D841B3">
            <w:pPr>
              <w:autoSpaceDE w:val="0"/>
              <w:autoSpaceDN w:val="0"/>
              <w:adjustRightInd w:val="0"/>
              <w:jc w:val="right"/>
              <w:rPr>
                <w:rFonts w:cstheme="minorHAnsi"/>
                <w:bCs/>
                <w:color w:val="0000E1"/>
              </w:rPr>
            </w:pPr>
            <w:r w:rsidRPr="000361DF">
              <w:rPr>
                <w:rFonts w:cstheme="minorHAnsi"/>
                <w:color w:val="0000E1"/>
              </w:rPr>
              <w:t>85.0%</w:t>
            </w:r>
          </w:p>
        </w:tc>
        <w:tc>
          <w:tcPr>
            <w:tcW w:w="2338" w:type="dxa"/>
          </w:tcPr>
          <w:p w14:paraId="64BD183A" w14:textId="77777777" w:rsidR="00D841B3" w:rsidRPr="000361DF" w:rsidRDefault="00D841B3" w:rsidP="00D841B3">
            <w:pPr>
              <w:autoSpaceDE w:val="0"/>
              <w:autoSpaceDN w:val="0"/>
              <w:adjustRightInd w:val="0"/>
              <w:jc w:val="right"/>
              <w:rPr>
                <w:rFonts w:cstheme="minorHAnsi"/>
                <w:bCs/>
                <w:color w:val="0000E1"/>
              </w:rPr>
            </w:pPr>
            <w:r w:rsidRPr="000361DF">
              <w:rPr>
                <w:rFonts w:cstheme="minorHAnsi"/>
                <w:color w:val="0000E1"/>
              </w:rPr>
              <w:t>85.4%</w:t>
            </w:r>
          </w:p>
        </w:tc>
        <w:tc>
          <w:tcPr>
            <w:tcW w:w="2338" w:type="dxa"/>
            <w:vAlign w:val="center"/>
          </w:tcPr>
          <w:p w14:paraId="45574FB9" w14:textId="77777777" w:rsidR="00D841B3" w:rsidRPr="000361DF" w:rsidRDefault="00D841B3" w:rsidP="00D841B3">
            <w:pPr>
              <w:autoSpaceDE w:val="0"/>
              <w:autoSpaceDN w:val="0"/>
              <w:adjustRightInd w:val="0"/>
              <w:jc w:val="right"/>
              <w:rPr>
                <w:rFonts w:cstheme="minorHAnsi"/>
                <w:bCs/>
                <w:color w:val="0000E1"/>
              </w:rPr>
            </w:pPr>
            <w:r>
              <w:rPr>
                <w:rFonts w:ascii="Calibri" w:hAnsi="Calibri" w:cstheme="minorHAnsi"/>
                <w:color w:val="0000E1"/>
              </w:rPr>
              <w:t>86.6%</w:t>
            </w:r>
          </w:p>
        </w:tc>
      </w:tr>
      <w:tr w:rsidR="00D841B3" w:rsidRPr="000361DF" w14:paraId="7D9F3B7C" w14:textId="77777777" w:rsidTr="00DD0554">
        <w:tc>
          <w:tcPr>
            <w:tcW w:w="2337" w:type="dxa"/>
            <w:tcBorders>
              <w:bottom w:val="single" w:sz="4" w:space="0" w:color="auto"/>
            </w:tcBorders>
          </w:tcPr>
          <w:p w14:paraId="559DD61E"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Interquartile Range</w:t>
            </w:r>
          </w:p>
        </w:tc>
        <w:tc>
          <w:tcPr>
            <w:tcW w:w="2337" w:type="dxa"/>
            <w:tcBorders>
              <w:bottom w:val="single" w:sz="4" w:space="0" w:color="auto"/>
            </w:tcBorders>
          </w:tcPr>
          <w:p w14:paraId="232C24D3" w14:textId="77777777" w:rsidR="00D841B3" w:rsidRPr="000361DF" w:rsidRDefault="00D841B3" w:rsidP="00D841B3">
            <w:pPr>
              <w:autoSpaceDE w:val="0"/>
              <w:autoSpaceDN w:val="0"/>
              <w:adjustRightInd w:val="0"/>
              <w:jc w:val="right"/>
              <w:rPr>
                <w:rFonts w:cstheme="minorHAnsi"/>
                <w:bCs/>
                <w:color w:val="0000E1"/>
              </w:rPr>
            </w:pPr>
            <w:r w:rsidRPr="000361DF">
              <w:rPr>
                <w:rFonts w:cstheme="minorHAnsi"/>
                <w:color w:val="0000E1"/>
              </w:rPr>
              <w:t>14.1%</w:t>
            </w:r>
          </w:p>
        </w:tc>
        <w:tc>
          <w:tcPr>
            <w:tcW w:w="2338" w:type="dxa"/>
            <w:tcBorders>
              <w:bottom w:val="single" w:sz="4" w:space="0" w:color="auto"/>
            </w:tcBorders>
          </w:tcPr>
          <w:p w14:paraId="6F8D8A04" w14:textId="77777777" w:rsidR="00D841B3" w:rsidRPr="000361DF" w:rsidRDefault="00D841B3" w:rsidP="00D841B3">
            <w:pPr>
              <w:autoSpaceDE w:val="0"/>
              <w:autoSpaceDN w:val="0"/>
              <w:adjustRightInd w:val="0"/>
              <w:jc w:val="right"/>
              <w:rPr>
                <w:rFonts w:cstheme="minorHAnsi"/>
                <w:bCs/>
                <w:color w:val="0000E1"/>
              </w:rPr>
            </w:pPr>
            <w:r w:rsidRPr="000361DF">
              <w:rPr>
                <w:rFonts w:cstheme="minorHAnsi"/>
                <w:color w:val="0000E1"/>
              </w:rPr>
              <w:t>13.1%</w:t>
            </w:r>
          </w:p>
        </w:tc>
        <w:tc>
          <w:tcPr>
            <w:tcW w:w="2338" w:type="dxa"/>
            <w:tcBorders>
              <w:bottom w:val="single" w:sz="4" w:space="0" w:color="auto"/>
            </w:tcBorders>
            <w:vAlign w:val="center"/>
          </w:tcPr>
          <w:p w14:paraId="23F4B3B7" w14:textId="77777777" w:rsidR="00D841B3" w:rsidRPr="000361DF" w:rsidRDefault="00D841B3" w:rsidP="00D841B3">
            <w:pPr>
              <w:autoSpaceDE w:val="0"/>
              <w:autoSpaceDN w:val="0"/>
              <w:adjustRightInd w:val="0"/>
              <w:jc w:val="right"/>
              <w:rPr>
                <w:rFonts w:cstheme="minorHAnsi"/>
                <w:bCs/>
                <w:color w:val="0000E1"/>
              </w:rPr>
            </w:pPr>
            <w:r>
              <w:rPr>
                <w:rFonts w:ascii="Calibri" w:hAnsi="Calibri" w:cstheme="minorHAnsi"/>
                <w:color w:val="0000E1"/>
              </w:rPr>
              <w:t>13.4%</w:t>
            </w:r>
          </w:p>
        </w:tc>
      </w:tr>
      <w:tr w:rsidR="00D841B3" w:rsidRPr="000361DF" w14:paraId="37488E30" w14:textId="77777777" w:rsidTr="00DD0554">
        <w:tc>
          <w:tcPr>
            <w:tcW w:w="2337" w:type="dxa"/>
            <w:tcBorders>
              <w:bottom w:val="single" w:sz="4" w:space="0" w:color="auto"/>
            </w:tcBorders>
          </w:tcPr>
          <w:p w14:paraId="60B9F33D"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Student’s t-test p-value</w:t>
            </w:r>
          </w:p>
        </w:tc>
        <w:tc>
          <w:tcPr>
            <w:tcW w:w="2337" w:type="dxa"/>
            <w:tcBorders>
              <w:bottom w:val="single" w:sz="4" w:space="0" w:color="auto"/>
            </w:tcBorders>
            <w:vAlign w:val="center"/>
          </w:tcPr>
          <w:p w14:paraId="58B55A47" w14:textId="77777777" w:rsidR="00D841B3" w:rsidRPr="000361DF" w:rsidRDefault="00D841B3" w:rsidP="00D841B3">
            <w:pPr>
              <w:autoSpaceDE w:val="0"/>
              <w:autoSpaceDN w:val="0"/>
              <w:adjustRightInd w:val="0"/>
              <w:jc w:val="right"/>
              <w:rPr>
                <w:rFonts w:cstheme="minorHAnsi"/>
                <w:bCs/>
                <w:color w:val="0000E1"/>
              </w:rPr>
            </w:pPr>
            <w:r w:rsidRPr="000361DF">
              <w:rPr>
                <w:rFonts w:cs="Arial"/>
                <w:color w:val="0000E1"/>
              </w:rPr>
              <w:t>&lt;.0001</w:t>
            </w:r>
          </w:p>
        </w:tc>
        <w:tc>
          <w:tcPr>
            <w:tcW w:w="2338" w:type="dxa"/>
            <w:tcBorders>
              <w:bottom w:val="single" w:sz="4" w:space="0" w:color="auto"/>
            </w:tcBorders>
          </w:tcPr>
          <w:p w14:paraId="40553DF2" w14:textId="77777777" w:rsidR="00D841B3" w:rsidRPr="000361DF" w:rsidRDefault="00D841B3" w:rsidP="00D841B3">
            <w:pPr>
              <w:autoSpaceDE w:val="0"/>
              <w:autoSpaceDN w:val="0"/>
              <w:adjustRightInd w:val="0"/>
              <w:jc w:val="right"/>
              <w:rPr>
                <w:rFonts w:cstheme="minorHAnsi"/>
                <w:bCs/>
                <w:color w:val="0000E1"/>
              </w:rPr>
            </w:pPr>
            <w:r w:rsidRPr="000361DF">
              <w:rPr>
                <w:rFonts w:cs="Arial"/>
                <w:color w:val="0000E1"/>
              </w:rPr>
              <w:t>&lt;.0001</w:t>
            </w:r>
          </w:p>
        </w:tc>
        <w:tc>
          <w:tcPr>
            <w:tcW w:w="2338" w:type="dxa"/>
            <w:tcBorders>
              <w:bottom w:val="single" w:sz="4" w:space="0" w:color="auto"/>
            </w:tcBorders>
            <w:vAlign w:val="center"/>
          </w:tcPr>
          <w:p w14:paraId="213632D3" w14:textId="77777777" w:rsidR="00D841B3" w:rsidRPr="000361DF" w:rsidRDefault="00D841B3" w:rsidP="00D841B3">
            <w:pPr>
              <w:autoSpaceDE w:val="0"/>
              <w:autoSpaceDN w:val="0"/>
              <w:adjustRightInd w:val="0"/>
              <w:jc w:val="right"/>
              <w:rPr>
                <w:rFonts w:cstheme="minorHAnsi"/>
                <w:bCs/>
                <w:color w:val="0000E1"/>
              </w:rPr>
            </w:pPr>
            <w:r>
              <w:rPr>
                <w:rFonts w:ascii="Calibri" w:hAnsi="Calibri" w:cs="Arial"/>
                <w:color w:val="0000E1"/>
              </w:rPr>
              <w:t>&lt;.0001</w:t>
            </w:r>
          </w:p>
        </w:tc>
      </w:tr>
      <w:tr w:rsidR="008E1F57" w:rsidRPr="000361DF" w14:paraId="534B0F6F" w14:textId="77777777" w:rsidTr="00DD0554">
        <w:tc>
          <w:tcPr>
            <w:tcW w:w="9350" w:type="dxa"/>
            <w:gridSpan w:val="4"/>
            <w:tcBorders>
              <w:top w:val="single" w:sz="4" w:space="0" w:color="auto"/>
              <w:left w:val="nil"/>
              <w:bottom w:val="nil"/>
              <w:right w:val="nil"/>
            </w:tcBorders>
          </w:tcPr>
          <w:p w14:paraId="7583907D" w14:textId="77777777" w:rsidR="008E1F57" w:rsidRPr="0061194B" w:rsidRDefault="008E1F57" w:rsidP="00930280">
            <w:pPr>
              <w:autoSpaceDE w:val="0"/>
              <w:autoSpaceDN w:val="0"/>
              <w:adjustRightInd w:val="0"/>
              <w:rPr>
                <w:rFonts w:cstheme="minorHAnsi"/>
                <w:i/>
                <w:color w:val="0000E1"/>
                <w:sz w:val="20"/>
              </w:rPr>
            </w:pPr>
            <w:r w:rsidRPr="0061194B">
              <w:rPr>
                <w:rFonts w:cstheme="minorHAnsi"/>
                <w:i/>
                <w:color w:val="0000E1"/>
                <w:sz w:val="20"/>
              </w:rPr>
              <w:t xml:space="preserve">RASA: renin-angiotensin system antagonist </w:t>
            </w:r>
          </w:p>
        </w:tc>
      </w:tr>
    </w:tbl>
    <w:p w14:paraId="019BF144" w14:textId="77777777" w:rsidR="00CC5D89" w:rsidRPr="000361DF" w:rsidRDefault="00CC5D89" w:rsidP="00FE69EC">
      <w:pPr>
        <w:autoSpaceDE w:val="0"/>
        <w:autoSpaceDN w:val="0"/>
        <w:adjustRightInd w:val="0"/>
        <w:spacing w:after="0" w:line="240" w:lineRule="auto"/>
        <w:ind w:right="-720"/>
        <w:rPr>
          <w:rFonts w:cstheme="minorHAnsi"/>
          <w:b/>
          <w:bCs/>
          <w:color w:val="0000E1"/>
        </w:rPr>
      </w:pPr>
    </w:p>
    <w:p w14:paraId="56836C4F" w14:textId="77777777" w:rsidR="001F4A5D" w:rsidRPr="000361DF" w:rsidRDefault="001F4A5D" w:rsidP="00FE69EC">
      <w:pPr>
        <w:autoSpaceDE w:val="0"/>
        <w:autoSpaceDN w:val="0"/>
        <w:adjustRightInd w:val="0"/>
        <w:spacing w:after="0" w:line="240" w:lineRule="auto"/>
        <w:ind w:right="-720"/>
        <w:rPr>
          <w:rFonts w:cstheme="minorHAnsi"/>
          <w:bCs/>
          <w:color w:val="0000E1"/>
        </w:rPr>
      </w:pPr>
      <w:r w:rsidRPr="000361DF">
        <w:rPr>
          <w:rFonts w:cstheme="minorHAnsi"/>
          <w:bCs/>
          <w:color w:val="0000E1"/>
        </w:rPr>
        <w:t xml:space="preserve">Table </w:t>
      </w:r>
      <w:r w:rsidR="001D35AA" w:rsidRPr="000361DF">
        <w:rPr>
          <w:rFonts w:cstheme="minorHAnsi"/>
          <w:bCs/>
          <w:color w:val="0000E1"/>
        </w:rPr>
        <w:t>24</w:t>
      </w:r>
      <w:r w:rsidRPr="000361DF">
        <w:rPr>
          <w:rFonts w:cstheme="minorHAnsi"/>
          <w:bCs/>
          <w:color w:val="0000E1"/>
        </w:rPr>
        <w:t xml:space="preserve"> shows the means distribution of the risk-adjusted measure rates for Medicare, with Table</w:t>
      </w:r>
      <w:r w:rsidR="007B0DDB" w:rsidRPr="000361DF">
        <w:rPr>
          <w:rFonts w:cstheme="minorHAnsi"/>
          <w:bCs/>
          <w:color w:val="0000E1"/>
        </w:rPr>
        <w:t>s</w:t>
      </w:r>
      <w:r w:rsidRPr="000361DF">
        <w:rPr>
          <w:rFonts w:cstheme="minorHAnsi"/>
          <w:bCs/>
          <w:color w:val="0000E1"/>
        </w:rPr>
        <w:t xml:space="preserve"> </w:t>
      </w:r>
      <w:r w:rsidR="001D35AA" w:rsidRPr="000361DF">
        <w:rPr>
          <w:rFonts w:cstheme="minorHAnsi"/>
          <w:bCs/>
          <w:color w:val="0000E1"/>
        </w:rPr>
        <w:t>19-21</w:t>
      </w:r>
      <w:r w:rsidR="007B0DDB" w:rsidRPr="000361DF">
        <w:rPr>
          <w:rFonts w:cstheme="minorHAnsi"/>
          <w:bCs/>
          <w:color w:val="0000E1"/>
        </w:rPr>
        <w:t xml:space="preserve"> </w:t>
      </w:r>
      <w:r w:rsidR="00FF1C8D" w:rsidRPr="000361DF">
        <w:rPr>
          <w:rFonts w:cstheme="minorHAnsi"/>
          <w:bCs/>
          <w:color w:val="0000E1"/>
        </w:rPr>
        <w:t>above highlighting</w:t>
      </w:r>
      <w:r w:rsidRPr="000361DF">
        <w:rPr>
          <w:rFonts w:cstheme="minorHAnsi"/>
          <w:bCs/>
          <w:color w:val="0000E1"/>
        </w:rPr>
        <w:t xml:space="preserve"> the impact of risk adjustment on decile rankings for Medicare plan-contracts. </w:t>
      </w:r>
    </w:p>
    <w:p w14:paraId="0ADEEBCB" w14:textId="77777777" w:rsidR="001F4A5D" w:rsidRPr="000361DF" w:rsidRDefault="001F4A5D" w:rsidP="00FE69EC">
      <w:pPr>
        <w:autoSpaceDE w:val="0"/>
        <w:autoSpaceDN w:val="0"/>
        <w:adjustRightInd w:val="0"/>
        <w:spacing w:after="0" w:line="240" w:lineRule="auto"/>
        <w:ind w:right="-720"/>
        <w:rPr>
          <w:rFonts w:cstheme="minorHAnsi"/>
          <w:bCs/>
          <w:color w:val="0000E1"/>
        </w:rPr>
      </w:pPr>
    </w:p>
    <w:p w14:paraId="25088890" w14:textId="77777777" w:rsidR="00C33FD2" w:rsidRPr="000361DF" w:rsidRDefault="00C33FD2" w:rsidP="00C33FD2">
      <w:pPr>
        <w:autoSpaceDE w:val="0"/>
        <w:autoSpaceDN w:val="0"/>
        <w:adjustRightInd w:val="0"/>
        <w:spacing w:after="0" w:line="240" w:lineRule="auto"/>
        <w:rPr>
          <w:rFonts w:cstheme="minorHAnsi"/>
          <w:b/>
          <w:bCs/>
          <w:color w:val="0000E1"/>
        </w:rPr>
      </w:pPr>
      <w:r w:rsidRPr="000361DF">
        <w:rPr>
          <w:rFonts w:cstheme="minorHAnsi"/>
          <w:b/>
          <w:bCs/>
          <w:color w:val="0000E1"/>
        </w:rPr>
        <w:t xml:space="preserve">Table </w:t>
      </w:r>
      <w:r w:rsidR="001D35AA" w:rsidRPr="000361DF">
        <w:rPr>
          <w:rFonts w:cstheme="minorHAnsi"/>
          <w:b/>
          <w:bCs/>
          <w:color w:val="0000E1"/>
        </w:rPr>
        <w:t>24</w:t>
      </w:r>
      <w:r w:rsidRPr="000361DF">
        <w:rPr>
          <w:rFonts w:cstheme="minorHAnsi"/>
          <w:b/>
          <w:bCs/>
          <w:color w:val="0000E1"/>
        </w:rPr>
        <w:t>. Means Distribution of Risk-Adjusted Measure Rates for Medicare – By Therapeutic Category</w:t>
      </w:r>
    </w:p>
    <w:tbl>
      <w:tblPr>
        <w:tblStyle w:val="TableGrid"/>
        <w:tblW w:w="0" w:type="auto"/>
        <w:tblLook w:val="04A0" w:firstRow="1" w:lastRow="0" w:firstColumn="1" w:lastColumn="0" w:noHBand="0" w:noVBand="1"/>
      </w:tblPr>
      <w:tblGrid>
        <w:gridCol w:w="2337"/>
        <w:gridCol w:w="2337"/>
        <w:gridCol w:w="2338"/>
        <w:gridCol w:w="2338"/>
      </w:tblGrid>
      <w:tr w:rsidR="00D841B3" w:rsidRPr="000361DF" w14:paraId="2DC8BCDD" w14:textId="77777777" w:rsidTr="00740EFD">
        <w:tc>
          <w:tcPr>
            <w:tcW w:w="2337" w:type="dxa"/>
            <w:shd w:val="clear" w:color="auto" w:fill="D9D9D9" w:themeFill="background1" w:themeFillShade="D9"/>
          </w:tcPr>
          <w:p w14:paraId="536BD088" w14:textId="77777777" w:rsidR="00D841B3" w:rsidRPr="000361DF" w:rsidRDefault="00D841B3" w:rsidP="00D841B3">
            <w:pPr>
              <w:autoSpaceDE w:val="0"/>
              <w:autoSpaceDN w:val="0"/>
              <w:adjustRightInd w:val="0"/>
              <w:rPr>
                <w:rFonts w:cstheme="minorHAnsi"/>
                <w:b/>
                <w:bCs/>
                <w:color w:val="0000E1"/>
              </w:rPr>
            </w:pPr>
            <w:r w:rsidRPr="000361DF">
              <w:rPr>
                <w:rFonts w:cstheme="minorHAnsi"/>
                <w:b/>
                <w:bCs/>
                <w:color w:val="0000E1"/>
              </w:rPr>
              <w:t>Statistic</w:t>
            </w:r>
          </w:p>
        </w:tc>
        <w:tc>
          <w:tcPr>
            <w:tcW w:w="2337" w:type="dxa"/>
            <w:shd w:val="clear" w:color="auto" w:fill="D9D9D9" w:themeFill="background1" w:themeFillShade="D9"/>
          </w:tcPr>
          <w:p w14:paraId="6A2BD189" w14:textId="77777777" w:rsidR="00D841B3" w:rsidRPr="000361DF" w:rsidRDefault="00D841B3" w:rsidP="00D841B3">
            <w:pPr>
              <w:autoSpaceDE w:val="0"/>
              <w:autoSpaceDN w:val="0"/>
              <w:adjustRightInd w:val="0"/>
              <w:jc w:val="center"/>
              <w:rPr>
                <w:rFonts w:cstheme="minorHAnsi"/>
                <w:b/>
                <w:bCs/>
                <w:color w:val="0000E1"/>
              </w:rPr>
            </w:pPr>
            <w:r w:rsidRPr="000361DF">
              <w:rPr>
                <w:rFonts w:cstheme="minorHAnsi"/>
                <w:b/>
                <w:bCs/>
                <w:color w:val="0000E1"/>
              </w:rPr>
              <w:t>Diabetes</w:t>
            </w:r>
          </w:p>
        </w:tc>
        <w:tc>
          <w:tcPr>
            <w:tcW w:w="2338" w:type="dxa"/>
            <w:shd w:val="clear" w:color="auto" w:fill="D9D9D9" w:themeFill="background1" w:themeFillShade="D9"/>
          </w:tcPr>
          <w:p w14:paraId="2E1276B2" w14:textId="77777777" w:rsidR="00D841B3" w:rsidRPr="000361DF" w:rsidRDefault="00D841B3" w:rsidP="00D841B3">
            <w:pPr>
              <w:autoSpaceDE w:val="0"/>
              <w:autoSpaceDN w:val="0"/>
              <w:adjustRightInd w:val="0"/>
              <w:jc w:val="center"/>
              <w:rPr>
                <w:rFonts w:cstheme="minorHAnsi"/>
                <w:b/>
                <w:bCs/>
                <w:color w:val="0000E1"/>
              </w:rPr>
            </w:pPr>
            <w:r w:rsidRPr="000361DF">
              <w:rPr>
                <w:rFonts w:cstheme="minorHAnsi"/>
                <w:b/>
                <w:bCs/>
                <w:color w:val="0000E1"/>
              </w:rPr>
              <w:t>RASA</w:t>
            </w:r>
          </w:p>
        </w:tc>
        <w:tc>
          <w:tcPr>
            <w:tcW w:w="2338" w:type="dxa"/>
            <w:shd w:val="clear" w:color="auto" w:fill="D9D9D9" w:themeFill="background1" w:themeFillShade="D9"/>
            <w:vAlign w:val="center"/>
          </w:tcPr>
          <w:p w14:paraId="15606328" w14:textId="77777777" w:rsidR="00D841B3" w:rsidRPr="000361DF" w:rsidRDefault="00D841B3" w:rsidP="00D841B3">
            <w:pPr>
              <w:autoSpaceDE w:val="0"/>
              <w:autoSpaceDN w:val="0"/>
              <w:adjustRightInd w:val="0"/>
              <w:jc w:val="center"/>
              <w:rPr>
                <w:rFonts w:cstheme="minorHAnsi"/>
                <w:b/>
                <w:bCs/>
                <w:color w:val="0000E1"/>
              </w:rPr>
            </w:pPr>
            <w:r>
              <w:rPr>
                <w:rFonts w:ascii="Calibri" w:hAnsi="Calibri" w:cstheme="minorHAnsi"/>
                <w:b/>
                <w:bCs/>
                <w:color w:val="0000E1"/>
              </w:rPr>
              <w:t>Statins</w:t>
            </w:r>
          </w:p>
        </w:tc>
      </w:tr>
      <w:tr w:rsidR="00D841B3" w:rsidRPr="000361DF" w14:paraId="6F75260F" w14:textId="77777777" w:rsidTr="00740EFD">
        <w:tc>
          <w:tcPr>
            <w:tcW w:w="2337" w:type="dxa"/>
          </w:tcPr>
          <w:p w14:paraId="09024121"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Mean</w:t>
            </w:r>
          </w:p>
        </w:tc>
        <w:tc>
          <w:tcPr>
            <w:tcW w:w="2337" w:type="dxa"/>
          </w:tcPr>
          <w:p w14:paraId="36895679"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81.8%</w:t>
            </w:r>
          </w:p>
        </w:tc>
        <w:tc>
          <w:tcPr>
            <w:tcW w:w="2338" w:type="dxa"/>
          </w:tcPr>
          <w:p w14:paraId="4DC71E5F"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85.5%</w:t>
            </w:r>
          </w:p>
        </w:tc>
        <w:tc>
          <w:tcPr>
            <w:tcW w:w="2338" w:type="dxa"/>
            <w:vAlign w:val="center"/>
          </w:tcPr>
          <w:p w14:paraId="6AE5081D" w14:textId="0FED4470" w:rsidR="00D841B3" w:rsidRPr="000361DF" w:rsidRDefault="008A4F0A" w:rsidP="00D841B3">
            <w:pPr>
              <w:autoSpaceDE w:val="0"/>
              <w:autoSpaceDN w:val="0"/>
              <w:adjustRightInd w:val="0"/>
              <w:jc w:val="right"/>
              <w:rPr>
                <w:rFonts w:cstheme="minorHAnsi"/>
                <w:bCs/>
                <w:color w:val="0000E1"/>
              </w:rPr>
            </w:pPr>
            <w:r>
              <w:rPr>
                <w:rFonts w:ascii="Calibri" w:hAnsi="Calibri" w:cs="Calibri"/>
                <w:color w:val="0000E1"/>
              </w:rPr>
              <w:t>80.1</w:t>
            </w:r>
            <w:r w:rsidR="00D841B3">
              <w:rPr>
                <w:rFonts w:ascii="Calibri" w:hAnsi="Calibri" w:cs="Calibri"/>
                <w:color w:val="0000E1"/>
              </w:rPr>
              <w:t>%</w:t>
            </w:r>
          </w:p>
        </w:tc>
      </w:tr>
      <w:tr w:rsidR="00D841B3" w:rsidRPr="000361DF" w14:paraId="6FE836BF" w14:textId="77777777" w:rsidTr="00740EFD">
        <w:tc>
          <w:tcPr>
            <w:tcW w:w="2337" w:type="dxa"/>
          </w:tcPr>
          <w:p w14:paraId="7C421272"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Std. Deviation (Mean)</w:t>
            </w:r>
          </w:p>
        </w:tc>
        <w:tc>
          <w:tcPr>
            <w:tcW w:w="2337" w:type="dxa"/>
          </w:tcPr>
          <w:p w14:paraId="0DCA8924"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5.1%</w:t>
            </w:r>
          </w:p>
        </w:tc>
        <w:tc>
          <w:tcPr>
            <w:tcW w:w="2338" w:type="dxa"/>
          </w:tcPr>
          <w:p w14:paraId="2DFBE8F2"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4.3%</w:t>
            </w:r>
          </w:p>
        </w:tc>
        <w:tc>
          <w:tcPr>
            <w:tcW w:w="2338" w:type="dxa"/>
            <w:vAlign w:val="center"/>
          </w:tcPr>
          <w:p w14:paraId="34244E9A" w14:textId="6F2C1686" w:rsidR="00D841B3" w:rsidRPr="000361DF" w:rsidRDefault="008A4F0A" w:rsidP="00D841B3">
            <w:pPr>
              <w:autoSpaceDE w:val="0"/>
              <w:autoSpaceDN w:val="0"/>
              <w:adjustRightInd w:val="0"/>
              <w:jc w:val="right"/>
              <w:rPr>
                <w:rFonts w:cstheme="minorHAnsi"/>
                <w:bCs/>
                <w:color w:val="0000E1"/>
              </w:rPr>
            </w:pPr>
            <w:r>
              <w:rPr>
                <w:rFonts w:ascii="Calibri" w:hAnsi="Calibri" w:cs="Calibri"/>
                <w:color w:val="0000E1"/>
              </w:rPr>
              <w:t>5.4</w:t>
            </w:r>
            <w:r w:rsidR="00D841B3">
              <w:rPr>
                <w:rFonts w:ascii="Calibri" w:hAnsi="Calibri" w:cs="Calibri"/>
                <w:color w:val="0000E1"/>
              </w:rPr>
              <w:t>%</w:t>
            </w:r>
          </w:p>
        </w:tc>
      </w:tr>
      <w:tr w:rsidR="00D841B3" w:rsidRPr="000361DF" w14:paraId="6F46D85D" w14:textId="77777777" w:rsidTr="00740EFD">
        <w:tc>
          <w:tcPr>
            <w:tcW w:w="2337" w:type="dxa"/>
          </w:tcPr>
          <w:p w14:paraId="3A891E32"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Minimum</w:t>
            </w:r>
          </w:p>
        </w:tc>
        <w:tc>
          <w:tcPr>
            <w:tcW w:w="2337" w:type="dxa"/>
          </w:tcPr>
          <w:p w14:paraId="395831B7"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61.1%</w:t>
            </w:r>
          </w:p>
        </w:tc>
        <w:tc>
          <w:tcPr>
            <w:tcW w:w="2338" w:type="dxa"/>
          </w:tcPr>
          <w:p w14:paraId="07781340"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61.0%</w:t>
            </w:r>
          </w:p>
        </w:tc>
        <w:tc>
          <w:tcPr>
            <w:tcW w:w="2338" w:type="dxa"/>
            <w:vAlign w:val="center"/>
          </w:tcPr>
          <w:p w14:paraId="24872298" w14:textId="5225D580" w:rsidR="00D841B3" w:rsidRPr="000361DF" w:rsidRDefault="008A4F0A" w:rsidP="00D841B3">
            <w:pPr>
              <w:autoSpaceDE w:val="0"/>
              <w:autoSpaceDN w:val="0"/>
              <w:adjustRightInd w:val="0"/>
              <w:jc w:val="right"/>
              <w:rPr>
                <w:rFonts w:cstheme="minorHAnsi"/>
                <w:bCs/>
                <w:color w:val="0000E1"/>
              </w:rPr>
            </w:pPr>
            <w:r>
              <w:rPr>
                <w:rFonts w:ascii="Calibri" w:hAnsi="Calibri" w:cs="Calibri"/>
                <w:color w:val="0000E1"/>
              </w:rPr>
              <w:t>55.9</w:t>
            </w:r>
            <w:r w:rsidR="00D841B3">
              <w:rPr>
                <w:rFonts w:ascii="Calibri" w:hAnsi="Calibri" w:cs="Calibri"/>
                <w:color w:val="0000E1"/>
              </w:rPr>
              <w:t>%</w:t>
            </w:r>
          </w:p>
        </w:tc>
      </w:tr>
      <w:tr w:rsidR="00D841B3" w:rsidRPr="000361DF" w14:paraId="07FCB46A" w14:textId="77777777" w:rsidTr="00740EFD">
        <w:tc>
          <w:tcPr>
            <w:tcW w:w="2337" w:type="dxa"/>
          </w:tcPr>
          <w:p w14:paraId="0BE75C01"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25</w:t>
            </w:r>
            <w:r w:rsidRPr="000361DF">
              <w:rPr>
                <w:rFonts w:cstheme="minorHAnsi"/>
                <w:bCs/>
                <w:color w:val="0000E1"/>
                <w:vertAlign w:val="superscript"/>
              </w:rPr>
              <w:t>th</w:t>
            </w:r>
            <w:r w:rsidRPr="000361DF">
              <w:rPr>
                <w:rFonts w:cstheme="minorHAnsi"/>
                <w:bCs/>
                <w:color w:val="0000E1"/>
              </w:rPr>
              <w:t xml:space="preserve"> Percentile</w:t>
            </w:r>
          </w:p>
        </w:tc>
        <w:tc>
          <w:tcPr>
            <w:tcW w:w="2337" w:type="dxa"/>
          </w:tcPr>
          <w:p w14:paraId="45C13B59"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79.0%</w:t>
            </w:r>
          </w:p>
        </w:tc>
        <w:tc>
          <w:tcPr>
            <w:tcW w:w="2338" w:type="dxa"/>
          </w:tcPr>
          <w:p w14:paraId="210EACE3"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83.8%</w:t>
            </w:r>
          </w:p>
        </w:tc>
        <w:tc>
          <w:tcPr>
            <w:tcW w:w="2338" w:type="dxa"/>
            <w:vAlign w:val="center"/>
          </w:tcPr>
          <w:p w14:paraId="4B0B34FD" w14:textId="0DBDC557" w:rsidR="00D841B3" w:rsidRPr="000361DF" w:rsidRDefault="008A4F0A" w:rsidP="00D841B3">
            <w:pPr>
              <w:autoSpaceDE w:val="0"/>
              <w:autoSpaceDN w:val="0"/>
              <w:adjustRightInd w:val="0"/>
              <w:jc w:val="right"/>
              <w:rPr>
                <w:rFonts w:cstheme="minorHAnsi"/>
                <w:bCs/>
                <w:color w:val="0000E1"/>
              </w:rPr>
            </w:pPr>
            <w:r>
              <w:rPr>
                <w:rFonts w:ascii="Calibri" w:hAnsi="Calibri" w:cs="Calibri"/>
                <w:color w:val="0000E1"/>
              </w:rPr>
              <w:t>77.9</w:t>
            </w:r>
            <w:r w:rsidR="00D841B3">
              <w:rPr>
                <w:rFonts w:ascii="Calibri" w:hAnsi="Calibri" w:cs="Calibri"/>
                <w:color w:val="0000E1"/>
              </w:rPr>
              <w:t>%</w:t>
            </w:r>
          </w:p>
        </w:tc>
      </w:tr>
      <w:tr w:rsidR="00D841B3" w:rsidRPr="000361DF" w14:paraId="5D766CF1" w14:textId="77777777" w:rsidTr="00740EFD">
        <w:tc>
          <w:tcPr>
            <w:tcW w:w="2337" w:type="dxa"/>
          </w:tcPr>
          <w:p w14:paraId="04A20C92"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50</w:t>
            </w:r>
            <w:r w:rsidRPr="000361DF">
              <w:rPr>
                <w:rFonts w:cstheme="minorHAnsi"/>
                <w:bCs/>
                <w:color w:val="0000E1"/>
                <w:vertAlign w:val="superscript"/>
              </w:rPr>
              <w:t>th</w:t>
            </w:r>
            <w:r w:rsidRPr="000361DF">
              <w:rPr>
                <w:rFonts w:cstheme="minorHAnsi"/>
                <w:bCs/>
                <w:color w:val="0000E1"/>
              </w:rPr>
              <w:t xml:space="preserve"> Percentile</w:t>
            </w:r>
          </w:p>
        </w:tc>
        <w:tc>
          <w:tcPr>
            <w:tcW w:w="2337" w:type="dxa"/>
          </w:tcPr>
          <w:p w14:paraId="57C8EA25"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81.9%</w:t>
            </w:r>
          </w:p>
        </w:tc>
        <w:tc>
          <w:tcPr>
            <w:tcW w:w="2338" w:type="dxa"/>
          </w:tcPr>
          <w:p w14:paraId="51CB749E"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85.9%</w:t>
            </w:r>
          </w:p>
        </w:tc>
        <w:tc>
          <w:tcPr>
            <w:tcW w:w="2338" w:type="dxa"/>
            <w:vAlign w:val="center"/>
          </w:tcPr>
          <w:p w14:paraId="0545AFD0" w14:textId="6ED9701A" w:rsidR="00D841B3" w:rsidRPr="000361DF" w:rsidRDefault="008A4F0A" w:rsidP="00D841B3">
            <w:pPr>
              <w:autoSpaceDE w:val="0"/>
              <w:autoSpaceDN w:val="0"/>
              <w:adjustRightInd w:val="0"/>
              <w:jc w:val="right"/>
              <w:rPr>
                <w:rFonts w:cstheme="minorHAnsi"/>
                <w:bCs/>
                <w:color w:val="0000E1"/>
              </w:rPr>
            </w:pPr>
            <w:r>
              <w:rPr>
                <w:rFonts w:ascii="Calibri" w:hAnsi="Calibri" w:cs="Calibri"/>
                <w:color w:val="0000E1"/>
              </w:rPr>
              <w:t>80.6</w:t>
            </w:r>
            <w:r w:rsidR="00D841B3">
              <w:rPr>
                <w:rFonts w:ascii="Calibri" w:hAnsi="Calibri" w:cs="Calibri"/>
                <w:color w:val="0000E1"/>
              </w:rPr>
              <w:t>%</w:t>
            </w:r>
          </w:p>
        </w:tc>
      </w:tr>
      <w:tr w:rsidR="00D841B3" w:rsidRPr="000361DF" w14:paraId="31651AA0" w14:textId="77777777" w:rsidTr="00740EFD">
        <w:tc>
          <w:tcPr>
            <w:tcW w:w="2337" w:type="dxa"/>
          </w:tcPr>
          <w:p w14:paraId="233E441A"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75</w:t>
            </w:r>
            <w:r w:rsidRPr="000361DF">
              <w:rPr>
                <w:rFonts w:cstheme="minorHAnsi"/>
                <w:bCs/>
                <w:color w:val="0000E1"/>
                <w:vertAlign w:val="superscript"/>
              </w:rPr>
              <w:t>th</w:t>
            </w:r>
            <w:r w:rsidRPr="000361DF">
              <w:rPr>
                <w:rFonts w:cstheme="minorHAnsi"/>
                <w:bCs/>
                <w:color w:val="0000E1"/>
              </w:rPr>
              <w:t xml:space="preserve"> Percentile</w:t>
            </w:r>
          </w:p>
        </w:tc>
        <w:tc>
          <w:tcPr>
            <w:tcW w:w="2337" w:type="dxa"/>
          </w:tcPr>
          <w:p w14:paraId="26C7582A"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84.7%</w:t>
            </w:r>
          </w:p>
        </w:tc>
        <w:tc>
          <w:tcPr>
            <w:tcW w:w="2338" w:type="dxa"/>
          </w:tcPr>
          <w:p w14:paraId="488DF802"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88.0%</w:t>
            </w:r>
          </w:p>
        </w:tc>
        <w:tc>
          <w:tcPr>
            <w:tcW w:w="2338" w:type="dxa"/>
            <w:vAlign w:val="center"/>
          </w:tcPr>
          <w:p w14:paraId="097039C6" w14:textId="4FA22FB1" w:rsidR="00D841B3" w:rsidRPr="000361DF" w:rsidRDefault="008A4F0A" w:rsidP="00D841B3">
            <w:pPr>
              <w:autoSpaceDE w:val="0"/>
              <w:autoSpaceDN w:val="0"/>
              <w:adjustRightInd w:val="0"/>
              <w:jc w:val="right"/>
              <w:rPr>
                <w:rFonts w:cstheme="minorHAnsi"/>
                <w:bCs/>
                <w:color w:val="0000E1"/>
              </w:rPr>
            </w:pPr>
            <w:r>
              <w:rPr>
                <w:rFonts w:ascii="Calibri" w:hAnsi="Calibri" w:cs="Calibri"/>
                <w:color w:val="0000E1"/>
              </w:rPr>
              <w:t>83.4</w:t>
            </w:r>
            <w:r w:rsidR="00D841B3">
              <w:rPr>
                <w:rFonts w:ascii="Calibri" w:hAnsi="Calibri" w:cs="Calibri"/>
                <w:color w:val="0000E1"/>
              </w:rPr>
              <w:t>%</w:t>
            </w:r>
          </w:p>
        </w:tc>
      </w:tr>
      <w:tr w:rsidR="00D841B3" w:rsidRPr="000361DF" w14:paraId="12C3EA86" w14:textId="77777777" w:rsidTr="00740EFD">
        <w:tc>
          <w:tcPr>
            <w:tcW w:w="2337" w:type="dxa"/>
          </w:tcPr>
          <w:p w14:paraId="0EBB40B9"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Maximum</w:t>
            </w:r>
          </w:p>
        </w:tc>
        <w:tc>
          <w:tcPr>
            <w:tcW w:w="2337" w:type="dxa"/>
          </w:tcPr>
          <w:p w14:paraId="40AEAF75"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96.3%</w:t>
            </w:r>
          </w:p>
        </w:tc>
        <w:tc>
          <w:tcPr>
            <w:tcW w:w="2338" w:type="dxa"/>
          </w:tcPr>
          <w:p w14:paraId="088DE277"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96.4%</w:t>
            </w:r>
          </w:p>
        </w:tc>
        <w:tc>
          <w:tcPr>
            <w:tcW w:w="2338" w:type="dxa"/>
            <w:vAlign w:val="center"/>
          </w:tcPr>
          <w:p w14:paraId="4635A33B" w14:textId="7CED573C" w:rsidR="00D841B3" w:rsidRPr="000361DF" w:rsidRDefault="008A4F0A" w:rsidP="00D841B3">
            <w:pPr>
              <w:autoSpaceDE w:val="0"/>
              <w:autoSpaceDN w:val="0"/>
              <w:adjustRightInd w:val="0"/>
              <w:jc w:val="right"/>
              <w:rPr>
                <w:rFonts w:cstheme="minorHAnsi"/>
                <w:bCs/>
                <w:color w:val="0000E1"/>
              </w:rPr>
            </w:pPr>
            <w:r>
              <w:rPr>
                <w:rFonts w:ascii="Calibri" w:hAnsi="Calibri" w:cs="Calibri"/>
                <w:color w:val="0000E1"/>
              </w:rPr>
              <w:t>97.3</w:t>
            </w:r>
            <w:r w:rsidR="00D841B3">
              <w:rPr>
                <w:rFonts w:ascii="Calibri" w:hAnsi="Calibri" w:cs="Calibri"/>
                <w:color w:val="0000E1"/>
              </w:rPr>
              <w:t>%</w:t>
            </w:r>
          </w:p>
        </w:tc>
      </w:tr>
      <w:tr w:rsidR="00D841B3" w:rsidRPr="000361DF" w14:paraId="3E950937" w14:textId="77777777" w:rsidTr="00DD0554">
        <w:tc>
          <w:tcPr>
            <w:tcW w:w="2337" w:type="dxa"/>
            <w:tcBorders>
              <w:bottom w:val="single" w:sz="4" w:space="0" w:color="auto"/>
            </w:tcBorders>
          </w:tcPr>
          <w:p w14:paraId="0108D33A"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Interquartile Range</w:t>
            </w:r>
          </w:p>
        </w:tc>
        <w:tc>
          <w:tcPr>
            <w:tcW w:w="2337" w:type="dxa"/>
            <w:tcBorders>
              <w:bottom w:val="single" w:sz="4" w:space="0" w:color="auto"/>
            </w:tcBorders>
          </w:tcPr>
          <w:p w14:paraId="4A9C028E"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5.6%</w:t>
            </w:r>
          </w:p>
        </w:tc>
        <w:tc>
          <w:tcPr>
            <w:tcW w:w="2338" w:type="dxa"/>
            <w:tcBorders>
              <w:bottom w:val="single" w:sz="4" w:space="0" w:color="auto"/>
            </w:tcBorders>
          </w:tcPr>
          <w:p w14:paraId="5E1ADB0D" w14:textId="77777777" w:rsidR="00D841B3" w:rsidRPr="000361DF" w:rsidRDefault="00D841B3" w:rsidP="00D841B3">
            <w:pPr>
              <w:autoSpaceDE w:val="0"/>
              <w:autoSpaceDN w:val="0"/>
              <w:adjustRightInd w:val="0"/>
              <w:jc w:val="right"/>
              <w:rPr>
                <w:rFonts w:cstheme="minorHAnsi"/>
                <w:bCs/>
                <w:color w:val="0000E1"/>
              </w:rPr>
            </w:pPr>
            <w:r w:rsidRPr="000361DF">
              <w:rPr>
                <w:color w:val="0000E1"/>
              </w:rPr>
              <w:t>4.1%</w:t>
            </w:r>
          </w:p>
        </w:tc>
        <w:tc>
          <w:tcPr>
            <w:tcW w:w="2338" w:type="dxa"/>
            <w:tcBorders>
              <w:bottom w:val="single" w:sz="4" w:space="0" w:color="auto"/>
            </w:tcBorders>
            <w:vAlign w:val="center"/>
          </w:tcPr>
          <w:p w14:paraId="47526261" w14:textId="3F119409" w:rsidR="00D841B3" w:rsidRPr="000361DF" w:rsidRDefault="008A4F0A" w:rsidP="00D841B3">
            <w:pPr>
              <w:autoSpaceDE w:val="0"/>
              <w:autoSpaceDN w:val="0"/>
              <w:adjustRightInd w:val="0"/>
              <w:jc w:val="right"/>
              <w:rPr>
                <w:rFonts w:cstheme="minorHAnsi"/>
                <w:bCs/>
                <w:color w:val="0000E1"/>
              </w:rPr>
            </w:pPr>
            <w:r>
              <w:rPr>
                <w:rFonts w:ascii="Calibri" w:hAnsi="Calibri" w:cs="Calibri"/>
                <w:color w:val="0000E1"/>
              </w:rPr>
              <w:t>5.5</w:t>
            </w:r>
            <w:r w:rsidR="00D841B3">
              <w:rPr>
                <w:rFonts w:ascii="Calibri" w:hAnsi="Calibri" w:cs="Calibri"/>
                <w:color w:val="0000E1"/>
              </w:rPr>
              <w:t>%</w:t>
            </w:r>
          </w:p>
        </w:tc>
      </w:tr>
      <w:tr w:rsidR="00D841B3" w:rsidRPr="000361DF" w14:paraId="0DBC9121" w14:textId="77777777" w:rsidTr="00DD0554">
        <w:tc>
          <w:tcPr>
            <w:tcW w:w="2337" w:type="dxa"/>
            <w:tcBorders>
              <w:bottom w:val="single" w:sz="4" w:space="0" w:color="auto"/>
            </w:tcBorders>
          </w:tcPr>
          <w:p w14:paraId="768F64FC" w14:textId="77777777" w:rsidR="00D841B3" w:rsidRPr="000361DF" w:rsidRDefault="00D841B3" w:rsidP="00D841B3">
            <w:pPr>
              <w:autoSpaceDE w:val="0"/>
              <w:autoSpaceDN w:val="0"/>
              <w:adjustRightInd w:val="0"/>
              <w:rPr>
                <w:rFonts w:cstheme="minorHAnsi"/>
                <w:bCs/>
                <w:color w:val="0000E1"/>
              </w:rPr>
            </w:pPr>
            <w:r w:rsidRPr="000361DF">
              <w:rPr>
                <w:rFonts w:cstheme="minorHAnsi"/>
                <w:bCs/>
                <w:color w:val="0000E1"/>
              </w:rPr>
              <w:t>Student’s t-test p-value</w:t>
            </w:r>
          </w:p>
        </w:tc>
        <w:tc>
          <w:tcPr>
            <w:tcW w:w="2337" w:type="dxa"/>
            <w:tcBorders>
              <w:bottom w:val="single" w:sz="4" w:space="0" w:color="auto"/>
            </w:tcBorders>
            <w:vAlign w:val="center"/>
          </w:tcPr>
          <w:p w14:paraId="762207DD" w14:textId="77777777" w:rsidR="00D841B3" w:rsidRPr="000361DF" w:rsidRDefault="00D841B3" w:rsidP="00D841B3">
            <w:pPr>
              <w:autoSpaceDE w:val="0"/>
              <w:autoSpaceDN w:val="0"/>
              <w:adjustRightInd w:val="0"/>
              <w:jc w:val="right"/>
              <w:rPr>
                <w:rFonts w:cstheme="minorHAnsi"/>
                <w:bCs/>
                <w:color w:val="0000E1"/>
              </w:rPr>
            </w:pPr>
            <w:r w:rsidRPr="000361DF">
              <w:rPr>
                <w:rFonts w:cstheme="minorHAnsi"/>
                <w:color w:val="0000E1"/>
              </w:rPr>
              <w:t>&lt;.0001</w:t>
            </w:r>
          </w:p>
        </w:tc>
        <w:tc>
          <w:tcPr>
            <w:tcW w:w="2338" w:type="dxa"/>
            <w:tcBorders>
              <w:bottom w:val="single" w:sz="4" w:space="0" w:color="auto"/>
            </w:tcBorders>
          </w:tcPr>
          <w:p w14:paraId="12948DEB" w14:textId="77777777" w:rsidR="00D841B3" w:rsidRPr="000361DF" w:rsidRDefault="00D841B3" w:rsidP="00D841B3">
            <w:pPr>
              <w:autoSpaceDE w:val="0"/>
              <w:autoSpaceDN w:val="0"/>
              <w:adjustRightInd w:val="0"/>
              <w:jc w:val="right"/>
              <w:rPr>
                <w:rFonts w:cstheme="minorHAnsi"/>
                <w:bCs/>
                <w:color w:val="0000E1"/>
              </w:rPr>
            </w:pPr>
            <w:r w:rsidRPr="000361DF">
              <w:rPr>
                <w:rFonts w:cstheme="minorHAnsi"/>
                <w:color w:val="0000E1"/>
              </w:rPr>
              <w:t>&lt;.0001</w:t>
            </w:r>
          </w:p>
        </w:tc>
        <w:tc>
          <w:tcPr>
            <w:tcW w:w="2338" w:type="dxa"/>
            <w:tcBorders>
              <w:bottom w:val="single" w:sz="4" w:space="0" w:color="auto"/>
            </w:tcBorders>
            <w:vAlign w:val="center"/>
          </w:tcPr>
          <w:p w14:paraId="681521BF" w14:textId="77777777" w:rsidR="00D841B3" w:rsidRPr="000361DF" w:rsidRDefault="00D841B3" w:rsidP="00D841B3">
            <w:pPr>
              <w:autoSpaceDE w:val="0"/>
              <w:autoSpaceDN w:val="0"/>
              <w:adjustRightInd w:val="0"/>
              <w:jc w:val="right"/>
              <w:rPr>
                <w:rFonts w:cstheme="minorHAnsi"/>
                <w:bCs/>
                <w:color w:val="0000E1"/>
              </w:rPr>
            </w:pPr>
            <w:r>
              <w:rPr>
                <w:rFonts w:ascii="Calibri" w:hAnsi="Calibri" w:cstheme="minorHAnsi"/>
                <w:color w:val="0000E1"/>
              </w:rPr>
              <w:t>&lt;.0001</w:t>
            </w:r>
          </w:p>
        </w:tc>
      </w:tr>
      <w:tr w:rsidR="008E1F57" w:rsidRPr="000361DF" w14:paraId="3E1AB129" w14:textId="77777777" w:rsidTr="00DD0554">
        <w:tc>
          <w:tcPr>
            <w:tcW w:w="9350" w:type="dxa"/>
            <w:gridSpan w:val="4"/>
            <w:tcBorders>
              <w:top w:val="single" w:sz="4" w:space="0" w:color="auto"/>
              <w:left w:val="nil"/>
              <w:bottom w:val="nil"/>
              <w:right w:val="nil"/>
            </w:tcBorders>
          </w:tcPr>
          <w:p w14:paraId="16185251" w14:textId="77777777" w:rsidR="008E1F57" w:rsidRPr="0061194B" w:rsidRDefault="008E1F57" w:rsidP="00930280">
            <w:pPr>
              <w:autoSpaceDE w:val="0"/>
              <w:autoSpaceDN w:val="0"/>
              <w:adjustRightInd w:val="0"/>
              <w:rPr>
                <w:rFonts w:cstheme="minorHAnsi"/>
                <w:i/>
                <w:color w:val="0000E1"/>
                <w:sz w:val="20"/>
              </w:rPr>
            </w:pPr>
            <w:r w:rsidRPr="0061194B">
              <w:rPr>
                <w:rFonts w:cstheme="minorHAnsi"/>
                <w:i/>
                <w:color w:val="0000E1"/>
                <w:sz w:val="20"/>
              </w:rPr>
              <w:t xml:space="preserve">RASA: renin-angiotensin system antagonist </w:t>
            </w:r>
          </w:p>
        </w:tc>
      </w:tr>
    </w:tbl>
    <w:p w14:paraId="210B5387" w14:textId="77777777" w:rsidR="00FE69EC" w:rsidRDefault="00FE69EC" w:rsidP="00D61410">
      <w:pPr>
        <w:autoSpaceDE w:val="0"/>
        <w:autoSpaceDN w:val="0"/>
        <w:adjustRightInd w:val="0"/>
        <w:spacing w:after="0" w:line="240" w:lineRule="auto"/>
        <w:rPr>
          <w:rFonts w:cstheme="minorHAnsi"/>
          <w:bCs/>
        </w:rPr>
      </w:pPr>
    </w:p>
    <w:p w14:paraId="4A902F85" w14:textId="77777777" w:rsidR="00D61410" w:rsidRPr="003421D1" w:rsidRDefault="009C7513" w:rsidP="00D61410">
      <w:pPr>
        <w:autoSpaceDE w:val="0"/>
        <w:autoSpaceDN w:val="0"/>
        <w:adjustRightInd w:val="0"/>
        <w:spacing w:after="0" w:line="240" w:lineRule="auto"/>
        <w:rPr>
          <w:rFonts w:cstheme="minorHAnsi"/>
          <w:bCs/>
        </w:rPr>
      </w:pPr>
      <w:r w:rsidRPr="003421D1">
        <w:rPr>
          <w:rFonts w:cstheme="minorHAnsi"/>
          <w:b/>
          <w:bCs/>
        </w:rPr>
        <w:t>2b4</w:t>
      </w:r>
      <w:r w:rsidR="00D61410" w:rsidRPr="003421D1">
        <w:rPr>
          <w:rFonts w:cstheme="minorHAnsi"/>
          <w:b/>
          <w:bCs/>
        </w:rPr>
        <w:t>.3. What is your interpretation of the results in terms of demonstrating the ability to identify statistically significant and</w:t>
      </w:r>
      <w:r w:rsidR="005038D5" w:rsidRPr="003421D1">
        <w:rPr>
          <w:rFonts w:cstheme="minorHAnsi"/>
          <w:b/>
          <w:bCs/>
        </w:rPr>
        <w:t>/or</w:t>
      </w:r>
      <w:r w:rsidR="00D61410" w:rsidRPr="003421D1">
        <w:rPr>
          <w:rFonts w:cstheme="minorHAnsi"/>
          <w:b/>
          <w:bCs/>
        </w:rPr>
        <w:t xml:space="preserve"> clinically/practically meaningful differences in performance across measured entities?</w:t>
      </w:r>
      <w:r w:rsidR="00D61410" w:rsidRPr="003421D1">
        <w:rPr>
          <w:rFonts w:cstheme="minorHAnsi"/>
          <w:bCs/>
        </w:rPr>
        <w:t xml:space="preserve"> (i</w:t>
      </w:r>
      <w:r w:rsidR="00D61410" w:rsidRPr="003421D1">
        <w:rPr>
          <w:rFonts w:cstheme="minorHAnsi"/>
          <w:bCs/>
          <w:i/>
        </w:rPr>
        <w:t>.e., what d</w:t>
      </w:r>
      <w:r w:rsidR="004C2443" w:rsidRPr="003421D1">
        <w:rPr>
          <w:rFonts w:cstheme="minorHAnsi"/>
          <w:bCs/>
          <w:i/>
        </w:rPr>
        <w:t>o the results mean in terms of statistical and meaningful differences?</w:t>
      </w:r>
      <w:r w:rsidR="00D61410" w:rsidRPr="003421D1">
        <w:rPr>
          <w:rFonts w:cstheme="minorHAnsi"/>
          <w:bCs/>
        </w:rPr>
        <w:t>)</w:t>
      </w:r>
      <w:r w:rsidR="00D61410" w:rsidRPr="003421D1">
        <w:rPr>
          <w:rFonts w:cstheme="minorHAnsi"/>
          <w:bCs/>
        </w:rPr>
        <w:br/>
      </w:r>
    </w:p>
    <w:p w14:paraId="187BD41D" w14:textId="3AF02E06" w:rsidR="002F16C3" w:rsidRDefault="003628EB" w:rsidP="00DD0554">
      <w:pPr>
        <w:spacing w:after="0" w:line="240" w:lineRule="auto"/>
        <w:rPr>
          <w:rFonts w:cstheme="minorHAnsi"/>
          <w:bCs/>
          <w:color w:val="0000E1"/>
        </w:rPr>
      </w:pPr>
      <w:r w:rsidRPr="000361DF">
        <w:rPr>
          <w:rFonts w:cstheme="minorHAnsi"/>
          <w:bCs/>
          <w:color w:val="0000E1"/>
        </w:rPr>
        <w:t xml:space="preserve">As expected, </w:t>
      </w:r>
      <w:r w:rsidR="006B57DE" w:rsidRPr="000361DF">
        <w:rPr>
          <w:rFonts w:cstheme="minorHAnsi"/>
          <w:bCs/>
          <w:color w:val="0000E1"/>
        </w:rPr>
        <w:t>given the import</w:t>
      </w:r>
      <w:r w:rsidR="00320619">
        <w:rPr>
          <w:rFonts w:cstheme="minorHAnsi"/>
          <w:bCs/>
          <w:color w:val="0000E1"/>
        </w:rPr>
        <w:t>ance of these three PDC measure rates</w:t>
      </w:r>
      <w:r w:rsidR="006B57DE" w:rsidRPr="000361DF">
        <w:rPr>
          <w:rFonts w:cstheme="minorHAnsi"/>
          <w:bCs/>
          <w:color w:val="0000E1"/>
        </w:rPr>
        <w:t xml:space="preserve"> in the </w:t>
      </w:r>
      <w:r w:rsidR="00320619">
        <w:rPr>
          <w:rFonts w:cstheme="minorHAnsi"/>
          <w:bCs/>
          <w:color w:val="0000E1"/>
        </w:rPr>
        <w:t xml:space="preserve">CMS </w:t>
      </w:r>
      <w:r w:rsidR="006B57DE" w:rsidRPr="000361DF">
        <w:rPr>
          <w:rFonts w:cstheme="minorHAnsi"/>
          <w:bCs/>
          <w:color w:val="0000E1"/>
        </w:rPr>
        <w:t xml:space="preserve">Part </w:t>
      </w:r>
      <w:r w:rsidR="007C1039" w:rsidRPr="000361DF">
        <w:rPr>
          <w:rFonts w:cstheme="minorHAnsi"/>
          <w:bCs/>
          <w:color w:val="0000E1"/>
        </w:rPr>
        <w:t xml:space="preserve">D Star Ratings program (each is </w:t>
      </w:r>
      <w:r w:rsidR="006B57DE" w:rsidRPr="000361DF">
        <w:rPr>
          <w:rFonts w:cstheme="minorHAnsi"/>
          <w:bCs/>
          <w:color w:val="0000E1"/>
        </w:rPr>
        <w:t>triple weighted), the</w:t>
      </w:r>
      <w:r w:rsidR="00767E15">
        <w:rPr>
          <w:rFonts w:cstheme="minorHAnsi"/>
          <w:bCs/>
          <w:color w:val="0000E1"/>
        </w:rPr>
        <w:t xml:space="preserve"> variations were</w:t>
      </w:r>
      <w:r w:rsidRPr="000361DF">
        <w:rPr>
          <w:rFonts w:cstheme="minorHAnsi"/>
          <w:bCs/>
          <w:color w:val="0000E1"/>
        </w:rPr>
        <w:t xml:space="preserve"> lower </w:t>
      </w:r>
      <w:r w:rsidR="00D31766" w:rsidRPr="000361DF">
        <w:rPr>
          <w:rFonts w:cstheme="minorHAnsi"/>
          <w:bCs/>
          <w:color w:val="0000E1"/>
        </w:rPr>
        <w:t>in</w:t>
      </w:r>
      <w:r w:rsidR="00323E1E">
        <w:rPr>
          <w:rFonts w:cstheme="minorHAnsi"/>
          <w:bCs/>
          <w:color w:val="0000E1"/>
        </w:rPr>
        <w:t xml:space="preserve"> the unadjusted </w:t>
      </w:r>
      <w:r w:rsidR="00767E15">
        <w:rPr>
          <w:rFonts w:cstheme="minorHAnsi"/>
          <w:bCs/>
          <w:color w:val="0000E1"/>
        </w:rPr>
        <w:t>measure rates for</w:t>
      </w:r>
      <w:r w:rsidR="00D31766" w:rsidRPr="000361DF">
        <w:rPr>
          <w:rFonts w:cstheme="minorHAnsi"/>
          <w:bCs/>
          <w:color w:val="0000E1"/>
        </w:rPr>
        <w:t xml:space="preserve"> Medicare </w:t>
      </w:r>
      <w:r w:rsidRPr="000361DF">
        <w:rPr>
          <w:rFonts w:cstheme="minorHAnsi"/>
          <w:bCs/>
          <w:color w:val="0000E1"/>
        </w:rPr>
        <w:t>than in the Medicaid population, as health plans work to improve their measure scores</w:t>
      </w:r>
      <w:r w:rsidR="006B57DE" w:rsidRPr="000361DF">
        <w:rPr>
          <w:rFonts w:cstheme="minorHAnsi"/>
          <w:bCs/>
          <w:color w:val="0000E1"/>
        </w:rPr>
        <w:t xml:space="preserve"> to maximize overall Star Ratings and payment</w:t>
      </w:r>
      <w:r w:rsidR="00E57C81">
        <w:rPr>
          <w:rFonts w:cstheme="minorHAnsi"/>
          <w:bCs/>
          <w:color w:val="0000E1"/>
        </w:rPr>
        <w:t xml:space="preserve">. </w:t>
      </w:r>
      <w:r w:rsidRPr="000361DF">
        <w:rPr>
          <w:rFonts w:cstheme="minorHAnsi"/>
          <w:bCs/>
          <w:color w:val="0000E1"/>
        </w:rPr>
        <w:t xml:space="preserve">However, there was </w:t>
      </w:r>
      <w:r w:rsidR="00A652CC">
        <w:rPr>
          <w:rFonts w:cstheme="minorHAnsi"/>
          <w:bCs/>
          <w:color w:val="0000E1"/>
        </w:rPr>
        <w:t xml:space="preserve">some </w:t>
      </w:r>
      <w:r w:rsidRPr="000361DF">
        <w:rPr>
          <w:rFonts w:cstheme="minorHAnsi"/>
          <w:bCs/>
          <w:color w:val="0000E1"/>
        </w:rPr>
        <w:t xml:space="preserve">variation in Medicare, with a standard deviation ranging from </w:t>
      </w:r>
      <w:r w:rsidR="00932A43" w:rsidRPr="000361DF">
        <w:rPr>
          <w:rFonts w:cstheme="minorHAnsi"/>
          <w:bCs/>
          <w:color w:val="0000E1"/>
        </w:rPr>
        <w:t>5.0</w:t>
      </w:r>
      <w:r w:rsidR="002F16C3" w:rsidRPr="000361DF">
        <w:rPr>
          <w:rFonts w:cstheme="minorHAnsi"/>
          <w:bCs/>
          <w:color w:val="0000E1"/>
        </w:rPr>
        <w:t>% (</w:t>
      </w:r>
      <w:r w:rsidR="0075085A" w:rsidRPr="000361DF">
        <w:rPr>
          <w:rFonts w:cstheme="minorHAnsi"/>
          <w:bCs/>
          <w:color w:val="0000E1"/>
        </w:rPr>
        <w:t>RASA</w:t>
      </w:r>
      <w:r w:rsidR="002F16C3" w:rsidRPr="000361DF">
        <w:rPr>
          <w:rFonts w:cstheme="minorHAnsi"/>
          <w:bCs/>
          <w:color w:val="0000E1"/>
        </w:rPr>
        <w:t xml:space="preserve">) to </w:t>
      </w:r>
      <w:r w:rsidR="00932A43" w:rsidRPr="000361DF">
        <w:rPr>
          <w:rFonts w:cstheme="minorHAnsi"/>
          <w:bCs/>
          <w:color w:val="0000E1"/>
        </w:rPr>
        <w:t>5.9</w:t>
      </w:r>
      <w:r w:rsidR="002F16C3" w:rsidRPr="000361DF">
        <w:rPr>
          <w:rFonts w:cstheme="minorHAnsi"/>
          <w:bCs/>
          <w:color w:val="0000E1"/>
        </w:rPr>
        <w:t>% (Statins) and</w:t>
      </w:r>
      <w:r w:rsidR="0075085A" w:rsidRPr="000361DF">
        <w:rPr>
          <w:rFonts w:cstheme="minorHAnsi"/>
          <w:bCs/>
          <w:color w:val="0000E1"/>
        </w:rPr>
        <w:t xml:space="preserve"> an interquartile range from 5.9</w:t>
      </w:r>
      <w:r w:rsidR="002F16C3" w:rsidRPr="000361DF">
        <w:rPr>
          <w:rFonts w:cstheme="minorHAnsi"/>
          <w:bCs/>
          <w:color w:val="0000E1"/>
        </w:rPr>
        <w:t xml:space="preserve">% (RASA) to </w:t>
      </w:r>
      <w:r w:rsidR="0075085A" w:rsidRPr="000361DF">
        <w:rPr>
          <w:rFonts w:cstheme="minorHAnsi"/>
          <w:bCs/>
          <w:color w:val="0000E1"/>
        </w:rPr>
        <w:t>7.0</w:t>
      </w:r>
      <w:r w:rsidR="002F16C3" w:rsidRPr="000361DF">
        <w:rPr>
          <w:rFonts w:cstheme="minorHAnsi"/>
          <w:bCs/>
          <w:color w:val="0000E1"/>
        </w:rPr>
        <w:t>% (</w:t>
      </w:r>
      <w:r w:rsidR="0075085A" w:rsidRPr="000361DF">
        <w:rPr>
          <w:rFonts w:cstheme="minorHAnsi"/>
          <w:bCs/>
          <w:color w:val="0000E1"/>
        </w:rPr>
        <w:t xml:space="preserve">Diabetes &amp; </w:t>
      </w:r>
      <w:r w:rsidR="002F16C3" w:rsidRPr="000361DF">
        <w:rPr>
          <w:rFonts w:cstheme="minorHAnsi"/>
          <w:bCs/>
          <w:color w:val="0000E1"/>
        </w:rPr>
        <w:t>Statins)</w:t>
      </w:r>
      <w:r w:rsidR="00E57C81">
        <w:rPr>
          <w:rFonts w:cstheme="minorHAnsi"/>
          <w:bCs/>
          <w:color w:val="0000E1"/>
        </w:rPr>
        <w:t xml:space="preserve">. </w:t>
      </w:r>
      <w:r w:rsidR="002F16C3" w:rsidRPr="000361DF">
        <w:rPr>
          <w:rFonts w:cstheme="minorHAnsi"/>
          <w:bCs/>
          <w:color w:val="0000E1"/>
        </w:rPr>
        <w:t>There is a</w:t>
      </w:r>
      <w:r w:rsidR="00791DA3">
        <w:rPr>
          <w:rFonts w:cstheme="minorHAnsi"/>
          <w:bCs/>
          <w:color w:val="0000E1"/>
        </w:rPr>
        <w:t>lso a</w:t>
      </w:r>
      <w:r w:rsidR="002F16C3" w:rsidRPr="000361DF">
        <w:rPr>
          <w:rFonts w:cstheme="minorHAnsi"/>
          <w:bCs/>
          <w:color w:val="0000E1"/>
        </w:rPr>
        <w:t xml:space="preserve"> statistically significant difference in measure rates between the top and bottom quartile of the plan-contracts included in the testing (P&lt; .0001 at alpha = 0.05) for all three therapeutic categories</w:t>
      </w:r>
      <w:r w:rsidR="0075085A" w:rsidRPr="000361DF">
        <w:rPr>
          <w:rFonts w:cstheme="minorHAnsi"/>
          <w:bCs/>
          <w:color w:val="0000E1"/>
        </w:rPr>
        <w:t xml:space="preserve"> in both adjusted and unadjusted measure scores</w:t>
      </w:r>
      <w:r w:rsidR="002F16C3" w:rsidRPr="000361DF">
        <w:rPr>
          <w:rFonts w:cstheme="minorHAnsi"/>
          <w:bCs/>
          <w:color w:val="0000E1"/>
        </w:rPr>
        <w:t xml:space="preserve">. This variation shows that there are statistically significant and meaningful differences in rates across </w:t>
      </w:r>
      <w:r w:rsidR="0075085A" w:rsidRPr="000361DF">
        <w:rPr>
          <w:rFonts w:cstheme="minorHAnsi"/>
          <w:bCs/>
          <w:color w:val="0000E1"/>
        </w:rPr>
        <w:t>plan-contracts</w:t>
      </w:r>
      <w:r w:rsidR="002F16C3" w:rsidRPr="000361DF">
        <w:rPr>
          <w:rFonts w:cstheme="minorHAnsi"/>
          <w:bCs/>
          <w:color w:val="0000E1"/>
        </w:rPr>
        <w:t xml:space="preserve">. </w:t>
      </w:r>
    </w:p>
    <w:p w14:paraId="61852B5C" w14:textId="77777777" w:rsidR="00A430EE" w:rsidRPr="000361DF" w:rsidRDefault="00A430EE" w:rsidP="00DD0554">
      <w:pPr>
        <w:spacing w:after="0" w:line="240" w:lineRule="auto"/>
        <w:rPr>
          <w:rFonts w:cstheme="minorHAnsi"/>
          <w:bCs/>
          <w:color w:val="0000E1"/>
        </w:rPr>
      </w:pPr>
    </w:p>
    <w:p w14:paraId="4CDD458F" w14:textId="77777777" w:rsidR="003628EB" w:rsidRPr="000361DF" w:rsidRDefault="003628EB" w:rsidP="00DD0554">
      <w:pPr>
        <w:spacing w:after="0" w:line="240" w:lineRule="auto"/>
        <w:rPr>
          <w:rFonts w:cstheme="minorHAnsi"/>
          <w:bCs/>
          <w:color w:val="0000E1"/>
        </w:rPr>
      </w:pPr>
      <w:r w:rsidRPr="000361DF">
        <w:rPr>
          <w:rFonts w:cstheme="minorHAnsi"/>
          <w:bCs/>
          <w:color w:val="0000E1"/>
        </w:rPr>
        <w:t xml:space="preserve">Within Medicaid, the variation was even more pronounced, with a standard deviation ranging from </w:t>
      </w:r>
      <w:r w:rsidR="0075085A" w:rsidRPr="000361DF">
        <w:rPr>
          <w:rFonts w:cstheme="minorHAnsi"/>
          <w:bCs/>
          <w:color w:val="0000E1"/>
        </w:rPr>
        <w:t>10.7% (RASA) to 11.4% (Diabetes) and an interquartile range from 13.1% (RASA) to 14.1% (Diabetes)</w:t>
      </w:r>
      <w:r w:rsidR="00E57C81">
        <w:rPr>
          <w:rFonts w:cstheme="minorHAnsi"/>
          <w:bCs/>
          <w:color w:val="0000E1"/>
        </w:rPr>
        <w:t xml:space="preserve">. </w:t>
      </w:r>
      <w:r w:rsidR="0075085A" w:rsidRPr="000361DF">
        <w:rPr>
          <w:rFonts w:cstheme="minorHAnsi"/>
          <w:bCs/>
          <w:color w:val="0000E1"/>
        </w:rPr>
        <w:t xml:space="preserve">There is a statistically significant difference in measure rates between the top and bottom quartile of the </w:t>
      </w:r>
      <w:r w:rsidR="0075085A" w:rsidRPr="000361DF">
        <w:rPr>
          <w:rFonts w:cstheme="minorHAnsi"/>
          <w:bCs/>
          <w:color w:val="0000E1"/>
        </w:rPr>
        <w:lastRenderedPageBreak/>
        <w:t>plan-contracts included in the testing (P&lt; .0001 at alpha = 0.05) for all three therapeutic categories. This variation shows that there are statistically significant and meaningful differences in rates across plans.</w:t>
      </w:r>
    </w:p>
    <w:p w14:paraId="5FC25052" w14:textId="77777777" w:rsidR="00A430EE" w:rsidRDefault="00A430EE" w:rsidP="00DD0554">
      <w:pPr>
        <w:spacing w:after="0" w:line="240" w:lineRule="auto"/>
        <w:rPr>
          <w:rFonts w:cstheme="minorHAnsi"/>
          <w:bCs/>
          <w:color w:val="0000E1"/>
        </w:rPr>
      </w:pPr>
    </w:p>
    <w:p w14:paraId="3C903DAB" w14:textId="77777777" w:rsidR="00FF1C8D" w:rsidRPr="000361DF" w:rsidRDefault="002F16C3" w:rsidP="00DD0554">
      <w:pPr>
        <w:spacing w:after="0" w:line="240" w:lineRule="auto"/>
        <w:rPr>
          <w:rFonts w:cstheme="minorHAnsi"/>
          <w:bCs/>
          <w:color w:val="0000E1"/>
        </w:rPr>
      </w:pPr>
      <w:r w:rsidRPr="000361DF">
        <w:rPr>
          <w:rFonts w:cstheme="minorHAnsi"/>
          <w:bCs/>
          <w:color w:val="0000E1"/>
        </w:rPr>
        <w:t>In addition, a review of the unadjusted and risk-adjus</w:t>
      </w:r>
      <w:r w:rsidR="00B55425" w:rsidRPr="000361DF">
        <w:rPr>
          <w:rFonts w:cstheme="minorHAnsi"/>
          <w:bCs/>
          <w:color w:val="0000E1"/>
        </w:rPr>
        <w:t>ted rates showed that between 21</w:t>
      </w:r>
      <w:r w:rsidRPr="000361DF">
        <w:rPr>
          <w:rFonts w:cstheme="minorHAnsi"/>
          <w:bCs/>
          <w:color w:val="0000E1"/>
        </w:rPr>
        <w:t>% (Diabete</w:t>
      </w:r>
      <w:r w:rsidR="00B55425" w:rsidRPr="000361DF">
        <w:rPr>
          <w:rFonts w:cstheme="minorHAnsi"/>
          <w:bCs/>
          <w:color w:val="0000E1"/>
        </w:rPr>
        <w:t>s) and 23</w:t>
      </w:r>
      <w:r w:rsidRPr="000361DF">
        <w:rPr>
          <w:rFonts w:cstheme="minorHAnsi"/>
          <w:bCs/>
          <w:color w:val="0000E1"/>
        </w:rPr>
        <w:t>% (RASA</w:t>
      </w:r>
      <w:r w:rsidR="00B55425" w:rsidRPr="000361DF">
        <w:rPr>
          <w:rFonts w:cstheme="minorHAnsi"/>
          <w:bCs/>
          <w:color w:val="0000E1"/>
        </w:rPr>
        <w:t xml:space="preserve"> &amp; Statins</w:t>
      </w:r>
      <w:r w:rsidRPr="000361DF">
        <w:rPr>
          <w:rFonts w:cstheme="minorHAnsi"/>
          <w:bCs/>
          <w:color w:val="0000E1"/>
        </w:rPr>
        <w:t>) of plan-contracts were adju</w:t>
      </w:r>
      <w:r w:rsidR="00B55425" w:rsidRPr="000361DF">
        <w:rPr>
          <w:rFonts w:cstheme="minorHAnsi"/>
          <w:bCs/>
          <w:color w:val="0000E1"/>
        </w:rPr>
        <w:t>sted to a higher decile while</w:t>
      </w:r>
      <w:r w:rsidR="00651072">
        <w:rPr>
          <w:rFonts w:cstheme="minorHAnsi"/>
          <w:bCs/>
          <w:color w:val="0000E1"/>
        </w:rPr>
        <w:t xml:space="preserve"> 30% (Diabetes), 35% </w:t>
      </w:r>
      <w:r w:rsidR="00FF1C8D" w:rsidRPr="000361DF">
        <w:rPr>
          <w:rFonts w:cstheme="minorHAnsi"/>
          <w:bCs/>
          <w:color w:val="0000E1"/>
        </w:rPr>
        <w:t xml:space="preserve">(RASA) and </w:t>
      </w:r>
      <w:r w:rsidR="00B55425" w:rsidRPr="000361DF">
        <w:rPr>
          <w:rFonts w:cstheme="minorHAnsi"/>
          <w:bCs/>
          <w:color w:val="0000E1"/>
        </w:rPr>
        <w:t>39</w:t>
      </w:r>
      <w:r w:rsidR="00FF1C8D" w:rsidRPr="000361DF">
        <w:rPr>
          <w:rFonts w:cstheme="minorHAnsi"/>
          <w:bCs/>
          <w:color w:val="0000E1"/>
        </w:rPr>
        <w:t>%</w:t>
      </w:r>
      <w:r w:rsidR="00651072">
        <w:rPr>
          <w:rFonts w:cstheme="minorHAnsi"/>
          <w:bCs/>
          <w:color w:val="0000E1"/>
        </w:rPr>
        <w:t xml:space="preserve"> </w:t>
      </w:r>
      <w:r w:rsidR="00FF1C8D" w:rsidRPr="000361DF">
        <w:rPr>
          <w:rFonts w:cstheme="minorHAnsi"/>
          <w:bCs/>
          <w:color w:val="0000E1"/>
        </w:rPr>
        <w:t xml:space="preserve">(Statins) </w:t>
      </w:r>
      <w:r w:rsidRPr="000361DF">
        <w:rPr>
          <w:rFonts w:cstheme="minorHAnsi"/>
          <w:bCs/>
          <w:color w:val="0000E1"/>
        </w:rPr>
        <w:t>were adjusted to a lower decile after risk adjustment, showing that risk adjustment had an impact on measure rates</w:t>
      </w:r>
      <w:r w:rsidR="00651072">
        <w:rPr>
          <w:rFonts w:cstheme="minorHAnsi"/>
          <w:bCs/>
          <w:color w:val="0000E1"/>
        </w:rPr>
        <w:t xml:space="preserve"> at the decile-</w:t>
      </w:r>
      <w:r w:rsidR="009A11A5" w:rsidRPr="000361DF">
        <w:rPr>
          <w:rFonts w:cstheme="minorHAnsi"/>
          <w:bCs/>
          <w:color w:val="0000E1"/>
        </w:rPr>
        <w:t xml:space="preserve">level. </w:t>
      </w:r>
      <w:r w:rsidR="001D35AA" w:rsidRPr="000361DF">
        <w:rPr>
          <w:rFonts w:cstheme="minorHAnsi"/>
          <w:bCs/>
          <w:color w:val="0000E1"/>
        </w:rPr>
        <w:t>(see Tables 19</w:t>
      </w:r>
      <w:r w:rsidR="00651072">
        <w:rPr>
          <w:rFonts w:cstheme="minorHAnsi"/>
          <w:bCs/>
          <w:color w:val="0000E1"/>
        </w:rPr>
        <w:t>-</w:t>
      </w:r>
      <w:r w:rsidR="001D35AA" w:rsidRPr="000361DF">
        <w:rPr>
          <w:rFonts w:cstheme="minorHAnsi"/>
          <w:bCs/>
          <w:color w:val="0000E1"/>
        </w:rPr>
        <w:t>21</w:t>
      </w:r>
      <w:r w:rsidR="00FF1C8D" w:rsidRPr="000361DF">
        <w:rPr>
          <w:rFonts w:cstheme="minorHAnsi"/>
          <w:bCs/>
          <w:color w:val="0000E1"/>
        </w:rPr>
        <w:t xml:space="preserve">). </w:t>
      </w:r>
      <w:r w:rsidR="009A11A5" w:rsidRPr="000361DF">
        <w:rPr>
          <w:rFonts w:cstheme="minorHAnsi"/>
          <w:bCs/>
          <w:color w:val="0000E1"/>
        </w:rPr>
        <w:t xml:space="preserve">However, it is unclear what impact </w:t>
      </w:r>
      <w:r w:rsidR="0063031B" w:rsidRPr="000361DF">
        <w:rPr>
          <w:rFonts w:cstheme="minorHAnsi"/>
          <w:bCs/>
          <w:color w:val="0000E1"/>
        </w:rPr>
        <w:t>SDS risk adjustment</w:t>
      </w:r>
      <w:r w:rsidR="009A11A5" w:rsidRPr="000361DF">
        <w:rPr>
          <w:rFonts w:cstheme="minorHAnsi"/>
          <w:bCs/>
          <w:color w:val="0000E1"/>
        </w:rPr>
        <w:t xml:space="preserve"> will have on the Star Ratings </w:t>
      </w:r>
      <w:r w:rsidR="00941DB0" w:rsidRPr="000361DF">
        <w:rPr>
          <w:rFonts w:cstheme="minorHAnsi"/>
          <w:bCs/>
          <w:color w:val="0000E1"/>
        </w:rPr>
        <w:t>of plan</w:t>
      </w:r>
      <w:r w:rsidR="009A11A5" w:rsidRPr="000361DF">
        <w:rPr>
          <w:rFonts w:cstheme="minorHAnsi"/>
          <w:bCs/>
          <w:color w:val="0000E1"/>
        </w:rPr>
        <w:t>-contracts in the Medicare program.</w:t>
      </w:r>
    </w:p>
    <w:p w14:paraId="049AA7D6" w14:textId="77777777" w:rsidR="0086464B" w:rsidRPr="004B4EF8" w:rsidRDefault="009A11A5" w:rsidP="004B4EF8">
      <w:pPr>
        <w:rPr>
          <w:rFonts w:cstheme="minorHAnsi"/>
          <w:bCs/>
        </w:rPr>
      </w:pPr>
      <w:r>
        <w:rPr>
          <w:rFonts w:cstheme="minorHAnsi"/>
          <w:bCs/>
        </w:rPr>
        <w:t xml:space="preserve"> </w:t>
      </w:r>
      <w:r w:rsidR="0086464B">
        <w:rPr>
          <w:rFonts w:cstheme="minorHAnsi"/>
          <w:b/>
          <w:bCs/>
        </w:rPr>
        <w:t>_______________________________________</w:t>
      </w:r>
    </w:p>
    <w:p w14:paraId="3C2560A2"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0F900EB"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6BA4F795" w14:textId="77777777" w:rsidR="00567D12" w:rsidRPr="00A25024" w:rsidRDefault="00567D12" w:rsidP="00DB3627">
      <w:pPr>
        <w:autoSpaceDE w:val="0"/>
        <w:autoSpaceDN w:val="0"/>
        <w:adjustRightInd w:val="0"/>
        <w:spacing w:after="0" w:line="240" w:lineRule="auto"/>
        <w:rPr>
          <w:rFonts w:cstheme="minorHAnsi"/>
          <w:b/>
          <w:bCs/>
        </w:rPr>
      </w:pPr>
    </w:p>
    <w:p w14:paraId="32BB0285" w14:textId="77777777"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E57C81">
        <w:rPr>
          <w:rFonts w:ascii="Calibri-BoldItalic" w:eastAsiaTheme="minorHAnsi" w:hAnsi="Calibri-BoldItalic" w:cs="Calibri-BoldItalic"/>
          <w:b/>
          <w:bCs/>
          <w:i/>
          <w:iCs/>
        </w:rPr>
        <w:t xml:space="preserve">. </w:t>
      </w:r>
      <w:r w:rsidR="00F1412B">
        <w:rPr>
          <w:rFonts w:ascii="Calibri-BoldItalic" w:eastAsiaTheme="minorHAnsi" w:hAnsi="Calibri-BoldItalic" w:cs="Calibri-BoldItalic"/>
          <w:b/>
          <w:bCs/>
          <w:i/>
          <w:iCs/>
        </w:rPr>
        <w:t>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4B5C8334" w14:textId="77777777" w:rsidR="000F06B5" w:rsidRPr="00A25024" w:rsidRDefault="000F06B5" w:rsidP="00DB3627">
      <w:pPr>
        <w:autoSpaceDE w:val="0"/>
        <w:autoSpaceDN w:val="0"/>
        <w:adjustRightInd w:val="0"/>
        <w:spacing w:after="0" w:line="240" w:lineRule="auto"/>
        <w:rPr>
          <w:rFonts w:cstheme="minorHAnsi"/>
          <w:bCs/>
        </w:rPr>
      </w:pPr>
    </w:p>
    <w:p w14:paraId="37224865" w14:textId="77777777" w:rsidR="000F06B5" w:rsidRPr="000361DF" w:rsidRDefault="009C7513" w:rsidP="00DB3627">
      <w:pPr>
        <w:autoSpaceDE w:val="0"/>
        <w:autoSpaceDN w:val="0"/>
        <w:adjustRightInd w:val="0"/>
        <w:spacing w:after="0" w:line="240" w:lineRule="auto"/>
        <w:rPr>
          <w:rFonts w:cstheme="minorHAnsi"/>
          <w:bCs/>
          <w:color w:val="0000E1"/>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r>
      <w:r w:rsidR="000D4FB5" w:rsidRPr="000361DF">
        <w:rPr>
          <w:rFonts w:cstheme="minorHAnsi"/>
          <w:bCs/>
          <w:color w:val="0000E1"/>
        </w:rPr>
        <w:t>N/A</w:t>
      </w:r>
    </w:p>
    <w:p w14:paraId="394010C0"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69CF6938" w14:textId="77777777" w:rsidR="00A35F8F" w:rsidRPr="000361DF" w:rsidRDefault="009C7513" w:rsidP="00E1508F">
      <w:pPr>
        <w:autoSpaceDE w:val="0"/>
        <w:autoSpaceDN w:val="0"/>
        <w:adjustRightInd w:val="0"/>
        <w:spacing w:after="0" w:line="240" w:lineRule="auto"/>
        <w:rPr>
          <w:rFonts w:cstheme="minorHAnsi"/>
          <w:bCs/>
          <w:color w:val="0000E1"/>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2F16C3" w:rsidRPr="000361DF">
        <w:rPr>
          <w:rFonts w:cstheme="minorHAnsi"/>
          <w:bCs/>
          <w:color w:val="0000E1"/>
        </w:rPr>
        <w:t>N/A</w:t>
      </w:r>
    </w:p>
    <w:p w14:paraId="55047085" w14:textId="77777777" w:rsidR="00E1508F" w:rsidRPr="00E1508F" w:rsidRDefault="00E1508F" w:rsidP="00E1508F">
      <w:pPr>
        <w:autoSpaceDE w:val="0"/>
        <w:autoSpaceDN w:val="0"/>
        <w:adjustRightInd w:val="0"/>
        <w:spacing w:after="0" w:line="240" w:lineRule="auto"/>
        <w:rPr>
          <w:rFonts w:cstheme="minorHAnsi"/>
          <w:bCs/>
        </w:rPr>
      </w:pPr>
    </w:p>
    <w:p w14:paraId="265D7CBA" w14:textId="77777777" w:rsidR="00D2318C" w:rsidRDefault="009C7513" w:rsidP="001149E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p>
    <w:p w14:paraId="6B86C050" w14:textId="77777777" w:rsidR="008F7E67" w:rsidRDefault="00D2318C" w:rsidP="001149EF">
      <w:pPr>
        <w:autoSpaceDE w:val="0"/>
        <w:autoSpaceDN w:val="0"/>
        <w:adjustRightInd w:val="0"/>
        <w:spacing w:after="0" w:line="240" w:lineRule="auto"/>
        <w:rPr>
          <w:rFonts w:cstheme="minorHAnsi"/>
          <w:b/>
          <w:bCs/>
        </w:rPr>
      </w:pPr>
      <w:r w:rsidRPr="000361DF">
        <w:rPr>
          <w:rFonts w:cstheme="minorHAnsi"/>
          <w:bCs/>
          <w:color w:val="0000E1"/>
        </w:rPr>
        <w:t>N/A</w:t>
      </w:r>
      <w:r w:rsidR="00A35F8F" w:rsidRPr="00DB3627">
        <w:rPr>
          <w:rFonts w:cstheme="minorHAnsi"/>
          <w:bCs/>
        </w:rPr>
        <w:br/>
      </w:r>
      <w:r w:rsidR="008F7E67">
        <w:rPr>
          <w:rFonts w:cstheme="minorHAnsi"/>
          <w:b/>
          <w:bCs/>
        </w:rPr>
        <w:t>_______________________________________</w:t>
      </w:r>
    </w:p>
    <w:p w14:paraId="2B8CA79D"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4E06F0E6" w14:textId="77777777" w:rsidR="008F7E67" w:rsidRDefault="008F7E67" w:rsidP="008F7E67">
      <w:pPr>
        <w:autoSpaceDE w:val="0"/>
        <w:autoSpaceDN w:val="0"/>
        <w:adjustRightInd w:val="0"/>
        <w:spacing w:after="0" w:line="240" w:lineRule="auto"/>
        <w:rPr>
          <w:rFonts w:cstheme="minorHAnsi"/>
          <w:bCs/>
        </w:rPr>
      </w:pPr>
    </w:p>
    <w:p w14:paraId="7B54909A" w14:textId="77777777" w:rsidR="002F16C3" w:rsidRPr="000361DF" w:rsidRDefault="009C7513" w:rsidP="002F16C3">
      <w:pPr>
        <w:autoSpaceDE w:val="0"/>
        <w:autoSpaceDN w:val="0"/>
        <w:adjustRightInd w:val="0"/>
        <w:spacing w:after="0" w:line="240" w:lineRule="auto"/>
        <w:rPr>
          <w:rFonts w:cstheme="minorHAnsi"/>
          <w:bCs/>
          <w:color w:val="0000E1"/>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t xml:space="preserve"> </w:t>
      </w:r>
      <w:r w:rsidR="002F16C3" w:rsidRPr="00A25024">
        <w:rPr>
          <w:rFonts w:cstheme="minorHAnsi"/>
          <w:bCs/>
        </w:rPr>
        <w:br/>
      </w:r>
      <w:r w:rsidR="002F16C3" w:rsidRPr="000361DF">
        <w:rPr>
          <w:rFonts w:cstheme="minorHAnsi"/>
          <w:bCs/>
          <w:color w:val="0000E1"/>
        </w:rPr>
        <w:t xml:space="preserve">With the use of prescription claims data as the data source for this measure, the dispensing information (including medication, days’ supply, quantity dispensed, and dosage) is available for each </w:t>
      </w:r>
      <w:r w:rsidR="00AB0974" w:rsidRPr="000361DF">
        <w:rPr>
          <w:rFonts w:cstheme="minorHAnsi"/>
          <w:bCs/>
          <w:color w:val="0000E1"/>
        </w:rPr>
        <w:t>beneficiary</w:t>
      </w:r>
      <w:r w:rsidR="00E57C81">
        <w:rPr>
          <w:rFonts w:cstheme="minorHAnsi"/>
          <w:bCs/>
          <w:color w:val="0000E1"/>
        </w:rPr>
        <w:t xml:space="preserve">. </w:t>
      </w:r>
      <w:r w:rsidR="002F16C3" w:rsidRPr="000361DF">
        <w:rPr>
          <w:rFonts w:cstheme="minorHAnsi"/>
          <w:bCs/>
          <w:color w:val="0000E1"/>
        </w:rPr>
        <w:t xml:space="preserve">   </w:t>
      </w:r>
      <w:r w:rsidR="002F16C3" w:rsidRPr="000361DF">
        <w:rPr>
          <w:rFonts w:cstheme="minorHAnsi"/>
          <w:bCs/>
          <w:color w:val="0000E1"/>
        </w:rPr>
        <w:lastRenderedPageBreak/>
        <w:t xml:space="preserve">Since each of these data elements are available via prescription claims data, it is not expected—nor was it found—that missing data would result. </w:t>
      </w:r>
    </w:p>
    <w:p w14:paraId="763C571B" w14:textId="77777777" w:rsidR="002F16C3" w:rsidRPr="000361DF" w:rsidRDefault="002F16C3" w:rsidP="002F16C3">
      <w:pPr>
        <w:autoSpaceDE w:val="0"/>
        <w:autoSpaceDN w:val="0"/>
        <w:adjustRightInd w:val="0"/>
        <w:spacing w:after="0" w:line="240" w:lineRule="auto"/>
        <w:rPr>
          <w:rFonts w:cstheme="minorHAnsi"/>
          <w:bCs/>
          <w:color w:val="0000E1"/>
        </w:rPr>
      </w:pPr>
    </w:p>
    <w:p w14:paraId="03E6AE0F" w14:textId="77777777" w:rsidR="002220F3" w:rsidRDefault="002F16C3" w:rsidP="002F16C3">
      <w:pPr>
        <w:autoSpaceDE w:val="0"/>
        <w:autoSpaceDN w:val="0"/>
        <w:adjustRightInd w:val="0"/>
        <w:spacing w:after="0" w:line="240" w:lineRule="auto"/>
        <w:rPr>
          <w:rFonts w:cstheme="minorHAnsi"/>
          <w:bCs/>
          <w:color w:val="0000E1"/>
        </w:rPr>
      </w:pPr>
      <w:r w:rsidRPr="000361DF">
        <w:rPr>
          <w:rFonts w:cstheme="minorHAnsi"/>
          <w:bCs/>
          <w:color w:val="0000E1"/>
        </w:rPr>
        <w:t xml:space="preserve">The final risk adjustment model included only variables available in the CMS PDE data, and </w:t>
      </w:r>
      <w:proofErr w:type="gramStart"/>
      <w:r w:rsidRPr="000361DF">
        <w:rPr>
          <w:rFonts w:cstheme="minorHAnsi"/>
          <w:bCs/>
          <w:color w:val="0000E1"/>
        </w:rPr>
        <w:t>were considered to be</w:t>
      </w:r>
      <w:proofErr w:type="gramEnd"/>
      <w:r w:rsidRPr="000361DF">
        <w:rPr>
          <w:rFonts w:cstheme="minorHAnsi"/>
          <w:bCs/>
          <w:color w:val="0000E1"/>
        </w:rPr>
        <w:t xml:space="preserve"> reliable as many of these variables, including age, LIS status, disability as reason for Medicare entitlement are all important for determining eligibility for en</w:t>
      </w:r>
      <w:r w:rsidR="00E06F87" w:rsidRPr="000361DF">
        <w:rPr>
          <w:rFonts w:cstheme="minorHAnsi"/>
          <w:bCs/>
          <w:color w:val="0000E1"/>
        </w:rPr>
        <w:t>rollment and payment of services</w:t>
      </w:r>
      <w:r w:rsidRPr="000361DF">
        <w:rPr>
          <w:rFonts w:cstheme="minorHAnsi"/>
          <w:bCs/>
          <w:color w:val="0000E1"/>
        </w:rPr>
        <w:t xml:space="preserve">. </w:t>
      </w:r>
    </w:p>
    <w:p w14:paraId="43B023AE" w14:textId="77777777" w:rsidR="002220F3" w:rsidRDefault="002220F3" w:rsidP="002F16C3">
      <w:pPr>
        <w:autoSpaceDE w:val="0"/>
        <w:autoSpaceDN w:val="0"/>
        <w:adjustRightInd w:val="0"/>
        <w:spacing w:after="0" w:line="240" w:lineRule="auto"/>
        <w:rPr>
          <w:rFonts w:cstheme="minorHAnsi"/>
          <w:bCs/>
          <w:color w:val="0000E1"/>
        </w:rPr>
      </w:pPr>
    </w:p>
    <w:p w14:paraId="5755A6D2" w14:textId="77777777" w:rsidR="002F16C3" w:rsidRPr="000361DF" w:rsidRDefault="002F16C3" w:rsidP="002F16C3">
      <w:pPr>
        <w:autoSpaceDE w:val="0"/>
        <w:autoSpaceDN w:val="0"/>
        <w:adjustRightInd w:val="0"/>
        <w:spacing w:after="0" w:line="240" w:lineRule="auto"/>
        <w:rPr>
          <w:rFonts w:cstheme="minorHAnsi"/>
          <w:bCs/>
          <w:color w:val="0000E1"/>
        </w:rPr>
      </w:pPr>
      <w:r w:rsidRPr="000361DF">
        <w:rPr>
          <w:rFonts w:cstheme="minorHAnsi"/>
          <w:bCs/>
          <w:color w:val="0000E1"/>
        </w:rPr>
        <w:t>In addition, race was excluded from the SDS risk adjustment in part because of RAAP concerns about the lack of completeness of the race variable, where about 20% of individuals</w:t>
      </w:r>
      <w:r w:rsidR="00D2318C">
        <w:rPr>
          <w:rFonts w:cstheme="minorHAnsi"/>
          <w:bCs/>
          <w:color w:val="0000E1"/>
        </w:rPr>
        <w:t>’</w:t>
      </w:r>
      <w:r w:rsidRPr="000361DF">
        <w:rPr>
          <w:rFonts w:cstheme="minorHAnsi"/>
          <w:bCs/>
          <w:color w:val="0000E1"/>
        </w:rPr>
        <w:t xml:space="preserve"> race </w:t>
      </w:r>
      <w:r w:rsidR="00594348" w:rsidRPr="000361DF">
        <w:rPr>
          <w:rFonts w:cstheme="minorHAnsi"/>
          <w:bCs/>
          <w:color w:val="0000E1"/>
        </w:rPr>
        <w:t xml:space="preserve">in the 2014 100% CMS PDE </w:t>
      </w:r>
      <w:r w:rsidRPr="000361DF">
        <w:rPr>
          <w:rFonts w:cstheme="minorHAnsi"/>
          <w:bCs/>
          <w:color w:val="0000E1"/>
        </w:rPr>
        <w:t xml:space="preserve">was classified as “unknown”. </w:t>
      </w:r>
    </w:p>
    <w:p w14:paraId="0BEDB39D"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39104209" w14:textId="77777777"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3FC22F5B" w14:textId="2988FB15" w:rsidR="002F16C3" w:rsidRPr="000361DF" w:rsidRDefault="002F16C3" w:rsidP="002F16C3">
      <w:pPr>
        <w:autoSpaceDE w:val="0"/>
        <w:autoSpaceDN w:val="0"/>
        <w:adjustRightInd w:val="0"/>
        <w:spacing w:after="0" w:line="240" w:lineRule="auto"/>
        <w:rPr>
          <w:rFonts w:cstheme="minorHAnsi"/>
          <w:bCs/>
          <w:color w:val="0000E1"/>
        </w:rPr>
      </w:pPr>
      <w:r w:rsidRPr="000361DF">
        <w:rPr>
          <w:rFonts w:cstheme="minorHAnsi"/>
          <w:bCs/>
          <w:color w:val="0000E1"/>
        </w:rPr>
        <w:t>Race was found to be “unknown” for about 20% of the population</w:t>
      </w:r>
      <w:r w:rsidR="00153370">
        <w:rPr>
          <w:rFonts w:cstheme="minorHAnsi"/>
          <w:bCs/>
          <w:color w:val="0000E1"/>
        </w:rPr>
        <w:t xml:space="preserve"> in the 2014 100% CMS PDE</w:t>
      </w:r>
      <w:r w:rsidRPr="000361DF">
        <w:rPr>
          <w:rFonts w:cstheme="minorHAnsi"/>
          <w:bCs/>
          <w:color w:val="0000E1"/>
        </w:rPr>
        <w:t xml:space="preserve"> and was therefore not included in the final model</w:t>
      </w:r>
      <w:r w:rsidR="00E57C81">
        <w:rPr>
          <w:rFonts w:cstheme="minorHAnsi"/>
          <w:bCs/>
          <w:color w:val="0000E1"/>
        </w:rPr>
        <w:t xml:space="preserve">. </w:t>
      </w:r>
      <w:r w:rsidRPr="000361DF">
        <w:rPr>
          <w:rFonts w:cstheme="minorHAnsi"/>
          <w:bCs/>
          <w:color w:val="0000E1"/>
        </w:rPr>
        <w:t>As discussed in section 2b3.11, the models were run with and without race to determine impact of race on the models</w:t>
      </w:r>
      <w:r w:rsidR="00E57C81">
        <w:rPr>
          <w:rFonts w:cstheme="minorHAnsi"/>
          <w:bCs/>
          <w:color w:val="0000E1"/>
        </w:rPr>
        <w:t xml:space="preserve">. </w:t>
      </w:r>
    </w:p>
    <w:p w14:paraId="179F98F7" w14:textId="77777777" w:rsidR="008F7E67" w:rsidRPr="00E1508F" w:rsidRDefault="008F7E67" w:rsidP="008F7E67">
      <w:pPr>
        <w:autoSpaceDE w:val="0"/>
        <w:autoSpaceDN w:val="0"/>
        <w:adjustRightInd w:val="0"/>
        <w:spacing w:after="0" w:line="240" w:lineRule="auto"/>
        <w:rPr>
          <w:rFonts w:cstheme="minorHAnsi"/>
          <w:bCs/>
        </w:rPr>
      </w:pPr>
    </w:p>
    <w:p w14:paraId="60BC0C94" w14:textId="77777777"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293B633B" w14:textId="77777777" w:rsidR="002F16C3" w:rsidRDefault="002F16C3">
      <w:pPr>
        <w:autoSpaceDE w:val="0"/>
        <w:autoSpaceDN w:val="0"/>
        <w:adjustRightInd w:val="0"/>
        <w:spacing w:after="0" w:line="240" w:lineRule="auto"/>
        <w:rPr>
          <w:rFonts w:cstheme="minorHAnsi"/>
          <w:bCs/>
        </w:rPr>
      </w:pPr>
    </w:p>
    <w:p w14:paraId="665AA3A0" w14:textId="77777777" w:rsidR="002F16C3" w:rsidRPr="000361DF" w:rsidRDefault="002F16C3" w:rsidP="002F16C3">
      <w:pPr>
        <w:autoSpaceDE w:val="0"/>
        <w:autoSpaceDN w:val="0"/>
        <w:adjustRightInd w:val="0"/>
        <w:spacing w:after="0" w:line="240" w:lineRule="auto"/>
        <w:rPr>
          <w:rFonts w:cstheme="minorHAnsi"/>
          <w:bCs/>
          <w:color w:val="0000E1"/>
        </w:rPr>
      </w:pPr>
      <w:r w:rsidRPr="000361DF">
        <w:rPr>
          <w:rFonts w:cstheme="minorHAnsi"/>
          <w:bCs/>
          <w:color w:val="0000E1"/>
        </w:rPr>
        <w:t xml:space="preserve">As discussed in 2b3.11, a comparison of the models with and without race show that the models were similar for all three </w:t>
      </w:r>
      <w:r w:rsidR="00D2318C">
        <w:rPr>
          <w:rFonts w:cstheme="minorHAnsi"/>
          <w:bCs/>
          <w:color w:val="0000E1"/>
        </w:rPr>
        <w:t>rates</w:t>
      </w:r>
      <w:r w:rsidRPr="000361DF">
        <w:rPr>
          <w:rFonts w:cstheme="minorHAnsi"/>
          <w:bCs/>
          <w:color w:val="0000E1"/>
        </w:rPr>
        <w:t xml:space="preserve"> with respect to the coefficient estimate direction and odds ratios of the included covariates with one exception in the Diabetes model, where the odds ratio for the 65-69</w:t>
      </w:r>
      <w:r w:rsidR="00661037">
        <w:rPr>
          <w:rFonts w:cstheme="minorHAnsi"/>
          <w:bCs/>
          <w:color w:val="0000E1"/>
        </w:rPr>
        <w:t xml:space="preserve"> </w:t>
      </w:r>
      <w:r w:rsidRPr="000361DF">
        <w:rPr>
          <w:rFonts w:cstheme="minorHAnsi"/>
          <w:bCs/>
          <w:color w:val="0000E1"/>
        </w:rPr>
        <w:t>years age group changed from 1.02 in the reduced model with race to 0.97 in the reduced model without race</w:t>
      </w:r>
      <w:r w:rsidR="00E57C81">
        <w:rPr>
          <w:rFonts w:cstheme="minorHAnsi"/>
          <w:bCs/>
          <w:color w:val="0000E1"/>
        </w:rPr>
        <w:t xml:space="preserve">. </w:t>
      </w:r>
    </w:p>
    <w:p w14:paraId="3E441F1F" w14:textId="77777777" w:rsidR="002F16C3" w:rsidRDefault="002F16C3">
      <w:pPr>
        <w:autoSpaceDE w:val="0"/>
        <w:autoSpaceDN w:val="0"/>
        <w:adjustRightInd w:val="0"/>
        <w:spacing w:after="0" w:line="240" w:lineRule="auto"/>
        <w:rPr>
          <w:rFonts w:cstheme="minorHAnsi"/>
          <w:bCs/>
        </w:rPr>
      </w:pPr>
    </w:p>
    <w:p w14:paraId="566AB49D" w14:textId="77777777"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66"/>
      <w:footerReference w:type="default" r:id="rId6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F1E95F" w14:textId="77777777" w:rsidR="00C87E2A" w:rsidRDefault="00C87E2A" w:rsidP="005C73CA">
      <w:pPr>
        <w:spacing w:after="0" w:line="240" w:lineRule="auto"/>
      </w:pPr>
      <w:r>
        <w:separator/>
      </w:r>
    </w:p>
  </w:endnote>
  <w:endnote w:type="continuationSeparator" w:id="0">
    <w:p w14:paraId="7A2582AF" w14:textId="77777777" w:rsidR="00C87E2A" w:rsidRDefault="00C87E2A"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DF98D" w14:textId="77777777" w:rsidR="003461D7" w:rsidRDefault="003461D7">
    <w:pPr>
      <w:pStyle w:val="Footer"/>
    </w:pPr>
    <w:r>
      <w:t>Version 7.1 9/6/2017</w:t>
    </w:r>
    <w:r>
      <w:ptab w:relativeTo="margin" w:alignment="right" w:leader="none"/>
    </w:r>
    <w:r>
      <w:fldChar w:fldCharType="begin"/>
    </w:r>
    <w:r>
      <w:instrText xml:space="preserve"> PAGE   \* MERGEFORMAT </w:instrText>
    </w:r>
    <w:r>
      <w:fldChar w:fldCharType="separate"/>
    </w:r>
    <w:r>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D40C2" w14:textId="77777777" w:rsidR="00C87E2A" w:rsidRDefault="00C87E2A" w:rsidP="005C73CA">
      <w:pPr>
        <w:spacing w:after="0" w:line="240" w:lineRule="auto"/>
      </w:pPr>
      <w:r>
        <w:separator/>
      </w:r>
    </w:p>
  </w:footnote>
  <w:footnote w:type="continuationSeparator" w:id="0">
    <w:p w14:paraId="4CE2430F" w14:textId="77777777" w:rsidR="00C87E2A" w:rsidRDefault="00C87E2A"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46894" w14:textId="77777777" w:rsidR="003461D7" w:rsidRPr="00105D8B" w:rsidRDefault="003461D7"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78A98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025B3A"/>
    <w:multiLevelType w:val="hybridMultilevel"/>
    <w:tmpl w:val="80B04F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EDD5826"/>
    <w:multiLevelType w:val="hybridMultilevel"/>
    <w:tmpl w:val="B98A7E26"/>
    <w:lvl w:ilvl="0" w:tplc="04090015">
      <w:start w:val="1"/>
      <w:numFmt w:val="upp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5042E"/>
    <w:multiLevelType w:val="hybridMultilevel"/>
    <w:tmpl w:val="84AE96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614A41"/>
    <w:multiLevelType w:val="hybridMultilevel"/>
    <w:tmpl w:val="DB862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437B4C"/>
    <w:multiLevelType w:val="hybridMultilevel"/>
    <w:tmpl w:val="C67E8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117636"/>
    <w:multiLevelType w:val="hybridMultilevel"/>
    <w:tmpl w:val="AA3E78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1B138D"/>
    <w:multiLevelType w:val="hybridMultilevel"/>
    <w:tmpl w:val="571645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E5277C5"/>
    <w:multiLevelType w:val="hybridMultilevel"/>
    <w:tmpl w:val="66E03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190173"/>
    <w:multiLevelType w:val="hybridMultilevel"/>
    <w:tmpl w:val="AC303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126868"/>
    <w:multiLevelType w:val="hybridMultilevel"/>
    <w:tmpl w:val="2AD8EA9A"/>
    <w:lvl w:ilvl="0" w:tplc="CBF04EC8">
      <w:start w:val="1"/>
      <w:numFmt w:val="decimal"/>
      <w:lvlText w:val="%1."/>
      <w:lvlJc w:val="left"/>
      <w:pPr>
        <w:ind w:left="720" w:hanging="360"/>
      </w:pPr>
      <w:rPr>
        <w:rFonts w:hint="default"/>
        <w:color w:val="0000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842054"/>
    <w:multiLevelType w:val="hybridMultilevel"/>
    <w:tmpl w:val="223CA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B16C9F"/>
    <w:multiLevelType w:val="hybridMultilevel"/>
    <w:tmpl w:val="C37872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4207384"/>
    <w:multiLevelType w:val="hybridMultilevel"/>
    <w:tmpl w:val="06263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9A5687"/>
    <w:multiLevelType w:val="hybridMultilevel"/>
    <w:tmpl w:val="6B3A2C4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9C71605"/>
    <w:multiLevelType w:val="hybridMultilevel"/>
    <w:tmpl w:val="66E03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3"/>
  </w:num>
  <w:num w:numId="4">
    <w:abstractNumId w:val="15"/>
  </w:num>
  <w:num w:numId="5">
    <w:abstractNumId w:val="0"/>
  </w:num>
  <w:num w:numId="6">
    <w:abstractNumId w:val="6"/>
  </w:num>
  <w:num w:numId="7">
    <w:abstractNumId w:val="8"/>
  </w:num>
  <w:num w:numId="8">
    <w:abstractNumId w:val="2"/>
  </w:num>
  <w:num w:numId="9">
    <w:abstractNumId w:val="7"/>
  </w:num>
  <w:num w:numId="10">
    <w:abstractNumId w:val="10"/>
  </w:num>
  <w:num w:numId="11">
    <w:abstractNumId w:val="11"/>
  </w:num>
  <w:num w:numId="12">
    <w:abstractNumId w:val="17"/>
  </w:num>
  <w:num w:numId="13">
    <w:abstractNumId w:val="4"/>
  </w:num>
  <w:num w:numId="14">
    <w:abstractNumId w:val="9"/>
  </w:num>
  <w:num w:numId="15">
    <w:abstractNumId w:val="13"/>
  </w:num>
  <w:num w:numId="16">
    <w:abstractNumId w:val="5"/>
  </w:num>
  <w:num w:numId="17">
    <w:abstractNumId w:val="12"/>
  </w:num>
  <w:num w:numId="18">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13B2"/>
    <w:rsid w:val="00001D73"/>
    <w:rsid w:val="00003469"/>
    <w:rsid w:val="00003D2C"/>
    <w:rsid w:val="000047CF"/>
    <w:rsid w:val="0000503C"/>
    <w:rsid w:val="00005568"/>
    <w:rsid w:val="00005806"/>
    <w:rsid w:val="00006E52"/>
    <w:rsid w:val="0001054A"/>
    <w:rsid w:val="0001094F"/>
    <w:rsid w:val="00011E04"/>
    <w:rsid w:val="000134FB"/>
    <w:rsid w:val="00013771"/>
    <w:rsid w:val="00015EAC"/>
    <w:rsid w:val="00016CD1"/>
    <w:rsid w:val="00021170"/>
    <w:rsid w:val="0002128B"/>
    <w:rsid w:val="00024DFD"/>
    <w:rsid w:val="0002527F"/>
    <w:rsid w:val="0002617F"/>
    <w:rsid w:val="00027141"/>
    <w:rsid w:val="00027291"/>
    <w:rsid w:val="00027AB8"/>
    <w:rsid w:val="000309DD"/>
    <w:rsid w:val="00030DAF"/>
    <w:rsid w:val="00031128"/>
    <w:rsid w:val="00031414"/>
    <w:rsid w:val="00031AF1"/>
    <w:rsid w:val="00033038"/>
    <w:rsid w:val="00033D63"/>
    <w:rsid w:val="0003436F"/>
    <w:rsid w:val="00034EA8"/>
    <w:rsid w:val="00035B15"/>
    <w:rsid w:val="000361DF"/>
    <w:rsid w:val="00040B7D"/>
    <w:rsid w:val="000414E8"/>
    <w:rsid w:val="00043F9A"/>
    <w:rsid w:val="000456D2"/>
    <w:rsid w:val="0004593A"/>
    <w:rsid w:val="00047CF3"/>
    <w:rsid w:val="0005030F"/>
    <w:rsid w:val="00050403"/>
    <w:rsid w:val="00050A3E"/>
    <w:rsid w:val="00052A6F"/>
    <w:rsid w:val="00053640"/>
    <w:rsid w:val="00053F02"/>
    <w:rsid w:val="00055D86"/>
    <w:rsid w:val="0005612B"/>
    <w:rsid w:val="00057021"/>
    <w:rsid w:val="000574AB"/>
    <w:rsid w:val="00057B56"/>
    <w:rsid w:val="00060169"/>
    <w:rsid w:val="0006147A"/>
    <w:rsid w:val="0006234F"/>
    <w:rsid w:val="000623D2"/>
    <w:rsid w:val="0006514D"/>
    <w:rsid w:val="000711C0"/>
    <w:rsid w:val="00074E43"/>
    <w:rsid w:val="00074EC8"/>
    <w:rsid w:val="000775F8"/>
    <w:rsid w:val="00080CF7"/>
    <w:rsid w:val="0008329D"/>
    <w:rsid w:val="00083B49"/>
    <w:rsid w:val="000851B2"/>
    <w:rsid w:val="00086366"/>
    <w:rsid w:val="00086782"/>
    <w:rsid w:val="00090377"/>
    <w:rsid w:val="00091011"/>
    <w:rsid w:val="00092566"/>
    <w:rsid w:val="00094893"/>
    <w:rsid w:val="0009679C"/>
    <w:rsid w:val="000968F8"/>
    <w:rsid w:val="00097012"/>
    <w:rsid w:val="00097374"/>
    <w:rsid w:val="000A2329"/>
    <w:rsid w:val="000A3CD9"/>
    <w:rsid w:val="000A492E"/>
    <w:rsid w:val="000A5408"/>
    <w:rsid w:val="000A5FE4"/>
    <w:rsid w:val="000A61DA"/>
    <w:rsid w:val="000A6D74"/>
    <w:rsid w:val="000B02EC"/>
    <w:rsid w:val="000B032A"/>
    <w:rsid w:val="000B2DF7"/>
    <w:rsid w:val="000B3880"/>
    <w:rsid w:val="000B5180"/>
    <w:rsid w:val="000B6899"/>
    <w:rsid w:val="000B6D9E"/>
    <w:rsid w:val="000B7D57"/>
    <w:rsid w:val="000C036D"/>
    <w:rsid w:val="000C0FF8"/>
    <w:rsid w:val="000C20C6"/>
    <w:rsid w:val="000C291F"/>
    <w:rsid w:val="000C524E"/>
    <w:rsid w:val="000D184E"/>
    <w:rsid w:val="000D2636"/>
    <w:rsid w:val="000D2722"/>
    <w:rsid w:val="000D48EA"/>
    <w:rsid w:val="000D4FB5"/>
    <w:rsid w:val="000D7948"/>
    <w:rsid w:val="000D7C84"/>
    <w:rsid w:val="000E051F"/>
    <w:rsid w:val="000E110B"/>
    <w:rsid w:val="000E1863"/>
    <w:rsid w:val="000E4781"/>
    <w:rsid w:val="000E4E13"/>
    <w:rsid w:val="000E78F6"/>
    <w:rsid w:val="000F034A"/>
    <w:rsid w:val="000F06B5"/>
    <w:rsid w:val="000F1B7A"/>
    <w:rsid w:val="000F2424"/>
    <w:rsid w:val="000F39E9"/>
    <w:rsid w:val="000F4171"/>
    <w:rsid w:val="000F6F93"/>
    <w:rsid w:val="001009D4"/>
    <w:rsid w:val="00104B45"/>
    <w:rsid w:val="00105D8B"/>
    <w:rsid w:val="001103FC"/>
    <w:rsid w:val="00112E77"/>
    <w:rsid w:val="0011342F"/>
    <w:rsid w:val="001149EF"/>
    <w:rsid w:val="00115587"/>
    <w:rsid w:val="001202E9"/>
    <w:rsid w:val="00123930"/>
    <w:rsid w:val="0012454F"/>
    <w:rsid w:val="00124A4F"/>
    <w:rsid w:val="00124FEB"/>
    <w:rsid w:val="00125273"/>
    <w:rsid w:val="0012575E"/>
    <w:rsid w:val="001257FD"/>
    <w:rsid w:val="0012765D"/>
    <w:rsid w:val="00127C06"/>
    <w:rsid w:val="00131A0D"/>
    <w:rsid w:val="0013335D"/>
    <w:rsid w:val="001335A2"/>
    <w:rsid w:val="00133FFC"/>
    <w:rsid w:val="001377F8"/>
    <w:rsid w:val="00141567"/>
    <w:rsid w:val="00145149"/>
    <w:rsid w:val="001456D0"/>
    <w:rsid w:val="00145D4F"/>
    <w:rsid w:val="00147226"/>
    <w:rsid w:val="0014773C"/>
    <w:rsid w:val="001500A7"/>
    <w:rsid w:val="00153370"/>
    <w:rsid w:val="00153720"/>
    <w:rsid w:val="00153788"/>
    <w:rsid w:val="00156C05"/>
    <w:rsid w:val="00162872"/>
    <w:rsid w:val="00163EDE"/>
    <w:rsid w:val="00164172"/>
    <w:rsid w:val="00166B4A"/>
    <w:rsid w:val="0016714A"/>
    <w:rsid w:val="00171FB0"/>
    <w:rsid w:val="0017210D"/>
    <w:rsid w:val="00172234"/>
    <w:rsid w:val="001729E7"/>
    <w:rsid w:val="0017696D"/>
    <w:rsid w:val="00176B31"/>
    <w:rsid w:val="0018189B"/>
    <w:rsid w:val="00181CD1"/>
    <w:rsid w:val="0018208A"/>
    <w:rsid w:val="00182443"/>
    <w:rsid w:val="001831B2"/>
    <w:rsid w:val="001848FC"/>
    <w:rsid w:val="00185FFF"/>
    <w:rsid w:val="00190630"/>
    <w:rsid w:val="00191E82"/>
    <w:rsid w:val="00193F21"/>
    <w:rsid w:val="001957C7"/>
    <w:rsid w:val="0019584A"/>
    <w:rsid w:val="00195C8B"/>
    <w:rsid w:val="001969C5"/>
    <w:rsid w:val="00196A76"/>
    <w:rsid w:val="001A1F0F"/>
    <w:rsid w:val="001A2935"/>
    <w:rsid w:val="001A6CDD"/>
    <w:rsid w:val="001A7923"/>
    <w:rsid w:val="001B2155"/>
    <w:rsid w:val="001B32E3"/>
    <w:rsid w:val="001B4744"/>
    <w:rsid w:val="001B797B"/>
    <w:rsid w:val="001C12EE"/>
    <w:rsid w:val="001C7819"/>
    <w:rsid w:val="001C7B02"/>
    <w:rsid w:val="001D052A"/>
    <w:rsid w:val="001D0FC0"/>
    <w:rsid w:val="001D18AC"/>
    <w:rsid w:val="001D35AA"/>
    <w:rsid w:val="001D3E0C"/>
    <w:rsid w:val="001D459A"/>
    <w:rsid w:val="001E01A0"/>
    <w:rsid w:val="001E0E95"/>
    <w:rsid w:val="001E22A0"/>
    <w:rsid w:val="001E2527"/>
    <w:rsid w:val="001E4DD4"/>
    <w:rsid w:val="001E4E23"/>
    <w:rsid w:val="001E6334"/>
    <w:rsid w:val="001E69DC"/>
    <w:rsid w:val="001E7C62"/>
    <w:rsid w:val="001F169D"/>
    <w:rsid w:val="001F1DA1"/>
    <w:rsid w:val="001F4A5D"/>
    <w:rsid w:val="001F6F93"/>
    <w:rsid w:val="001F7A20"/>
    <w:rsid w:val="00201EF3"/>
    <w:rsid w:val="0020277B"/>
    <w:rsid w:val="00202D7B"/>
    <w:rsid w:val="00205373"/>
    <w:rsid w:val="00206E83"/>
    <w:rsid w:val="00207095"/>
    <w:rsid w:val="0021054A"/>
    <w:rsid w:val="002108B0"/>
    <w:rsid w:val="0021195A"/>
    <w:rsid w:val="00213383"/>
    <w:rsid w:val="00213D12"/>
    <w:rsid w:val="00213F7C"/>
    <w:rsid w:val="0021449F"/>
    <w:rsid w:val="00215A86"/>
    <w:rsid w:val="00216E7E"/>
    <w:rsid w:val="00220250"/>
    <w:rsid w:val="002216C6"/>
    <w:rsid w:val="00221DF9"/>
    <w:rsid w:val="002220F3"/>
    <w:rsid w:val="00222444"/>
    <w:rsid w:val="0022278A"/>
    <w:rsid w:val="002239A8"/>
    <w:rsid w:val="0022691B"/>
    <w:rsid w:val="00227F76"/>
    <w:rsid w:val="00232163"/>
    <w:rsid w:val="00234468"/>
    <w:rsid w:val="002350B1"/>
    <w:rsid w:val="00237421"/>
    <w:rsid w:val="002376F8"/>
    <w:rsid w:val="002377A5"/>
    <w:rsid w:val="002408E4"/>
    <w:rsid w:val="00241591"/>
    <w:rsid w:val="0024252B"/>
    <w:rsid w:val="002442EB"/>
    <w:rsid w:val="002444B5"/>
    <w:rsid w:val="00244A6F"/>
    <w:rsid w:val="00247392"/>
    <w:rsid w:val="00247D45"/>
    <w:rsid w:val="00250B4F"/>
    <w:rsid w:val="00252A24"/>
    <w:rsid w:val="0025415F"/>
    <w:rsid w:val="0025762F"/>
    <w:rsid w:val="002640E2"/>
    <w:rsid w:val="002679D5"/>
    <w:rsid w:val="00271E72"/>
    <w:rsid w:val="00275563"/>
    <w:rsid w:val="00275BA5"/>
    <w:rsid w:val="00281099"/>
    <w:rsid w:val="0028114D"/>
    <w:rsid w:val="002820E6"/>
    <w:rsid w:val="00282A7B"/>
    <w:rsid w:val="002847F1"/>
    <w:rsid w:val="00287422"/>
    <w:rsid w:val="00287649"/>
    <w:rsid w:val="00287E84"/>
    <w:rsid w:val="002903FF"/>
    <w:rsid w:val="0029098C"/>
    <w:rsid w:val="00291538"/>
    <w:rsid w:val="002920C7"/>
    <w:rsid w:val="0029286C"/>
    <w:rsid w:val="00292C33"/>
    <w:rsid w:val="0029300E"/>
    <w:rsid w:val="002A0DFD"/>
    <w:rsid w:val="002A2BB8"/>
    <w:rsid w:val="002A5AFA"/>
    <w:rsid w:val="002A7E8A"/>
    <w:rsid w:val="002B0C3A"/>
    <w:rsid w:val="002B0FA9"/>
    <w:rsid w:val="002B1491"/>
    <w:rsid w:val="002B1FBF"/>
    <w:rsid w:val="002B2116"/>
    <w:rsid w:val="002B2D9B"/>
    <w:rsid w:val="002B5016"/>
    <w:rsid w:val="002B534F"/>
    <w:rsid w:val="002B742C"/>
    <w:rsid w:val="002B7F4D"/>
    <w:rsid w:val="002C1ABE"/>
    <w:rsid w:val="002C285C"/>
    <w:rsid w:val="002C290A"/>
    <w:rsid w:val="002C3EE6"/>
    <w:rsid w:val="002C4023"/>
    <w:rsid w:val="002C7BE4"/>
    <w:rsid w:val="002D1293"/>
    <w:rsid w:val="002D17DF"/>
    <w:rsid w:val="002D26D8"/>
    <w:rsid w:val="002D277F"/>
    <w:rsid w:val="002D417D"/>
    <w:rsid w:val="002D5ADB"/>
    <w:rsid w:val="002D5E5D"/>
    <w:rsid w:val="002D7A9D"/>
    <w:rsid w:val="002E474B"/>
    <w:rsid w:val="002E4DB1"/>
    <w:rsid w:val="002E5422"/>
    <w:rsid w:val="002E5E23"/>
    <w:rsid w:val="002E6534"/>
    <w:rsid w:val="002E78A0"/>
    <w:rsid w:val="002F16C3"/>
    <w:rsid w:val="002F2687"/>
    <w:rsid w:val="002F3871"/>
    <w:rsid w:val="002F48E1"/>
    <w:rsid w:val="002F4F3B"/>
    <w:rsid w:val="002F5821"/>
    <w:rsid w:val="002F5A6B"/>
    <w:rsid w:val="002F6A61"/>
    <w:rsid w:val="002F7A83"/>
    <w:rsid w:val="003008DF"/>
    <w:rsid w:val="00304C86"/>
    <w:rsid w:val="003059EB"/>
    <w:rsid w:val="00310DF6"/>
    <w:rsid w:val="003116AC"/>
    <w:rsid w:val="00313652"/>
    <w:rsid w:val="00314EAE"/>
    <w:rsid w:val="003153C6"/>
    <w:rsid w:val="00315528"/>
    <w:rsid w:val="00315567"/>
    <w:rsid w:val="00316A54"/>
    <w:rsid w:val="00317FAF"/>
    <w:rsid w:val="00320619"/>
    <w:rsid w:val="00323E1E"/>
    <w:rsid w:val="00326D45"/>
    <w:rsid w:val="00327B89"/>
    <w:rsid w:val="00330144"/>
    <w:rsid w:val="00331631"/>
    <w:rsid w:val="00334329"/>
    <w:rsid w:val="003344A3"/>
    <w:rsid w:val="00335144"/>
    <w:rsid w:val="003368B5"/>
    <w:rsid w:val="0034001C"/>
    <w:rsid w:val="003402C2"/>
    <w:rsid w:val="003418D6"/>
    <w:rsid w:val="003421D1"/>
    <w:rsid w:val="00345CBA"/>
    <w:rsid w:val="003461D7"/>
    <w:rsid w:val="00346245"/>
    <w:rsid w:val="003465AB"/>
    <w:rsid w:val="00347AFC"/>
    <w:rsid w:val="003554D7"/>
    <w:rsid w:val="00356267"/>
    <w:rsid w:val="00356BAD"/>
    <w:rsid w:val="003570BE"/>
    <w:rsid w:val="003605B4"/>
    <w:rsid w:val="00360719"/>
    <w:rsid w:val="003627AC"/>
    <w:rsid w:val="003628EB"/>
    <w:rsid w:val="00365B0F"/>
    <w:rsid w:val="00366914"/>
    <w:rsid w:val="003705F7"/>
    <w:rsid w:val="00370764"/>
    <w:rsid w:val="00371694"/>
    <w:rsid w:val="00371702"/>
    <w:rsid w:val="00372076"/>
    <w:rsid w:val="003729AE"/>
    <w:rsid w:val="00372ECC"/>
    <w:rsid w:val="00372FE3"/>
    <w:rsid w:val="003755CB"/>
    <w:rsid w:val="00381080"/>
    <w:rsid w:val="003821AF"/>
    <w:rsid w:val="00383F85"/>
    <w:rsid w:val="00387BA1"/>
    <w:rsid w:val="00390886"/>
    <w:rsid w:val="00390C4E"/>
    <w:rsid w:val="00390FCD"/>
    <w:rsid w:val="003922A4"/>
    <w:rsid w:val="00393E4C"/>
    <w:rsid w:val="003979A2"/>
    <w:rsid w:val="003A306C"/>
    <w:rsid w:val="003A4DB7"/>
    <w:rsid w:val="003A5FA3"/>
    <w:rsid w:val="003A7DE7"/>
    <w:rsid w:val="003B1006"/>
    <w:rsid w:val="003B4DF1"/>
    <w:rsid w:val="003C5F11"/>
    <w:rsid w:val="003C632E"/>
    <w:rsid w:val="003C6E5A"/>
    <w:rsid w:val="003D1827"/>
    <w:rsid w:val="003D294B"/>
    <w:rsid w:val="003D35C3"/>
    <w:rsid w:val="003D35D3"/>
    <w:rsid w:val="003D4333"/>
    <w:rsid w:val="003D4D56"/>
    <w:rsid w:val="003D6401"/>
    <w:rsid w:val="003E1672"/>
    <w:rsid w:val="003E1863"/>
    <w:rsid w:val="003E1A1F"/>
    <w:rsid w:val="003E1C41"/>
    <w:rsid w:val="003E2319"/>
    <w:rsid w:val="003E3F96"/>
    <w:rsid w:val="003E7CDB"/>
    <w:rsid w:val="003F113C"/>
    <w:rsid w:val="003F116B"/>
    <w:rsid w:val="003F236A"/>
    <w:rsid w:val="003F3E2E"/>
    <w:rsid w:val="003F462F"/>
    <w:rsid w:val="003F51B7"/>
    <w:rsid w:val="003F61D9"/>
    <w:rsid w:val="003F6DC5"/>
    <w:rsid w:val="003F6E9F"/>
    <w:rsid w:val="003F78B7"/>
    <w:rsid w:val="0040382A"/>
    <w:rsid w:val="0040447A"/>
    <w:rsid w:val="00405833"/>
    <w:rsid w:val="00405D8A"/>
    <w:rsid w:val="0041211E"/>
    <w:rsid w:val="004145CE"/>
    <w:rsid w:val="00414B6D"/>
    <w:rsid w:val="0041606D"/>
    <w:rsid w:val="00416962"/>
    <w:rsid w:val="004169D6"/>
    <w:rsid w:val="00417DEE"/>
    <w:rsid w:val="004204B3"/>
    <w:rsid w:val="004206A8"/>
    <w:rsid w:val="004209A7"/>
    <w:rsid w:val="0043078C"/>
    <w:rsid w:val="00431C78"/>
    <w:rsid w:val="00433D2F"/>
    <w:rsid w:val="004340F8"/>
    <w:rsid w:val="004348CC"/>
    <w:rsid w:val="00437E97"/>
    <w:rsid w:val="00440190"/>
    <w:rsid w:val="004421D2"/>
    <w:rsid w:val="0044235B"/>
    <w:rsid w:val="004425F0"/>
    <w:rsid w:val="00444025"/>
    <w:rsid w:val="00450C58"/>
    <w:rsid w:val="00451089"/>
    <w:rsid w:val="0045175B"/>
    <w:rsid w:val="0045751A"/>
    <w:rsid w:val="0046176D"/>
    <w:rsid w:val="00462155"/>
    <w:rsid w:val="00462E8A"/>
    <w:rsid w:val="004658FF"/>
    <w:rsid w:val="00465B8F"/>
    <w:rsid w:val="00474ED7"/>
    <w:rsid w:val="00474FF0"/>
    <w:rsid w:val="004756E1"/>
    <w:rsid w:val="00475ED2"/>
    <w:rsid w:val="00476197"/>
    <w:rsid w:val="00477E55"/>
    <w:rsid w:val="0048008A"/>
    <w:rsid w:val="00480B41"/>
    <w:rsid w:val="00483E94"/>
    <w:rsid w:val="00484120"/>
    <w:rsid w:val="004853A0"/>
    <w:rsid w:val="0049323E"/>
    <w:rsid w:val="00493870"/>
    <w:rsid w:val="00495040"/>
    <w:rsid w:val="00496B5F"/>
    <w:rsid w:val="00496D16"/>
    <w:rsid w:val="004977CD"/>
    <w:rsid w:val="004A07E8"/>
    <w:rsid w:val="004A2E10"/>
    <w:rsid w:val="004A3BD5"/>
    <w:rsid w:val="004A3DF8"/>
    <w:rsid w:val="004A4119"/>
    <w:rsid w:val="004A7196"/>
    <w:rsid w:val="004B17FF"/>
    <w:rsid w:val="004B1BA0"/>
    <w:rsid w:val="004B1C7E"/>
    <w:rsid w:val="004B200D"/>
    <w:rsid w:val="004B2A7E"/>
    <w:rsid w:val="004B4EF8"/>
    <w:rsid w:val="004B6CEE"/>
    <w:rsid w:val="004C03A9"/>
    <w:rsid w:val="004C07FB"/>
    <w:rsid w:val="004C14A7"/>
    <w:rsid w:val="004C2443"/>
    <w:rsid w:val="004C25D2"/>
    <w:rsid w:val="004C498F"/>
    <w:rsid w:val="004C5272"/>
    <w:rsid w:val="004C5D29"/>
    <w:rsid w:val="004C5DD3"/>
    <w:rsid w:val="004C604B"/>
    <w:rsid w:val="004C681A"/>
    <w:rsid w:val="004D17D8"/>
    <w:rsid w:val="004D2100"/>
    <w:rsid w:val="004D403E"/>
    <w:rsid w:val="004D44AA"/>
    <w:rsid w:val="004D4A60"/>
    <w:rsid w:val="004D4D8A"/>
    <w:rsid w:val="004D5E07"/>
    <w:rsid w:val="004D7297"/>
    <w:rsid w:val="004E68B9"/>
    <w:rsid w:val="004E6D45"/>
    <w:rsid w:val="004F1AD0"/>
    <w:rsid w:val="004F508E"/>
    <w:rsid w:val="004F5703"/>
    <w:rsid w:val="004F5E7A"/>
    <w:rsid w:val="004F68EE"/>
    <w:rsid w:val="0050045A"/>
    <w:rsid w:val="005038D5"/>
    <w:rsid w:val="00503F52"/>
    <w:rsid w:val="0050411D"/>
    <w:rsid w:val="005048D7"/>
    <w:rsid w:val="00506244"/>
    <w:rsid w:val="00510D33"/>
    <w:rsid w:val="00511BA4"/>
    <w:rsid w:val="005124C5"/>
    <w:rsid w:val="00513B70"/>
    <w:rsid w:val="0051485B"/>
    <w:rsid w:val="005149E7"/>
    <w:rsid w:val="00514AB6"/>
    <w:rsid w:val="005155BE"/>
    <w:rsid w:val="00516CB8"/>
    <w:rsid w:val="00521E03"/>
    <w:rsid w:val="00522E00"/>
    <w:rsid w:val="005232D6"/>
    <w:rsid w:val="00526771"/>
    <w:rsid w:val="005270F4"/>
    <w:rsid w:val="00527549"/>
    <w:rsid w:val="005333CC"/>
    <w:rsid w:val="005360F6"/>
    <w:rsid w:val="005363F1"/>
    <w:rsid w:val="00537C1B"/>
    <w:rsid w:val="005408A2"/>
    <w:rsid w:val="00543073"/>
    <w:rsid w:val="0055007C"/>
    <w:rsid w:val="00554922"/>
    <w:rsid w:val="00554D76"/>
    <w:rsid w:val="00555282"/>
    <w:rsid w:val="005560E7"/>
    <w:rsid w:val="00556411"/>
    <w:rsid w:val="005612CC"/>
    <w:rsid w:val="00563029"/>
    <w:rsid w:val="00565946"/>
    <w:rsid w:val="005669A3"/>
    <w:rsid w:val="00567D12"/>
    <w:rsid w:val="0057332B"/>
    <w:rsid w:val="005751DD"/>
    <w:rsid w:val="00576062"/>
    <w:rsid w:val="005763C4"/>
    <w:rsid w:val="005823E5"/>
    <w:rsid w:val="00584825"/>
    <w:rsid w:val="00590E78"/>
    <w:rsid w:val="00591EC0"/>
    <w:rsid w:val="00594348"/>
    <w:rsid w:val="0059559F"/>
    <w:rsid w:val="00596E6C"/>
    <w:rsid w:val="00597F27"/>
    <w:rsid w:val="005A49FF"/>
    <w:rsid w:val="005A5510"/>
    <w:rsid w:val="005A75BF"/>
    <w:rsid w:val="005A7634"/>
    <w:rsid w:val="005B5D2B"/>
    <w:rsid w:val="005B667D"/>
    <w:rsid w:val="005B6F04"/>
    <w:rsid w:val="005B7557"/>
    <w:rsid w:val="005C0447"/>
    <w:rsid w:val="005C1DA9"/>
    <w:rsid w:val="005C26F6"/>
    <w:rsid w:val="005C3425"/>
    <w:rsid w:val="005C739F"/>
    <w:rsid w:val="005C73CA"/>
    <w:rsid w:val="005D18CA"/>
    <w:rsid w:val="005D1B9A"/>
    <w:rsid w:val="005D4768"/>
    <w:rsid w:val="005D79F3"/>
    <w:rsid w:val="005E0EEF"/>
    <w:rsid w:val="005E2CAB"/>
    <w:rsid w:val="005E429E"/>
    <w:rsid w:val="005E5B4F"/>
    <w:rsid w:val="005F1278"/>
    <w:rsid w:val="005F1946"/>
    <w:rsid w:val="005F27F1"/>
    <w:rsid w:val="005F64DC"/>
    <w:rsid w:val="005F6802"/>
    <w:rsid w:val="005F7563"/>
    <w:rsid w:val="00600B65"/>
    <w:rsid w:val="00601ED4"/>
    <w:rsid w:val="006030BC"/>
    <w:rsid w:val="00604DFF"/>
    <w:rsid w:val="00605347"/>
    <w:rsid w:val="0061194B"/>
    <w:rsid w:val="00611A2C"/>
    <w:rsid w:val="00612866"/>
    <w:rsid w:val="00614F90"/>
    <w:rsid w:val="006151F4"/>
    <w:rsid w:val="0061589C"/>
    <w:rsid w:val="00616EB5"/>
    <w:rsid w:val="00621140"/>
    <w:rsid w:val="00621D5A"/>
    <w:rsid w:val="00622C13"/>
    <w:rsid w:val="00624AFB"/>
    <w:rsid w:val="0062606A"/>
    <w:rsid w:val="006269D4"/>
    <w:rsid w:val="00626FEB"/>
    <w:rsid w:val="006275CB"/>
    <w:rsid w:val="00627609"/>
    <w:rsid w:val="0063031B"/>
    <w:rsid w:val="006327D8"/>
    <w:rsid w:val="00634355"/>
    <w:rsid w:val="0064070A"/>
    <w:rsid w:val="0064101C"/>
    <w:rsid w:val="006420FA"/>
    <w:rsid w:val="00643458"/>
    <w:rsid w:val="00643A01"/>
    <w:rsid w:val="006445C1"/>
    <w:rsid w:val="00644E99"/>
    <w:rsid w:val="006461BA"/>
    <w:rsid w:val="00651072"/>
    <w:rsid w:val="00651D44"/>
    <w:rsid w:val="00653C95"/>
    <w:rsid w:val="006574D2"/>
    <w:rsid w:val="00661037"/>
    <w:rsid w:val="00661987"/>
    <w:rsid w:val="0066302C"/>
    <w:rsid w:val="00663563"/>
    <w:rsid w:val="00664327"/>
    <w:rsid w:val="006676D4"/>
    <w:rsid w:val="0067223A"/>
    <w:rsid w:val="006740F2"/>
    <w:rsid w:val="00675535"/>
    <w:rsid w:val="00681359"/>
    <w:rsid w:val="00683970"/>
    <w:rsid w:val="0068468A"/>
    <w:rsid w:val="00685296"/>
    <w:rsid w:val="00686E66"/>
    <w:rsid w:val="00687530"/>
    <w:rsid w:val="00690B00"/>
    <w:rsid w:val="0069157C"/>
    <w:rsid w:val="006927B6"/>
    <w:rsid w:val="00696262"/>
    <w:rsid w:val="00697866"/>
    <w:rsid w:val="006A3FD3"/>
    <w:rsid w:val="006B101F"/>
    <w:rsid w:val="006B3995"/>
    <w:rsid w:val="006B3F1E"/>
    <w:rsid w:val="006B57DE"/>
    <w:rsid w:val="006B7DCF"/>
    <w:rsid w:val="006C136F"/>
    <w:rsid w:val="006C2F7F"/>
    <w:rsid w:val="006C3A4F"/>
    <w:rsid w:val="006C4148"/>
    <w:rsid w:val="006C4845"/>
    <w:rsid w:val="006C5B6C"/>
    <w:rsid w:val="006C7329"/>
    <w:rsid w:val="006D3CD5"/>
    <w:rsid w:val="006D5412"/>
    <w:rsid w:val="006D6BC1"/>
    <w:rsid w:val="006E2BFC"/>
    <w:rsid w:val="006E443C"/>
    <w:rsid w:val="006E54F3"/>
    <w:rsid w:val="006E5788"/>
    <w:rsid w:val="006E5C57"/>
    <w:rsid w:val="006E7607"/>
    <w:rsid w:val="006F0113"/>
    <w:rsid w:val="006F150B"/>
    <w:rsid w:val="006F22A5"/>
    <w:rsid w:val="006F497E"/>
    <w:rsid w:val="006F65B4"/>
    <w:rsid w:val="00701D38"/>
    <w:rsid w:val="00702C73"/>
    <w:rsid w:val="00713394"/>
    <w:rsid w:val="00713721"/>
    <w:rsid w:val="00714578"/>
    <w:rsid w:val="00715097"/>
    <w:rsid w:val="00716DDD"/>
    <w:rsid w:val="007177EA"/>
    <w:rsid w:val="00721159"/>
    <w:rsid w:val="00724677"/>
    <w:rsid w:val="00725AC2"/>
    <w:rsid w:val="007308B6"/>
    <w:rsid w:val="00732880"/>
    <w:rsid w:val="00732C53"/>
    <w:rsid w:val="00735766"/>
    <w:rsid w:val="007374EE"/>
    <w:rsid w:val="0073776E"/>
    <w:rsid w:val="0074035A"/>
    <w:rsid w:val="00740EFD"/>
    <w:rsid w:val="007416B9"/>
    <w:rsid w:val="007422FD"/>
    <w:rsid w:val="00743E46"/>
    <w:rsid w:val="00747C45"/>
    <w:rsid w:val="00747E34"/>
    <w:rsid w:val="0075085A"/>
    <w:rsid w:val="00753617"/>
    <w:rsid w:val="00756FDB"/>
    <w:rsid w:val="00762276"/>
    <w:rsid w:val="007629B6"/>
    <w:rsid w:val="00764420"/>
    <w:rsid w:val="00764A69"/>
    <w:rsid w:val="00764F63"/>
    <w:rsid w:val="007665BF"/>
    <w:rsid w:val="00767C96"/>
    <w:rsid w:val="00767D6A"/>
    <w:rsid w:val="00767E15"/>
    <w:rsid w:val="007716FA"/>
    <w:rsid w:val="00771B2A"/>
    <w:rsid w:val="00772DFA"/>
    <w:rsid w:val="007741BA"/>
    <w:rsid w:val="007757CE"/>
    <w:rsid w:val="00775800"/>
    <w:rsid w:val="00775B69"/>
    <w:rsid w:val="00776D51"/>
    <w:rsid w:val="00780DCE"/>
    <w:rsid w:val="00781A77"/>
    <w:rsid w:val="0078385B"/>
    <w:rsid w:val="00784F3B"/>
    <w:rsid w:val="0078648B"/>
    <w:rsid w:val="00787CA4"/>
    <w:rsid w:val="0079180E"/>
    <w:rsid w:val="00791DA3"/>
    <w:rsid w:val="007950CC"/>
    <w:rsid w:val="0079538B"/>
    <w:rsid w:val="007961B8"/>
    <w:rsid w:val="00797624"/>
    <w:rsid w:val="00797C96"/>
    <w:rsid w:val="007A1DAA"/>
    <w:rsid w:val="007A4828"/>
    <w:rsid w:val="007A5E9D"/>
    <w:rsid w:val="007A64FF"/>
    <w:rsid w:val="007A77EB"/>
    <w:rsid w:val="007B093D"/>
    <w:rsid w:val="007B0DDB"/>
    <w:rsid w:val="007B2069"/>
    <w:rsid w:val="007C04A1"/>
    <w:rsid w:val="007C0FC0"/>
    <w:rsid w:val="007C1039"/>
    <w:rsid w:val="007C1BEA"/>
    <w:rsid w:val="007C21FA"/>
    <w:rsid w:val="007C46DF"/>
    <w:rsid w:val="007C570D"/>
    <w:rsid w:val="007C75DB"/>
    <w:rsid w:val="007D0DFD"/>
    <w:rsid w:val="007D13B1"/>
    <w:rsid w:val="007D4351"/>
    <w:rsid w:val="007D4F1E"/>
    <w:rsid w:val="007D555E"/>
    <w:rsid w:val="007D6FA5"/>
    <w:rsid w:val="007D7019"/>
    <w:rsid w:val="007E11FF"/>
    <w:rsid w:val="007E18DB"/>
    <w:rsid w:val="007E1A97"/>
    <w:rsid w:val="007E2C30"/>
    <w:rsid w:val="007E2E22"/>
    <w:rsid w:val="007E4EB6"/>
    <w:rsid w:val="007E6E07"/>
    <w:rsid w:val="007E6F1C"/>
    <w:rsid w:val="007F1C75"/>
    <w:rsid w:val="007F24B5"/>
    <w:rsid w:val="007F310D"/>
    <w:rsid w:val="007F3FD6"/>
    <w:rsid w:val="007F6FBD"/>
    <w:rsid w:val="0080021F"/>
    <w:rsid w:val="00804C69"/>
    <w:rsid w:val="0080711D"/>
    <w:rsid w:val="008072E5"/>
    <w:rsid w:val="00807EAA"/>
    <w:rsid w:val="008118C9"/>
    <w:rsid w:val="00811AED"/>
    <w:rsid w:val="00813164"/>
    <w:rsid w:val="0081359F"/>
    <w:rsid w:val="008155CD"/>
    <w:rsid w:val="008167E4"/>
    <w:rsid w:val="00817BCF"/>
    <w:rsid w:val="008201C6"/>
    <w:rsid w:val="00820A91"/>
    <w:rsid w:val="00820ADD"/>
    <w:rsid w:val="0082295E"/>
    <w:rsid w:val="0082665E"/>
    <w:rsid w:val="008272BC"/>
    <w:rsid w:val="00827CFB"/>
    <w:rsid w:val="00827FAA"/>
    <w:rsid w:val="0083035F"/>
    <w:rsid w:val="00831910"/>
    <w:rsid w:val="00832009"/>
    <w:rsid w:val="00832E61"/>
    <w:rsid w:val="00833325"/>
    <w:rsid w:val="008405DA"/>
    <w:rsid w:val="00840A41"/>
    <w:rsid w:val="0084234A"/>
    <w:rsid w:val="00842F3C"/>
    <w:rsid w:val="008441C0"/>
    <w:rsid w:val="008505D1"/>
    <w:rsid w:val="008514A5"/>
    <w:rsid w:val="00852091"/>
    <w:rsid w:val="00852846"/>
    <w:rsid w:val="00855158"/>
    <w:rsid w:val="00855616"/>
    <w:rsid w:val="0085621A"/>
    <w:rsid w:val="00857EE8"/>
    <w:rsid w:val="0086188E"/>
    <w:rsid w:val="00861E09"/>
    <w:rsid w:val="0086218C"/>
    <w:rsid w:val="00862F92"/>
    <w:rsid w:val="0086403E"/>
    <w:rsid w:val="0086464B"/>
    <w:rsid w:val="0086479C"/>
    <w:rsid w:val="008647FC"/>
    <w:rsid w:val="00864CA8"/>
    <w:rsid w:val="00865E2D"/>
    <w:rsid w:val="0086602C"/>
    <w:rsid w:val="00866C2D"/>
    <w:rsid w:val="00866FEC"/>
    <w:rsid w:val="00867CB9"/>
    <w:rsid w:val="00870E6C"/>
    <w:rsid w:val="00875489"/>
    <w:rsid w:val="00875846"/>
    <w:rsid w:val="0088038B"/>
    <w:rsid w:val="00884486"/>
    <w:rsid w:val="00884753"/>
    <w:rsid w:val="00886585"/>
    <w:rsid w:val="008871A9"/>
    <w:rsid w:val="00887921"/>
    <w:rsid w:val="008902BF"/>
    <w:rsid w:val="008915E7"/>
    <w:rsid w:val="008916BA"/>
    <w:rsid w:val="00891B10"/>
    <w:rsid w:val="00892176"/>
    <w:rsid w:val="00892C2F"/>
    <w:rsid w:val="00893727"/>
    <w:rsid w:val="0089393B"/>
    <w:rsid w:val="00893A6D"/>
    <w:rsid w:val="008973E6"/>
    <w:rsid w:val="008A09A0"/>
    <w:rsid w:val="008A1DB7"/>
    <w:rsid w:val="008A34AC"/>
    <w:rsid w:val="008A403A"/>
    <w:rsid w:val="008A47C1"/>
    <w:rsid w:val="008A4C13"/>
    <w:rsid w:val="008A4F0A"/>
    <w:rsid w:val="008A70AC"/>
    <w:rsid w:val="008B1505"/>
    <w:rsid w:val="008B1904"/>
    <w:rsid w:val="008B604D"/>
    <w:rsid w:val="008C174A"/>
    <w:rsid w:val="008C289B"/>
    <w:rsid w:val="008C47C4"/>
    <w:rsid w:val="008C48E4"/>
    <w:rsid w:val="008C4AB7"/>
    <w:rsid w:val="008C54A9"/>
    <w:rsid w:val="008C56C8"/>
    <w:rsid w:val="008D03BA"/>
    <w:rsid w:val="008D33E2"/>
    <w:rsid w:val="008D3FD2"/>
    <w:rsid w:val="008E14E3"/>
    <w:rsid w:val="008E1F57"/>
    <w:rsid w:val="008E2AEA"/>
    <w:rsid w:val="008E48D2"/>
    <w:rsid w:val="008E67C3"/>
    <w:rsid w:val="008F2760"/>
    <w:rsid w:val="008F2A48"/>
    <w:rsid w:val="008F3FE8"/>
    <w:rsid w:val="008F44E6"/>
    <w:rsid w:val="008F589F"/>
    <w:rsid w:val="008F5A07"/>
    <w:rsid w:val="008F7295"/>
    <w:rsid w:val="008F76A9"/>
    <w:rsid w:val="008F7E67"/>
    <w:rsid w:val="00900DBF"/>
    <w:rsid w:val="00901D11"/>
    <w:rsid w:val="009048B9"/>
    <w:rsid w:val="00904DB4"/>
    <w:rsid w:val="00904E91"/>
    <w:rsid w:val="009148CA"/>
    <w:rsid w:val="00915886"/>
    <w:rsid w:val="0092134A"/>
    <w:rsid w:val="009214DC"/>
    <w:rsid w:val="00927027"/>
    <w:rsid w:val="00930280"/>
    <w:rsid w:val="00932A43"/>
    <w:rsid w:val="009344BA"/>
    <w:rsid w:val="00935F12"/>
    <w:rsid w:val="00941DB0"/>
    <w:rsid w:val="009436B1"/>
    <w:rsid w:val="00943765"/>
    <w:rsid w:val="00943FF4"/>
    <w:rsid w:val="0094400B"/>
    <w:rsid w:val="00944E08"/>
    <w:rsid w:val="009453C1"/>
    <w:rsid w:val="009466AC"/>
    <w:rsid w:val="00946E61"/>
    <w:rsid w:val="00947A15"/>
    <w:rsid w:val="00947F78"/>
    <w:rsid w:val="00953234"/>
    <w:rsid w:val="00954E03"/>
    <w:rsid w:val="00961E65"/>
    <w:rsid w:val="00961EAF"/>
    <w:rsid w:val="0096278F"/>
    <w:rsid w:val="00966116"/>
    <w:rsid w:val="0096725C"/>
    <w:rsid w:val="00970674"/>
    <w:rsid w:val="00972487"/>
    <w:rsid w:val="009726E1"/>
    <w:rsid w:val="00972A04"/>
    <w:rsid w:val="009736B1"/>
    <w:rsid w:val="009757EA"/>
    <w:rsid w:val="00977591"/>
    <w:rsid w:val="00980E75"/>
    <w:rsid w:val="009810C3"/>
    <w:rsid w:val="00982B75"/>
    <w:rsid w:val="009850CD"/>
    <w:rsid w:val="0098514D"/>
    <w:rsid w:val="00985CAF"/>
    <w:rsid w:val="009866A5"/>
    <w:rsid w:val="00991132"/>
    <w:rsid w:val="00991523"/>
    <w:rsid w:val="00994A78"/>
    <w:rsid w:val="00994BE0"/>
    <w:rsid w:val="00997CDD"/>
    <w:rsid w:val="009A0197"/>
    <w:rsid w:val="009A0C4B"/>
    <w:rsid w:val="009A11A5"/>
    <w:rsid w:val="009A25B1"/>
    <w:rsid w:val="009A4451"/>
    <w:rsid w:val="009A4608"/>
    <w:rsid w:val="009A6A57"/>
    <w:rsid w:val="009A70BF"/>
    <w:rsid w:val="009B0CA2"/>
    <w:rsid w:val="009B1A15"/>
    <w:rsid w:val="009B6185"/>
    <w:rsid w:val="009B7775"/>
    <w:rsid w:val="009C0852"/>
    <w:rsid w:val="009C13CA"/>
    <w:rsid w:val="009C2192"/>
    <w:rsid w:val="009C32C6"/>
    <w:rsid w:val="009C3BA3"/>
    <w:rsid w:val="009C3ECE"/>
    <w:rsid w:val="009C665F"/>
    <w:rsid w:val="009C7513"/>
    <w:rsid w:val="009D1F33"/>
    <w:rsid w:val="009D299F"/>
    <w:rsid w:val="009D2E8B"/>
    <w:rsid w:val="009D3882"/>
    <w:rsid w:val="009D7E38"/>
    <w:rsid w:val="009E095B"/>
    <w:rsid w:val="009E1846"/>
    <w:rsid w:val="009E43C0"/>
    <w:rsid w:val="009E6385"/>
    <w:rsid w:val="009E7673"/>
    <w:rsid w:val="009E78FF"/>
    <w:rsid w:val="009F57A4"/>
    <w:rsid w:val="00A01494"/>
    <w:rsid w:val="00A02BF9"/>
    <w:rsid w:val="00A07D1C"/>
    <w:rsid w:val="00A07F23"/>
    <w:rsid w:val="00A11D1C"/>
    <w:rsid w:val="00A11EFA"/>
    <w:rsid w:val="00A134EE"/>
    <w:rsid w:val="00A159FC"/>
    <w:rsid w:val="00A15B41"/>
    <w:rsid w:val="00A22FA9"/>
    <w:rsid w:val="00A25024"/>
    <w:rsid w:val="00A250E9"/>
    <w:rsid w:val="00A27617"/>
    <w:rsid w:val="00A316EA"/>
    <w:rsid w:val="00A3375D"/>
    <w:rsid w:val="00A345D4"/>
    <w:rsid w:val="00A34BB5"/>
    <w:rsid w:val="00A34E0F"/>
    <w:rsid w:val="00A35F8F"/>
    <w:rsid w:val="00A368B6"/>
    <w:rsid w:val="00A36BE7"/>
    <w:rsid w:val="00A408D6"/>
    <w:rsid w:val="00A41377"/>
    <w:rsid w:val="00A41F00"/>
    <w:rsid w:val="00A4263D"/>
    <w:rsid w:val="00A42793"/>
    <w:rsid w:val="00A430EE"/>
    <w:rsid w:val="00A45209"/>
    <w:rsid w:val="00A46639"/>
    <w:rsid w:val="00A509B8"/>
    <w:rsid w:val="00A527AE"/>
    <w:rsid w:val="00A52AB9"/>
    <w:rsid w:val="00A5703A"/>
    <w:rsid w:val="00A6077F"/>
    <w:rsid w:val="00A61369"/>
    <w:rsid w:val="00A6210B"/>
    <w:rsid w:val="00A626AE"/>
    <w:rsid w:val="00A64EBF"/>
    <w:rsid w:val="00A652CC"/>
    <w:rsid w:val="00A703A0"/>
    <w:rsid w:val="00A70FB4"/>
    <w:rsid w:val="00A71200"/>
    <w:rsid w:val="00A71BFD"/>
    <w:rsid w:val="00A7323A"/>
    <w:rsid w:val="00A7552F"/>
    <w:rsid w:val="00A77237"/>
    <w:rsid w:val="00A80925"/>
    <w:rsid w:val="00A810C8"/>
    <w:rsid w:val="00A831B4"/>
    <w:rsid w:val="00A85D7C"/>
    <w:rsid w:val="00A90422"/>
    <w:rsid w:val="00A94629"/>
    <w:rsid w:val="00A94B50"/>
    <w:rsid w:val="00A97798"/>
    <w:rsid w:val="00A978FB"/>
    <w:rsid w:val="00A97A2E"/>
    <w:rsid w:val="00AA05B9"/>
    <w:rsid w:val="00AA36BF"/>
    <w:rsid w:val="00AA3D11"/>
    <w:rsid w:val="00AA4F7B"/>
    <w:rsid w:val="00AA5213"/>
    <w:rsid w:val="00AA60EA"/>
    <w:rsid w:val="00AA65A6"/>
    <w:rsid w:val="00AA7EB9"/>
    <w:rsid w:val="00AB0952"/>
    <w:rsid w:val="00AB0974"/>
    <w:rsid w:val="00AB0A6F"/>
    <w:rsid w:val="00AB15B4"/>
    <w:rsid w:val="00AB2C5A"/>
    <w:rsid w:val="00AB4FE4"/>
    <w:rsid w:val="00AC1D8E"/>
    <w:rsid w:val="00AC2B1A"/>
    <w:rsid w:val="00AC48FA"/>
    <w:rsid w:val="00AC6255"/>
    <w:rsid w:val="00AC75C2"/>
    <w:rsid w:val="00AD0240"/>
    <w:rsid w:val="00AD082E"/>
    <w:rsid w:val="00AD3877"/>
    <w:rsid w:val="00AD4137"/>
    <w:rsid w:val="00AD5A85"/>
    <w:rsid w:val="00AD7095"/>
    <w:rsid w:val="00AE18F6"/>
    <w:rsid w:val="00AE2BC8"/>
    <w:rsid w:val="00AF1B59"/>
    <w:rsid w:val="00AF2D68"/>
    <w:rsid w:val="00AF36CE"/>
    <w:rsid w:val="00AF3AB4"/>
    <w:rsid w:val="00AF65BB"/>
    <w:rsid w:val="00B01718"/>
    <w:rsid w:val="00B01794"/>
    <w:rsid w:val="00B0228D"/>
    <w:rsid w:val="00B0246A"/>
    <w:rsid w:val="00B0251B"/>
    <w:rsid w:val="00B037BA"/>
    <w:rsid w:val="00B069FF"/>
    <w:rsid w:val="00B10673"/>
    <w:rsid w:val="00B10ACD"/>
    <w:rsid w:val="00B10BE2"/>
    <w:rsid w:val="00B1570C"/>
    <w:rsid w:val="00B20139"/>
    <w:rsid w:val="00B218DA"/>
    <w:rsid w:val="00B22EF2"/>
    <w:rsid w:val="00B3045F"/>
    <w:rsid w:val="00B31932"/>
    <w:rsid w:val="00B342FA"/>
    <w:rsid w:val="00B41FF1"/>
    <w:rsid w:val="00B4260D"/>
    <w:rsid w:val="00B4566D"/>
    <w:rsid w:val="00B458FD"/>
    <w:rsid w:val="00B45EE6"/>
    <w:rsid w:val="00B53E8B"/>
    <w:rsid w:val="00B55425"/>
    <w:rsid w:val="00B6136B"/>
    <w:rsid w:val="00B61FDB"/>
    <w:rsid w:val="00B62989"/>
    <w:rsid w:val="00B64245"/>
    <w:rsid w:val="00B6472A"/>
    <w:rsid w:val="00B64CED"/>
    <w:rsid w:val="00B72CFF"/>
    <w:rsid w:val="00B74488"/>
    <w:rsid w:val="00B74F84"/>
    <w:rsid w:val="00B755B1"/>
    <w:rsid w:val="00B76322"/>
    <w:rsid w:val="00B771C3"/>
    <w:rsid w:val="00B774D2"/>
    <w:rsid w:val="00B77955"/>
    <w:rsid w:val="00B8015A"/>
    <w:rsid w:val="00B802BA"/>
    <w:rsid w:val="00B82A57"/>
    <w:rsid w:val="00B82B7E"/>
    <w:rsid w:val="00B830CA"/>
    <w:rsid w:val="00B85C59"/>
    <w:rsid w:val="00B86D3A"/>
    <w:rsid w:val="00B92E3A"/>
    <w:rsid w:val="00B939E2"/>
    <w:rsid w:val="00B93B4A"/>
    <w:rsid w:val="00B969B5"/>
    <w:rsid w:val="00B97F64"/>
    <w:rsid w:val="00BA053B"/>
    <w:rsid w:val="00BA16BB"/>
    <w:rsid w:val="00BA4B26"/>
    <w:rsid w:val="00BB0489"/>
    <w:rsid w:val="00BB1CF4"/>
    <w:rsid w:val="00BB35AE"/>
    <w:rsid w:val="00BB5807"/>
    <w:rsid w:val="00BB5F4D"/>
    <w:rsid w:val="00BB6237"/>
    <w:rsid w:val="00BC03A1"/>
    <w:rsid w:val="00BC0B1E"/>
    <w:rsid w:val="00BC0D25"/>
    <w:rsid w:val="00BC2A44"/>
    <w:rsid w:val="00BC3C99"/>
    <w:rsid w:val="00BC4D1B"/>
    <w:rsid w:val="00BD06E6"/>
    <w:rsid w:val="00BD0D83"/>
    <w:rsid w:val="00BD1CF6"/>
    <w:rsid w:val="00BD2505"/>
    <w:rsid w:val="00BD329E"/>
    <w:rsid w:val="00BD422A"/>
    <w:rsid w:val="00BD5ACD"/>
    <w:rsid w:val="00BD682D"/>
    <w:rsid w:val="00BE4F10"/>
    <w:rsid w:val="00BE592D"/>
    <w:rsid w:val="00BE5DB8"/>
    <w:rsid w:val="00BE62E5"/>
    <w:rsid w:val="00BE7459"/>
    <w:rsid w:val="00BF0EFC"/>
    <w:rsid w:val="00BF2F66"/>
    <w:rsid w:val="00BF3BFB"/>
    <w:rsid w:val="00BF52B0"/>
    <w:rsid w:val="00BF5697"/>
    <w:rsid w:val="00BF6DEE"/>
    <w:rsid w:val="00C00039"/>
    <w:rsid w:val="00C012D9"/>
    <w:rsid w:val="00C03D81"/>
    <w:rsid w:val="00C061E6"/>
    <w:rsid w:val="00C11669"/>
    <w:rsid w:val="00C13613"/>
    <w:rsid w:val="00C14CCC"/>
    <w:rsid w:val="00C15076"/>
    <w:rsid w:val="00C1695E"/>
    <w:rsid w:val="00C204F3"/>
    <w:rsid w:val="00C213B0"/>
    <w:rsid w:val="00C22A2C"/>
    <w:rsid w:val="00C22C1C"/>
    <w:rsid w:val="00C24E79"/>
    <w:rsid w:val="00C25745"/>
    <w:rsid w:val="00C30C39"/>
    <w:rsid w:val="00C33F2E"/>
    <w:rsid w:val="00C33FD2"/>
    <w:rsid w:val="00C34936"/>
    <w:rsid w:val="00C34A80"/>
    <w:rsid w:val="00C34C14"/>
    <w:rsid w:val="00C355B9"/>
    <w:rsid w:val="00C363A0"/>
    <w:rsid w:val="00C37014"/>
    <w:rsid w:val="00C37EF1"/>
    <w:rsid w:val="00C401C4"/>
    <w:rsid w:val="00C40B38"/>
    <w:rsid w:val="00C41680"/>
    <w:rsid w:val="00C41AA9"/>
    <w:rsid w:val="00C44F13"/>
    <w:rsid w:val="00C450B4"/>
    <w:rsid w:val="00C463F0"/>
    <w:rsid w:val="00C50B38"/>
    <w:rsid w:val="00C55C33"/>
    <w:rsid w:val="00C569F6"/>
    <w:rsid w:val="00C56D70"/>
    <w:rsid w:val="00C57DE6"/>
    <w:rsid w:val="00C60A25"/>
    <w:rsid w:val="00C60E63"/>
    <w:rsid w:val="00C632F7"/>
    <w:rsid w:val="00C6346E"/>
    <w:rsid w:val="00C645FC"/>
    <w:rsid w:val="00C65AEB"/>
    <w:rsid w:val="00C66D63"/>
    <w:rsid w:val="00C67E49"/>
    <w:rsid w:val="00C765C5"/>
    <w:rsid w:val="00C775CE"/>
    <w:rsid w:val="00C82479"/>
    <w:rsid w:val="00C84350"/>
    <w:rsid w:val="00C84D79"/>
    <w:rsid w:val="00C85D3C"/>
    <w:rsid w:val="00C867F0"/>
    <w:rsid w:val="00C86B8E"/>
    <w:rsid w:val="00C878A5"/>
    <w:rsid w:val="00C87E2A"/>
    <w:rsid w:val="00C93741"/>
    <w:rsid w:val="00C965EE"/>
    <w:rsid w:val="00C96C9F"/>
    <w:rsid w:val="00CA06D8"/>
    <w:rsid w:val="00CA295B"/>
    <w:rsid w:val="00CA345A"/>
    <w:rsid w:val="00CB0614"/>
    <w:rsid w:val="00CB09D8"/>
    <w:rsid w:val="00CB0A73"/>
    <w:rsid w:val="00CB3C23"/>
    <w:rsid w:val="00CB49FF"/>
    <w:rsid w:val="00CB5E68"/>
    <w:rsid w:val="00CC02CF"/>
    <w:rsid w:val="00CC086A"/>
    <w:rsid w:val="00CC25A6"/>
    <w:rsid w:val="00CC5D89"/>
    <w:rsid w:val="00CC767D"/>
    <w:rsid w:val="00CD0E24"/>
    <w:rsid w:val="00CD0F66"/>
    <w:rsid w:val="00CD1EDD"/>
    <w:rsid w:val="00CD364B"/>
    <w:rsid w:val="00CD5819"/>
    <w:rsid w:val="00CD65C2"/>
    <w:rsid w:val="00CE0D1E"/>
    <w:rsid w:val="00CE141A"/>
    <w:rsid w:val="00CE23B8"/>
    <w:rsid w:val="00CE284E"/>
    <w:rsid w:val="00CE3920"/>
    <w:rsid w:val="00CE50D7"/>
    <w:rsid w:val="00CE7814"/>
    <w:rsid w:val="00CE7B71"/>
    <w:rsid w:val="00CF2909"/>
    <w:rsid w:val="00CF2C44"/>
    <w:rsid w:val="00CF4CBE"/>
    <w:rsid w:val="00CF62E6"/>
    <w:rsid w:val="00CF7C98"/>
    <w:rsid w:val="00D00344"/>
    <w:rsid w:val="00D04746"/>
    <w:rsid w:val="00D116A5"/>
    <w:rsid w:val="00D12043"/>
    <w:rsid w:val="00D1754D"/>
    <w:rsid w:val="00D21A67"/>
    <w:rsid w:val="00D2223F"/>
    <w:rsid w:val="00D22628"/>
    <w:rsid w:val="00D2318C"/>
    <w:rsid w:val="00D23F8B"/>
    <w:rsid w:val="00D251DB"/>
    <w:rsid w:val="00D25624"/>
    <w:rsid w:val="00D274A4"/>
    <w:rsid w:val="00D277AF"/>
    <w:rsid w:val="00D30130"/>
    <w:rsid w:val="00D31163"/>
    <w:rsid w:val="00D31766"/>
    <w:rsid w:val="00D320B1"/>
    <w:rsid w:val="00D3357D"/>
    <w:rsid w:val="00D33AFD"/>
    <w:rsid w:val="00D36489"/>
    <w:rsid w:val="00D369E9"/>
    <w:rsid w:val="00D37C21"/>
    <w:rsid w:val="00D407C0"/>
    <w:rsid w:val="00D42195"/>
    <w:rsid w:val="00D425AD"/>
    <w:rsid w:val="00D4488C"/>
    <w:rsid w:val="00D50704"/>
    <w:rsid w:val="00D5116A"/>
    <w:rsid w:val="00D541EE"/>
    <w:rsid w:val="00D5760A"/>
    <w:rsid w:val="00D61410"/>
    <w:rsid w:val="00D63AE9"/>
    <w:rsid w:val="00D67CD5"/>
    <w:rsid w:val="00D70126"/>
    <w:rsid w:val="00D716EF"/>
    <w:rsid w:val="00D74936"/>
    <w:rsid w:val="00D76076"/>
    <w:rsid w:val="00D8181D"/>
    <w:rsid w:val="00D841B3"/>
    <w:rsid w:val="00D86627"/>
    <w:rsid w:val="00D86E7B"/>
    <w:rsid w:val="00D90A81"/>
    <w:rsid w:val="00D92DEF"/>
    <w:rsid w:val="00D96579"/>
    <w:rsid w:val="00D968D8"/>
    <w:rsid w:val="00D96BF2"/>
    <w:rsid w:val="00DA0358"/>
    <w:rsid w:val="00DA2AE0"/>
    <w:rsid w:val="00DA2EAA"/>
    <w:rsid w:val="00DA563D"/>
    <w:rsid w:val="00DA56B0"/>
    <w:rsid w:val="00DA7277"/>
    <w:rsid w:val="00DB3627"/>
    <w:rsid w:val="00DB4724"/>
    <w:rsid w:val="00DB4F7C"/>
    <w:rsid w:val="00DB6944"/>
    <w:rsid w:val="00DC201F"/>
    <w:rsid w:val="00DC4746"/>
    <w:rsid w:val="00DC48C1"/>
    <w:rsid w:val="00DD0554"/>
    <w:rsid w:val="00DD459B"/>
    <w:rsid w:val="00DD65AD"/>
    <w:rsid w:val="00DD707B"/>
    <w:rsid w:val="00DE0982"/>
    <w:rsid w:val="00DE1331"/>
    <w:rsid w:val="00DE193D"/>
    <w:rsid w:val="00DE1E05"/>
    <w:rsid w:val="00DE7149"/>
    <w:rsid w:val="00DE7B25"/>
    <w:rsid w:val="00DF18E2"/>
    <w:rsid w:val="00DF503C"/>
    <w:rsid w:val="00E0165F"/>
    <w:rsid w:val="00E028DF"/>
    <w:rsid w:val="00E0314C"/>
    <w:rsid w:val="00E04DF8"/>
    <w:rsid w:val="00E060A3"/>
    <w:rsid w:val="00E06F87"/>
    <w:rsid w:val="00E07F36"/>
    <w:rsid w:val="00E1035A"/>
    <w:rsid w:val="00E122BE"/>
    <w:rsid w:val="00E1508F"/>
    <w:rsid w:val="00E1567D"/>
    <w:rsid w:val="00E171CF"/>
    <w:rsid w:val="00E17A71"/>
    <w:rsid w:val="00E22A34"/>
    <w:rsid w:val="00E23A2F"/>
    <w:rsid w:val="00E24A1B"/>
    <w:rsid w:val="00E261DF"/>
    <w:rsid w:val="00E2658D"/>
    <w:rsid w:val="00E27240"/>
    <w:rsid w:val="00E27EDD"/>
    <w:rsid w:val="00E30584"/>
    <w:rsid w:val="00E310B9"/>
    <w:rsid w:val="00E31804"/>
    <w:rsid w:val="00E31A28"/>
    <w:rsid w:val="00E33644"/>
    <w:rsid w:val="00E35D89"/>
    <w:rsid w:val="00E37E1B"/>
    <w:rsid w:val="00E40B89"/>
    <w:rsid w:val="00E40F26"/>
    <w:rsid w:val="00E42960"/>
    <w:rsid w:val="00E46A3F"/>
    <w:rsid w:val="00E51A82"/>
    <w:rsid w:val="00E529CA"/>
    <w:rsid w:val="00E533A7"/>
    <w:rsid w:val="00E54E2A"/>
    <w:rsid w:val="00E562C0"/>
    <w:rsid w:val="00E57C81"/>
    <w:rsid w:val="00E57FAF"/>
    <w:rsid w:val="00E62D1A"/>
    <w:rsid w:val="00E6339B"/>
    <w:rsid w:val="00E65424"/>
    <w:rsid w:val="00E672D6"/>
    <w:rsid w:val="00E672E6"/>
    <w:rsid w:val="00E73086"/>
    <w:rsid w:val="00E7346C"/>
    <w:rsid w:val="00E73654"/>
    <w:rsid w:val="00E76024"/>
    <w:rsid w:val="00E761F4"/>
    <w:rsid w:val="00E81815"/>
    <w:rsid w:val="00E821BD"/>
    <w:rsid w:val="00E842D7"/>
    <w:rsid w:val="00E84582"/>
    <w:rsid w:val="00E84D07"/>
    <w:rsid w:val="00E856A2"/>
    <w:rsid w:val="00E90E73"/>
    <w:rsid w:val="00E91869"/>
    <w:rsid w:val="00E92480"/>
    <w:rsid w:val="00E929C4"/>
    <w:rsid w:val="00E967AD"/>
    <w:rsid w:val="00E96884"/>
    <w:rsid w:val="00E96B78"/>
    <w:rsid w:val="00EA1311"/>
    <w:rsid w:val="00EA2D66"/>
    <w:rsid w:val="00EA3824"/>
    <w:rsid w:val="00EA5435"/>
    <w:rsid w:val="00EA5F47"/>
    <w:rsid w:val="00EA68F9"/>
    <w:rsid w:val="00EB3BA0"/>
    <w:rsid w:val="00EB455E"/>
    <w:rsid w:val="00EB47FB"/>
    <w:rsid w:val="00EB7292"/>
    <w:rsid w:val="00EB7497"/>
    <w:rsid w:val="00EC400E"/>
    <w:rsid w:val="00EC4E2A"/>
    <w:rsid w:val="00EC79DE"/>
    <w:rsid w:val="00ED18F4"/>
    <w:rsid w:val="00ED2219"/>
    <w:rsid w:val="00ED4A16"/>
    <w:rsid w:val="00ED4ACE"/>
    <w:rsid w:val="00EE08FB"/>
    <w:rsid w:val="00EE2C33"/>
    <w:rsid w:val="00EE3067"/>
    <w:rsid w:val="00EE4350"/>
    <w:rsid w:val="00EE4D35"/>
    <w:rsid w:val="00EE6A0A"/>
    <w:rsid w:val="00EF0A04"/>
    <w:rsid w:val="00EF2507"/>
    <w:rsid w:val="00EF2DA7"/>
    <w:rsid w:val="00EF5D4B"/>
    <w:rsid w:val="00EF6941"/>
    <w:rsid w:val="00F002AF"/>
    <w:rsid w:val="00F004DE"/>
    <w:rsid w:val="00F02A9E"/>
    <w:rsid w:val="00F03A4C"/>
    <w:rsid w:val="00F03C06"/>
    <w:rsid w:val="00F0473D"/>
    <w:rsid w:val="00F070C1"/>
    <w:rsid w:val="00F12D24"/>
    <w:rsid w:val="00F13571"/>
    <w:rsid w:val="00F1412B"/>
    <w:rsid w:val="00F14874"/>
    <w:rsid w:val="00F151FC"/>
    <w:rsid w:val="00F1566E"/>
    <w:rsid w:val="00F15BFA"/>
    <w:rsid w:val="00F17883"/>
    <w:rsid w:val="00F269FB"/>
    <w:rsid w:val="00F30348"/>
    <w:rsid w:val="00F30621"/>
    <w:rsid w:val="00F33F54"/>
    <w:rsid w:val="00F34FAB"/>
    <w:rsid w:val="00F35146"/>
    <w:rsid w:val="00F36F3F"/>
    <w:rsid w:val="00F37722"/>
    <w:rsid w:val="00F40C54"/>
    <w:rsid w:val="00F4224C"/>
    <w:rsid w:val="00F42738"/>
    <w:rsid w:val="00F43137"/>
    <w:rsid w:val="00F435AA"/>
    <w:rsid w:val="00F5016F"/>
    <w:rsid w:val="00F52390"/>
    <w:rsid w:val="00F54B68"/>
    <w:rsid w:val="00F54F6A"/>
    <w:rsid w:val="00F54F7C"/>
    <w:rsid w:val="00F5738A"/>
    <w:rsid w:val="00F60D6F"/>
    <w:rsid w:val="00F60EA6"/>
    <w:rsid w:val="00F612D4"/>
    <w:rsid w:val="00F646B9"/>
    <w:rsid w:val="00F66763"/>
    <w:rsid w:val="00F66A68"/>
    <w:rsid w:val="00F677F7"/>
    <w:rsid w:val="00F70BB3"/>
    <w:rsid w:val="00F71146"/>
    <w:rsid w:val="00F7389E"/>
    <w:rsid w:val="00F77ACC"/>
    <w:rsid w:val="00F77B3E"/>
    <w:rsid w:val="00F77C6D"/>
    <w:rsid w:val="00F77DED"/>
    <w:rsid w:val="00F77F1D"/>
    <w:rsid w:val="00F819D5"/>
    <w:rsid w:val="00F87616"/>
    <w:rsid w:val="00F87CCB"/>
    <w:rsid w:val="00F90CBE"/>
    <w:rsid w:val="00F910A0"/>
    <w:rsid w:val="00FA02E7"/>
    <w:rsid w:val="00FA2447"/>
    <w:rsid w:val="00FA48C7"/>
    <w:rsid w:val="00FA54C7"/>
    <w:rsid w:val="00FA583E"/>
    <w:rsid w:val="00FA71F4"/>
    <w:rsid w:val="00FB26B7"/>
    <w:rsid w:val="00FB51FB"/>
    <w:rsid w:val="00FB606B"/>
    <w:rsid w:val="00FB73C1"/>
    <w:rsid w:val="00FC1567"/>
    <w:rsid w:val="00FC376E"/>
    <w:rsid w:val="00FC4034"/>
    <w:rsid w:val="00FC5FE7"/>
    <w:rsid w:val="00FC6006"/>
    <w:rsid w:val="00FD0B69"/>
    <w:rsid w:val="00FD0C77"/>
    <w:rsid w:val="00FD197A"/>
    <w:rsid w:val="00FD1EE7"/>
    <w:rsid w:val="00FD2CA5"/>
    <w:rsid w:val="00FD3BBA"/>
    <w:rsid w:val="00FD6E8D"/>
    <w:rsid w:val="00FD7221"/>
    <w:rsid w:val="00FE2037"/>
    <w:rsid w:val="00FE29CE"/>
    <w:rsid w:val="00FE69EC"/>
    <w:rsid w:val="00FF1C8D"/>
    <w:rsid w:val="00FF20D9"/>
    <w:rsid w:val="00FF2BE5"/>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F67FFF"/>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5D8A"/>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3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Default">
    <w:name w:val="Default"/>
    <w:rsid w:val="005048D7"/>
    <w:pPr>
      <w:autoSpaceDE w:val="0"/>
      <w:autoSpaceDN w:val="0"/>
      <w:adjustRightInd w:val="0"/>
      <w:spacing w:after="0" w:line="240" w:lineRule="auto"/>
    </w:pPr>
    <w:rPr>
      <w:rFonts w:ascii="Calibri" w:eastAsiaTheme="minorHAnsi" w:hAnsi="Calibri" w:cs="Calibri"/>
      <w:color w:val="000000"/>
      <w:sz w:val="24"/>
      <w:szCs w:val="24"/>
    </w:rPr>
  </w:style>
  <w:style w:type="character" w:styleId="UnresolvedMention">
    <w:name w:val="Unresolved Mention"/>
    <w:basedOn w:val="DefaultParagraphFont"/>
    <w:uiPriority w:val="99"/>
    <w:semiHidden/>
    <w:unhideWhenUsed/>
    <w:rsid w:val="00381080"/>
    <w:rPr>
      <w:color w:val="808080"/>
      <w:shd w:val="clear" w:color="auto" w:fill="E6E6E6"/>
    </w:rPr>
  </w:style>
  <w:style w:type="paragraph" w:styleId="HTMLPreformatted">
    <w:name w:val="HTML Preformatted"/>
    <w:basedOn w:val="Normal"/>
    <w:link w:val="HTMLPreformattedChar"/>
    <w:uiPriority w:val="99"/>
    <w:unhideWhenUsed/>
    <w:rsid w:val="001E4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E4E23"/>
    <w:rPr>
      <w:rFonts w:ascii="Courier New" w:eastAsia="Times New Roman" w:hAnsi="Courier New" w:cs="Courier New"/>
      <w:sz w:val="20"/>
      <w:szCs w:val="20"/>
    </w:rPr>
  </w:style>
  <w:style w:type="paragraph" w:styleId="ListBullet">
    <w:name w:val="List Bullet"/>
    <w:basedOn w:val="Normal"/>
    <w:uiPriority w:val="99"/>
    <w:unhideWhenUsed/>
    <w:rsid w:val="008F7295"/>
    <w:pPr>
      <w:numPr>
        <w:numId w:val="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08958">
      <w:bodyDiv w:val="1"/>
      <w:marLeft w:val="0"/>
      <w:marRight w:val="0"/>
      <w:marTop w:val="0"/>
      <w:marBottom w:val="0"/>
      <w:divBdr>
        <w:top w:val="none" w:sz="0" w:space="0" w:color="auto"/>
        <w:left w:val="none" w:sz="0" w:space="0" w:color="auto"/>
        <w:bottom w:val="none" w:sz="0" w:space="0" w:color="auto"/>
        <w:right w:val="none" w:sz="0" w:space="0" w:color="auto"/>
      </w:divBdr>
    </w:div>
    <w:div w:id="318702493">
      <w:bodyDiv w:val="1"/>
      <w:marLeft w:val="0"/>
      <w:marRight w:val="0"/>
      <w:marTop w:val="0"/>
      <w:marBottom w:val="0"/>
      <w:divBdr>
        <w:top w:val="none" w:sz="0" w:space="0" w:color="auto"/>
        <w:left w:val="none" w:sz="0" w:space="0" w:color="auto"/>
        <w:bottom w:val="none" w:sz="0" w:space="0" w:color="auto"/>
        <w:right w:val="none" w:sz="0" w:space="0" w:color="auto"/>
      </w:divBdr>
    </w:div>
    <w:div w:id="325475779">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930506584">
      <w:bodyDiv w:val="1"/>
      <w:marLeft w:val="0"/>
      <w:marRight w:val="0"/>
      <w:marTop w:val="0"/>
      <w:marBottom w:val="0"/>
      <w:divBdr>
        <w:top w:val="none" w:sz="0" w:space="0" w:color="auto"/>
        <w:left w:val="none" w:sz="0" w:space="0" w:color="auto"/>
        <w:bottom w:val="none" w:sz="0" w:space="0" w:color="auto"/>
        <w:right w:val="none" w:sz="0" w:space="0" w:color="auto"/>
      </w:divBdr>
    </w:div>
    <w:div w:id="997198191">
      <w:bodyDiv w:val="1"/>
      <w:marLeft w:val="0"/>
      <w:marRight w:val="0"/>
      <w:marTop w:val="0"/>
      <w:marBottom w:val="0"/>
      <w:divBdr>
        <w:top w:val="none" w:sz="0" w:space="0" w:color="auto"/>
        <w:left w:val="none" w:sz="0" w:space="0" w:color="auto"/>
        <w:bottom w:val="none" w:sz="0" w:space="0" w:color="auto"/>
        <w:right w:val="none" w:sz="0" w:space="0" w:color="auto"/>
      </w:divBdr>
    </w:div>
    <w:div w:id="1273512946">
      <w:bodyDiv w:val="1"/>
      <w:marLeft w:val="0"/>
      <w:marRight w:val="0"/>
      <w:marTop w:val="0"/>
      <w:marBottom w:val="0"/>
      <w:divBdr>
        <w:top w:val="none" w:sz="0" w:space="0" w:color="auto"/>
        <w:left w:val="none" w:sz="0" w:space="0" w:color="auto"/>
        <w:bottom w:val="none" w:sz="0" w:space="0" w:color="auto"/>
        <w:right w:val="none" w:sz="0" w:space="0" w:color="auto"/>
      </w:divBdr>
    </w:div>
    <w:div w:id="1331060121">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856113183">
      <w:bodyDiv w:val="1"/>
      <w:marLeft w:val="0"/>
      <w:marRight w:val="0"/>
      <w:marTop w:val="0"/>
      <w:marBottom w:val="0"/>
      <w:divBdr>
        <w:top w:val="none" w:sz="0" w:space="0" w:color="auto"/>
        <w:left w:val="none" w:sz="0" w:space="0" w:color="auto"/>
        <w:bottom w:val="none" w:sz="0" w:space="0" w:color="auto"/>
        <w:right w:val="none" w:sz="0" w:space="0" w:color="auto"/>
      </w:divBdr>
    </w:div>
    <w:div w:id="1885945446">
      <w:bodyDiv w:val="1"/>
      <w:marLeft w:val="0"/>
      <w:marRight w:val="0"/>
      <w:marTop w:val="0"/>
      <w:marBottom w:val="0"/>
      <w:divBdr>
        <w:top w:val="none" w:sz="0" w:space="0" w:color="auto"/>
        <w:left w:val="none" w:sz="0" w:space="0" w:color="auto"/>
        <w:bottom w:val="none" w:sz="0" w:space="0" w:color="auto"/>
        <w:right w:val="none" w:sz="0" w:space="0" w:color="auto"/>
      </w:divBdr>
    </w:div>
    <w:div w:id="1905018379">
      <w:bodyDiv w:val="1"/>
      <w:marLeft w:val="0"/>
      <w:marRight w:val="0"/>
      <w:marTop w:val="0"/>
      <w:marBottom w:val="0"/>
      <w:divBdr>
        <w:top w:val="none" w:sz="0" w:space="0" w:color="auto"/>
        <w:left w:val="none" w:sz="0" w:space="0" w:color="auto"/>
        <w:bottom w:val="none" w:sz="0" w:space="0" w:color="auto"/>
        <w:right w:val="none" w:sz="0" w:space="0" w:color="auto"/>
      </w:divBdr>
    </w:div>
    <w:div w:id="2009360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cbi.nlm.nih.gov/pubmed/27838723" TargetMode="External"/><Relationship Id="rId21" Type="http://schemas.openxmlformats.org/officeDocument/2006/relationships/hyperlink" Target="https://www.ncbi.nlm.nih.gov/pubmed/15908846" TargetMode="External"/><Relationship Id="rId42" Type="http://schemas.openxmlformats.org/officeDocument/2006/relationships/hyperlink" Target="https://www.ncbi.nlm.nih.gov/pubmed/14697924" TargetMode="External"/><Relationship Id="rId47" Type="http://schemas.openxmlformats.org/officeDocument/2006/relationships/hyperlink" Target="https://www.ncbi.nlm.nih.gov/pubmed/11261648" TargetMode="External"/><Relationship Id="rId63" Type="http://schemas.openxmlformats.org/officeDocument/2006/relationships/chart" Target="charts/chart4.xml"/><Relationship Id="rId68"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ncbi.nlm.nih.gov/pubmed/27330520" TargetMode="External"/><Relationship Id="rId29" Type="http://schemas.openxmlformats.org/officeDocument/2006/relationships/hyperlink" Target="https://www.ncbi.nlm.nih.gov/pubmed/26239457" TargetMode="External"/><Relationship Id="rId11" Type="http://schemas.openxmlformats.org/officeDocument/2006/relationships/endnotes" Target="endnotes.xml"/><Relationship Id="rId24" Type="http://schemas.openxmlformats.org/officeDocument/2006/relationships/hyperlink" Target="https://www.ncbi.nlm.nih.gov/pubmed/24222016" TargetMode="External"/><Relationship Id="rId32" Type="http://schemas.openxmlformats.org/officeDocument/2006/relationships/hyperlink" Target="https://www.ncbi.nlm.nih.gov/pubmed/9831236" TargetMode="External"/><Relationship Id="rId37" Type="http://schemas.openxmlformats.org/officeDocument/2006/relationships/hyperlink" Target="http://bhpr.hrsa.gov/shortage/hpsas/designationcriteria/designationcriteria.html" TargetMode="External"/><Relationship Id="rId40" Type="http://schemas.openxmlformats.org/officeDocument/2006/relationships/hyperlink" Target="https://www.ncbi.nlm.nih.gov/pubmed/17676945" TargetMode="External"/><Relationship Id="rId45" Type="http://schemas.openxmlformats.org/officeDocument/2006/relationships/hyperlink" Target="https://www.ncbi.nlm.nih.gov/pubmed/24395946" TargetMode="External"/><Relationship Id="rId53" Type="http://schemas.openxmlformats.org/officeDocument/2006/relationships/hyperlink" Target="https://www.ncbi.nlm.nih.gov/pubmed/19270345" TargetMode="External"/><Relationship Id="rId58" Type="http://schemas.openxmlformats.org/officeDocument/2006/relationships/hyperlink" Target="https://www.ncbi.nlm.nih.gov/pubmed/9370507" TargetMode="External"/><Relationship Id="rId66" Type="http://schemas.openxmlformats.org/officeDocument/2006/relationships/header" Target="header1.xml"/><Relationship Id="rId5" Type="http://schemas.openxmlformats.org/officeDocument/2006/relationships/customXml" Target="../customXml/item5.xml"/><Relationship Id="rId61" Type="http://schemas.openxmlformats.org/officeDocument/2006/relationships/hyperlink" Target="https://www.ncbi.nlm.nih.gov/pubmed/24395946" TargetMode="External"/><Relationship Id="rId19" Type="http://schemas.openxmlformats.org/officeDocument/2006/relationships/hyperlink" Target="https://www.ncbi.nlm.nih.gov/pubmed/15908846" TargetMode="External"/><Relationship Id="rId14" Type="http://schemas.openxmlformats.org/officeDocument/2006/relationships/hyperlink" Target="https://www.ncbi.nlm.nih.gov/pubmed/27330520" TargetMode="External"/><Relationship Id="rId22" Type="http://schemas.openxmlformats.org/officeDocument/2006/relationships/hyperlink" Target="https://www.ncbi.nlm.nih.gov/pubmed/28437620" TargetMode="External"/><Relationship Id="rId27" Type="http://schemas.openxmlformats.org/officeDocument/2006/relationships/hyperlink" Target="https://www.ncbi.nlm.nih.gov/pubmed/22607822" TargetMode="External"/><Relationship Id="rId30" Type="http://schemas.openxmlformats.org/officeDocument/2006/relationships/hyperlink" Target="https://www.ncbi.nlm.nih.gov/pubmed/15806502" TargetMode="External"/><Relationship Id="rId35" Type="http://schemas.openxmlformats.org/officeDocument/2006/relationships/hyperlink" Target="https://www.ncbi.nlm.nih.gov/pubmed/27783551" TargetMode="External"/><Relationship Id="rId43" Type="http://schemas.openxmlformats.org/officeDocument/2006/relationships/hyperlink" Target="https://www.ncbi.nlm.nih.gov/pubmed/19008986" TargetMode="External"/><Relationship Id="rId48" Type="http://schemas.openxmlformats.org/officeDocument/2006/relationships/hyperlink" Target="https://www.ncbi.nlm.nih.gov/pubmed/17121449" TargetMode="External"/><Relationship Id="rId56" Type="http://schemas.openxmlformats.org/officeDocument/2006/relationships/chart" Target="charts/chart2.xml"/><Relationship Id="rId64" Type="http://schemas.openxmlformats.org/officeDocument/2006/relationships/chart" Target="charts/chart5.xml"/><Relationship Id="rId69" Type="http://schemas.openxmlformats.org/officeDocument/2006/relationships/glossaryDocument" Target="glossary/document.xml"/><Relationship Id="rId8" Type="http://schemas.openxmlformats.org/officeDocument/2006/relationships/settings" Target="settings.xml"/><Relationship Id="rId51" Type="http://schemas.openxmlformats.org/officeDocument/2006/relationships/hyperlink" Target="https://www.ncbi.nlm.nih.gov/pubmed/19182563" TargetMode="External"/><Relationship Id="rId3" Type="http://schemas.openxmlformats.org/officeDocument/2006/relationships/customXml" Target="../customXml/item3.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s://www.cms.gov/Medicare/Prescription-Drug-Coverage/PrescriptionDrugCovGenIn/PerformanceData.html" TargetMode="External"/><Relationship Id="rId25" Type="http://schemas.openxmlformats.org/officeDocument/2006/relationships/hyperlink" Target="https://www.ncbi.nlm.nih.gov/pubmed/25911072" TargetMode="External"/><Relationship Id="rId33" Type="http://schemas.openxmlformats.org/officeDocument/2006/relationships/hyperlink" Target="https://www.ncbi.nlm.nih.gov/pubmed/15250922" TargetMode="External"/><Relationship Id="rId38" Type="http://schemas.openxmlformats.org/officeDocument/2006/relationships/hyperlink" Target="https://www.ncbi.nlm.nih.gov/pubmed/15555477" TargetMode="External"/><Relationship Id="rId46" Type="http://schemas.openxmlformats.org/officeDocument/2006/relationships/hyperlink" Target="https://www.ncbi.nlm.nih.gov/pubmed/19176409" TargetMode="External"/><Relationship Id="rId59" Type="http://schemas.openxmlformats.org/officeDocument/2006/relationships/hyperlink" Target="https://www.ncbi.nlm.nih.gov/pubmed/9421867" TargetMode="External"/><Relationship Id="rId67" Type="http://schemas.openxmlformats.org/officeDocument/2006/relationships/footer" Target="footer1.xml"/><Relationship Id="rId20" Type="http://schemas.openxmlformats.org/officeDocument/2006/relationships/hyperlink" Target="https://www.ncbi.nlm.nih.gov/pubmed/30219548" TargetMode="External"/><Relationship Id="rId41" Type="http://schemas.openxmlformats.org/officeDocument/2006/relationships/hyperlink" Target="https://www.ncbi.nlm.nih.gov/pubmed/19147869" TargetMode="External"/><Relationship Id="rId54" Type="http://schemas.openxmlformats.org/officeDocument/2006/relationships/hyperlink" Target="https://www.ncbi.nlm.nih.gov/pubmed/16735667" TargetMode="External"/><Relationship Id="rId62" Type="http://schemas.openxmlformats.org/officeDocument/2006/relationships/hyperlink" Target="https://www.ncbi.nlm.nih.gov/pubmed/19146565"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ncbi.nlm.nih.gov/pubmed/27330520" TargetMode="External"/><Relationship Id="rId23" Type="http://schemas.openxmlformats.org/officeDocument/2006/relationships/hyperlink" Target="https://www.ncbi.nlm.nih.gov/pubmed/23440795" TargetMode="External"/><Relationship Id="rId28" Type="http://schemas.openxmlformats.org/officeDocument/2006/relationships/hyperlink" Target="https://www.ncbi.nlm.nih.gov/pubmed/18923754" TargetMode="External"/><Relationship Id="rId36" Type="http://schemas.openxmlformats.org/officeDocument/2006/relationships/hyperlink" Target="https://www.ncbi.nlm.nih.gov/pubmed/25278328" TargetMode="External"/><Relationship Id="rId49" Type="http://schemas.openxmlformats.org/officeDocument/2006/relationships/hyperlink" Target="http://resources.inovalon.com/papers/an-investigation-of-medicare-advantage-dual-eligible-member-level-performance-on-cms-five-star-quality-measures" TargetMode="External"/><Relationship Id="rId57" Type="http://schemas.openxmlformats.org/officeDocument/2006/relationships/chart" Target="charts/chart3.xml"/><Relationship Id="rId10" Type="http://schemas.openxmlformats.org/officeDocument/2006/relationships/footnotes" Target="footnotes.xml"/><Relationship Id="rId31" Type="http://schemas.openxmlformats.org/officeDocument/2006/relationships/hyperlink" Target="https://www.ncbi.nlm.nih.gov/pubmed/24516224" TargetMode="External"/><Relationship Id="rId44" Type="http://schemas.openxmlformats.org/officeDocument/2006/relationships/hyperlink" Target="https://www.ncbi.nlm.nih.gov/pubmed/18574439" TargetMode="External"/><Relationship Id="rId52" Type="http://schemas.openxmlformats.org/officeDocument/2006/relationships/hyperlink" Target="https://www.ncbi.nlm.nih.gov/pubmed/18926033" TargetMode="External"/><Relationship Id="rId60" Type="http://schemas.openxmlformats.org/officeDocument/2006/relationships/hyperlink" Target="https://www.ncbi.nlm.nih.gov/pubmed/25278328" TargetMode="External"/><Relationship Id="rId65" Type="http://schemas.openxmlformats.org/officeDocument/2006/relationships/chart" Target="charts/chart6.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www.rand.org/pubs/technical_reports/TR653" TargetMode="External"/><Relationship Id="rId18" Type="http://schemas.openxmlformats.org/officeDocument/2006/relationships/hyperlink" Target="https://www.ncbi.nlm.nih.gov/pubmed/15333476" TargetMode="External"/><Relationship Id="rId39" Type="http://schemas.openxmlformats.org/officeDocument/2006/relationships/hyperlink" Target="https://www.ncbi.nlm.nih.gov/pubmed/23898295" TargetMode="External"/><Relationship Id="rId34" Type="http://schemas.openxmlformats.org/officeDocument/2006/relationships/hyperlink" Target="https://www.ncbi.nlm.nih.gov/pubmed/24552851" TargetMode="External"/><Relationship Id="rId50" Type="http://schemas.openxmlformats.org/officeDocument/2006/relationships/hyperlink" Target="http://www.nap.edu/21858" TargetMode="External"/><Relationship Id="rId55"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Book2"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2"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Book2"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626960091527021"/>
          <c:y val="0.11029411764705882"/>
          <c:w val="0.86250874890638685"/>
          <c:h val="0.68885551855425187"/>
        </c:manualLayout>
      </c:layout>
      <c:scatterChart>
        <c:scatterStyle val="lineMarker"/>
        <c:varyColors val="0"/>
        <c:ser>
          <c:idx val="0"/>
          <c:order val="0"/>
          <c:tx>
            <c:strRef>
              <c:f>'Diabetes Data'!$B$1</c:f>
              <c:strCache>
                <c:ptCount val="1"/>
                <c:pt idx="0">
                  <c:v>Unadjusted</c:v>
                </c:pt>
              </c:strCache>
            </c:strRef>
          </c:tx>
          <c:spPr>
            <a:ln w="25400" cap="flat" cmpd="sng" algn="ctr">
              <a:noFill/>
              <a:prstDash val="sysDot"/>
              <a:round/>
            </a:ln>
            <a:effectLst>
              <a:outerShdw blurRad="40000" dist="20000" dir="5400000" rotWithShape="0">
                <a:srgbClr val="000000">
                  <a:alpha val="38000"/>
                </a:srgbClr>
              </a:outerShdw>
            </a:effectLst>
          </c:spPr>
          <c:marker>
            <c:symbol val="circle"/>
            <c:size val="5"/>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chemeClr>
                </a:solidFill>
                <a:round/>
              </a:ln>
              <a:effectLst>
                <a:outerShdw blurRad="40000" dist="20000" dir="5400000" rotWithShape="0">
                  <a:srgbClr val="000000">
                    <a:alpha val="38000"/>
                  </a:srgbClr>
                </a:outerShdw>
              </a:effectLst>
            </c:spPr>
          </c:marker>
          <c:xVal>
            <c:numRef>
              <c:f>'Diabetes Data'!$A$2:$A$395</c:f>
              <c:numCache>
                <c:formatCode>General</c:formatCode>
                <c:ptCount val="39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pt idx="100">
                  <c:v>101</c:v>
                </c:pt>
                <c:pt idx="101">
                  <c:v>102</c:v>
                </c:pt>
                <c:pt idx="102">
                  <c:v>103</c:v>
                </c:pt>
                <c:pt idx="103">
                  <c:v>104</c:v>
                </c:pt>
                <c:pt idx="104">
                  <c:v>105</c:v>
                </c:pt>
                <c:pt idx="105">
                  <c:v>106</c:v>
                </c:pt>
                <c:pt idx="106">
                  <c:v>107</c:v>
                </c:pt>
                <c:pt idx="107">
                  <c:v>108</c:v>
                </c:pt>
                <c:pt idx="108">
                  <c:v>109</c:v>
                </c:pt>
                <c:pt idx="109">
                  <c:v>110</c:v>
                </c:pt>
                <c:pt idx="110">
                  <c:v>111</c:v>
                </c:pt>
                <c:pt idx="111">
                  <c:v>112</c:v>
                </c:pt>
                <c:pt idx="112">
                  <c:v>113</c:v>
                </c:pt>
                <c:pt idx="113">
                  <c:v>114</c:v>
                </c:pt>
                <c:pt idx="114">
                  <c:v>115</c:v>
                </c:pt>
                <c:pt idx="115">
                  <c:v>116</c:v>
                </c:pt>
                <c:pt idx="116">
                  <c:v>117</c:v>
                </c:pt>
                <c:pt idx="117">
                  <c:v>118</c:v>
                </c:pt>
                <c:pt idx="118">
                  <c:v>119</c:v>
                </c:pt>
                <c:pt idx="119">
                  <c:v>120</c:v>
                </c:pt>
                <c:pt idx="120">
                  <c:v>121</c:v>
                </c:pt>
                <c:pt idx="121">
                  <c:v>122</c:v>
                </c:pt>
                <c:pt idx="122">
                  <c:v>123</c:v>
                </c:pt>
                <c:pt idx="123">
                  <c:v>124</c:v>
                </c:pt>
                <c:pt idx="124">
                  <c:v>125</c:v>
                </c:pt>
                <c:pt idx="125">
                  <c:v>126</c:v>
                </c:pt>
                <c:pt idx="126">
                  <c:v>127</c:v>
                </c:pt>
                <c:pt idx="127">
                  <c:v>128</c:v>
                </c:pt>
                <c:pt idx="128">
                  <c:v>129</c:v>
                </c:pt>
                <c:pt idx="129">
                  <c:v>130</c:v>
                </c:pt>
                <c:pt idx="130">
                  <c:v>131</c:v>
                </c:pt>
                <c:pt idx="131">
                  <c:v>132</c:v>
                </c:pt>
                <c:pt idx="132">
                  <c:v>133</c:v>
                </c:pt>
                <c:pt idx="133">
                  <c:v>134</c:v>
                </c:pt>
                <c:pt idx="134">
                  <c:v>135</c:v>
                </c:pt>
                <c:pt idx="135">
                  <c:v>136</c:v>
                </c:pt>
                <c:pt idx="136">
                  <c:v>137</c:v>
                </c:pt>
                <c:pt idx="137">
                  <c:v>138</c:v>
                </c:pt>
                <c:pt idx="138">
                  <c:v>139</c:v>
                </c:pt>
                <c:pt idx="139">
                  <c:v>140</c:v>
                </c:pt>
                <c:pt idx="140">
                  <c:v>141</c:v>
                </c:pt>
                <c:pt idx="141">
                  <c:v>142</c:v>
                </c:pt>
                <c:pt idx="142">
                  <c:v>143</c:v>
                </c:pt>
                <c:pt idx="143">
                  <c:v>144</c:v>
                </c:pt>
                <c:pt idx="144">
                  <c:v>145</c:v>
                </c:pt>
                <c:pt idx="145">
                  <c:v>146</c:v>
                </c:pt>
                <c:pt idx="146">
                  <c:v>147</c:v>
                </c:pt>
                <c:pt idx="147">
                  <c:v>148</c:v>
                </c:pt>
                <c:pt idx="148">
                  <c:v>149</c:v>
                </c:pt>
                <c:pt idx="149">
                  <c:v>150</c:v>
                </c:pt>
                <c:pt idx="150">
                  <c:v>151</c:v>
                </c:pt>
                <c:pt idx="151">
                  <c:v>152</c:v>
                </c:pt>
                <c:pt idx="152">
                  <c:v>153</c:v>
                </c:pt>
                <c:pt idx="153">
                  <c:v>154</c:v>
                </c:pt>
                <c:pt idx="154">
                  <c:v>155</c:v>
                </c:pt>
                <c:pt idx="155">
                  <c:v>156</c:v>
                </c:pt>
                <c:pt idx="156">
                  <c:v>157</c:v>
                </c:pt>
                <c:pt idx="157">
                  <c:v>158</c:v>
                </c:pt>
                <c:pt idx="158">
                  <c:v>159</c:v>
                </c:pt>
                <c:pt idx="159">
                  <c:v>160</c:v>
                </c:pt>
                <c:pt idx="160">
                  <c:v>161</c:v>
                </c:pt>
                <c:pt idx="161">
                  <c:v>162</c:v>
                </c:pt>
                <c:pt idx="162">
                  <c:v>163</c:v>
                </c:pt>
                <c:pt idx="163">
                  <c:v>164</c:v>
                </c:pt>
                <c:pt idx="164">
                  <c:v>165</c:v>
                </c:pt>
                <c:pt idx="165">
                  <c:v>166</c:v>
                </c:pt>
                <c:pt idx="166">
                  <c:v>167</c:v>
                </c:pt>
                <c:pt idx="167">
                  <c:v>168</c:v>
                </c:pt>
                <c:pt idx="168">
                  <c:v>169</c:v>
                </c:pt>
                <c:pt idx="169">
                  <c:v>170</c:v>
                </c:pt>
                <c:pt idx="170">
                  <c:v>171</c:v>
                </c:pt>
                <c:pt idx="171">
                  <c:v>172</c:v>
                </c:pt>
                <c:pt idx="172">
                  <c:v>173</c:v>
                </c:pt>
                <c:pt idx="173">
                  <c:v>174</c:v>
                </c:pt>
                <c:pt idx="174">
                  <c:v>175</c:v>
                </c:pt>
                <c:pt idx="175">
                  <c:v>176</c:v>
                </c:pt>
                <c:pt idx="176">
                  <c:v>177</c:v>
                </c:pt>
                <c:pt idx="177">
                  <c:v>178</c:v>
                </c:pt>
                <c:pt idx="178">
                  <c:v>179</c:v>
                </c:pt>
                <c:pt idx="179">
                  <c:v>180</c:v>
                </c:pt>
                <c:pt idx="180">
                  <c:v>181</c:v>
                </c:pt>
                <c:pt idx="181">
                  <c:v>182</c:v>
                </c:pt>
                <c:pt idx="182">
                  <c:v>183</c:v>
                </c:pt>
                <c:pt idx="183">
                  <c:v>184</c:v>
                </c:pt>
                <c:pt idx="184">
                  <c:v>185</c:v>
                </c:pt>
                <c:pt idx="185">
                  <c:v>186</c:v>
                </c:pt>
                <c:pt idx="186">
                  <c:v>187</c:v>
                </c:pt>
                <c:pt idx="187">
                  <c:v>188</c:v>
                </c:pt>
                <c:pt idx="188">
                  <c:v>189</c:v>
                </c:pt>
                <c:pt idx="189">
                  <c:v>190</c:v>
                </c:pt>
                <c:pt idx="190">
                  <c:v>191</c:v>
                </c:pt>
                <c:pt idx="191">
                  <c:v>192</c:v>
                </c:pt>
                <c:pt idx="192">
                  <c:v>193</c:v>
                </c:pt>
                <c:pt idx="193">
                  <c:v>194</c:v>
                </c:pt>
                <c:pt idx="194">
                  <c:v>195</c:v>
                </c:pt>
                <c:pt idx="195">
                  <c:v>196</c:v>
                </c:pt>
                <c:pt idx="196">
                  <c:v>197</c:v>
                </c:pt>
                <c:pt idx="197">
                  <c:v>198</c:v>
                </c:pt>
                <c:pt idx="198">
                  <c:v>199</c:v>
                </c:pt>
                <c:pt idx="199">
                  <c:v>200</c:v>
                </c:pt>
                <c:pt idx="200">
                  <c:v>201</c:v>
                </c:pt>
                <c:pt idx="201">
                  <c:v>202</c:v>
                </c:pt>
                <c:pt idx="202">
                  <c:v>203</c:v>
                </c:pt>
                <c:pt idx="203">
                  <c:v>204</c:v>
                </c:pt>
                <c:pt idx="204">
                  <c:v>205</c:v>
                </c:pt>
                <c:pt idx="205">
                  <c:v>206</c:v>
                </c:pt>
                <c:pt idx="206">
                  <c:v>207</c:v>
                </c:pt>
                <c:pt idx="207">
                  <c:v>208</c:v>
                </c:pt>
                <c:pt idx="208">
                  <c:v>209</c:v>
                </c:pt>
                <c:pt idx="209">
                  <c:v>210</c:v>
                </c:pt>
                <c:pt idx="210">
                  <c:v>211</c:v>
                </c:pt>
                <c:pt idx="211">
                  <c:v>212</c:v>
                </c:pt>
                <c:pt idx="212">
                  <c:v>213</c:v>
                </c:pt>
                <c:pt idx="213">
                  <c:v>214</c:v>
                </c:pt>
                <c:pt idx="214">
                  <c:v>215</c:v>
                </c:pt>
                <c:pt idx="215">
                  <c:v>216</c:v>
                </c:pt>
                <c:pt idx="216">
                  <c:v>217</c:v>
                </c:pt>
                <c:pt idx="217">
                  <c:v>218</c:v>
                </c:pt>
                <c:pt idx="218">
                  <c:v>219</c:v>
                </c:pt>
                <c:pt idx="219">
                  <c:v>220</c:v>
                </c:pt>
                <c:pt idx="220">
                  <c:v>221</c:v>
                </c:pt>
                <c:pt idx="221">
                  <c:v>222</c:v>
                </c:pt>
                <c:pt idx="222">
                  <c:v>223</c:v>
                </c:pt>
                <c:pt idx="223">
                  <c:v>224</c:v>
                </c:pt>
                <c:pt idx="224">
                  <c:v>225</c:v>
                </c:pt>
                <c:pt idx="225">
                  <c:v>226</c:v>
                </c:pt>
                <c:pt idx="226">
                  <c:v>227</c:v>
                </c:pt>
                <c:pt idx="227">
                  <c:v>228</c:v>
                </c:pt>
                <c:pt idx="228">
                  <c:v>229</c:v>
                </c:pt>
                <c:pt idx="229">
                  <c:v>230</c:v>
                </c:pt>
                <c:pt idx="230">
                  <c:v>231</c:v>
                </c:pt>
                <c:pt idx="231">
                  <c:v>232</c:v>
                </c:pt>
                <c:pt idx="232">
                  <c:v>233</c:v>
                </c:pt>
                <c:pt idx="233">
                  <c:v>234</c:v>
                </c:pt>
                <c:pt idx="234">
                  <c:v>235</c:v>
                </c:pt>
                <c:pt idx="235">
                  <c:v>236</c:v>
                </c:pt>
                <c:pt idx="236">
                  <c:v>237</c:v>
                </c:pt>
                <c:pt idx="237">
                  <c:v>238</c:v>
                </c:pt>
                <c:pt idx="238">
                  <c:v>239</c:v>
                </c:pt>
                <c:pt idx="239">
                  <c:v>240</c:v>
                </c:pt>
                <c:pt idx="240">
                  <c:v>241</c:v>
                </c:pt>
                <c:pt idx="241">
                  <c:v>242</c:v>
                </c:pt>
                <c:pt idx="242">
                  <c:v>243</c:v>
                </c:pt>
                <c:pt idx="243">
                  <c:v>244</c:v>
                </c:pt>
                <c:pt idx="244">
                  <c:v>245</c:v>
                </c:pt>
                <c:pt idx="245">
                  <c:v>246</c:v>
                </c:pt>
                <c:pt idx="246">
                  <c:v>247</c:v>
                </c:pt>
                <c:pt idx="247">
                  <c:v>248</c:v>
                </c:pt>
                <c:pt idx="248">
                  <c:v>249</c:v>
                </c:pt>
                <c:pt idx="249">
                  <c:v>250</c:v>
                </c:pt>
                <c:pt idx="250">
                  <c:v>251</c:v>
                </c:pt>
                <c:pt idx="251">
                  <c:v>252</c:v>
                </c:pt>
                <c:pt idx="252">
                  <c:v>253</c:v>
                </c:pt>
                <c:pt idx="253">
                  <c:v>254</c:v>
                </c:pt>
                <c:pt idx="254">
                  <c:v>255</c:v>
                </c:pt>
                <c:pt idx="255">
                  <c:v>256</c:v>
                </c:pt>
                <c:pt idx="256">
                  <c:v>257</c:v>
                </c:pt>
                <c:pt idx="257">
                  <c:v>258</c:v>
                </c:pt>
                <c:pt idx="258">
                  <c:v>259</c:v>
                </c:pt>
                <c:pt idx="259">
                  <c:v>260</c:v>
                </c:pt>
                <c:pt idx="260">
                  <c:v>261</c:v>
                </c:pt>
                <c:pt idx="261">
                  <c:v>262</c:v>
                </c:pt>
                <c:pt idx="262">
                  <c:v>263</c:v>
                </c:pt>
                <c:pt idx="263">
                  <c:v>264</c:v>
                </c:pt>
                <c:pt idx="264">
                  <c:v>265</c:v>
                </c:pt>
                <c:pt idx="265">
                  <c:v>266</c:v>
                </c:pt>
                <c:pt idx="266">
                  <c:v>267</c:v>
                </c:pt>
                <c:pt idx="267">
                  <c:v>268</c:v>
                </c:pt>
                <c:pt idx="268">
                  <c:v>269</c:v>
                </c:pt>
                <c:pt idx="269">
                  <c:v>270</c:v>
                </c:pt>
                <c:pt idx="270">
                  <c:v>271</c:v>
                </c:pt>
                <c:pt idx="271">
                  <c:v>272</c:v>
                </c:pt>
                <c:pt idx="272">
                  <c:v>273</c:v>
                </c:pt>
                <c:pt idx="273">
                  <c:v>274</c:v>
                </c:pt>
                <c:pt idx="274">
                  <c:v>275</c:v>
                </c:pt>
                <c:pt idx="275">
                  <c:v>276</c:v>
                </c:pt>
                <c:pt idx="276">
                  <c:v>277</c:v>
                </c:pt>
                <c:pt idx="277">
                  <c:v>278</c:v>
                </c:pt>
                <c:pt idx="278">
                  <c:v>279</c:v>
                </c:pt>
                <c:pt idx="279">
                  <c:v>280</c:v>
                </c:pt>
                <c:pt idx="280">
                  <c:v>281</c:v>
                </c:pt>
                <c:pt idx="281">
                  <c:v>282</c:v>
                </c:pt>
                <c:pt idx="282">
                  <c:v>283</c:v>
                </c:pt>
                <c:pt idx="283">
                  <c:v>284</c:v>
                </c:pt>
                <c:pt idx="284">
                  <c:v>285</c:v>
                </c:pt>
                <c:pt idx="285">
                  <c:v>286</c:v>
                </c:pt>
                <c:pt idx="286">
                  <c:v>287</c:v>
                </c:pt>
                <c:pt idx="287">
                  <c:v>288</c:v>
                </c:pt>
                <c:pt idx="288">
                  <c:v>289</c:v>
                </c:pt>
                <c:pt idx="289">
                  <c:v>290</c:v>
                </c:pt>
                <c:pt idx="290">
                  <c:v>291</c:v>
                </c:pt>
                <c:pt idx="291">
                  <c:v>292</c:v>
                </c:pt>
                <c:pt idx="292">
                  <c:v>293</c:v>
                </c:pt>
                <c:pt idx="293">
                  <c:v>294</c:v>
                </c:pt>
                <c:pt idx="294">
                  <c:v>295</c:v>
                </c:pt>
                <c:pt idx="295">
                  <c:v>296</c:v>
                </c:pt>
                <c:pt idx="296">
                  <c:v>297</c:v>
                </c:pt>
                <c:pt idx="297">
                  <c:v>298</c:v>
                </c:pt>
                <c:pt idx="298">
                  <c:v>299</c:v>
                </c:pt>
                <c:pt idx="299">
                  <c:v>300</c:v>
                </c:pt>
                <c:pt idx="300">
                  <c:v>301</c:v>
                </c:pt>
                <c:pt idx="301">
                  <c:v>302</c:v>
                </c:pt>
                <c:pt idx="302">
                  <c:v>303</c:v>
                </c:pt>
                <c:pt idx="303">
                  <c:v>304</c:v>
                </c:pt>
                <c:pt idx="304">
                  <c:v>305</c:v>
                </c:pt>
                <c:pt idx="305">
                  <c:v>306</c:v>
                </c:pt>
                <c:pt idx="306">
                  <c:v>307</c:v>
                </c:pt>
                <c:pt idx="307">
                  <c:v>308</c:v>
                </c:pt>
                <c:pt idx="308">
                  <c:v>309</c:v>
                </c:pt>
                <c:pt idx="309">
                  <c:v>310</c:v>
                </c:pt>
                <c:pt idx="310">
                  <c:v>311</c:v>
                </c:pt>
                <c:pt idx="311">
                  <c:v>312</c:v>
                </c:pt>
                <c:pt idx="312">
                  <c:v>313</c:v>
                </c:pt>
                <c:pt idx="313">
                  <c:v>314</c:v>
                </c:pt>
                <c:pt idx="314">
                  <c:v>315</c:v>
                </c:pt>
                <c:pt idx="315">
                  <c:v>316</c:v>
                </c:pt>
                <c:pt idx="316">
                  <c:v>317</c:v>
                </c:pt>
                <c:pt idx="317">
                  <c:v>318</c:v>
                </c:pt>
                <c:pt idx="318">
                  <c:v>319</c:v>
                </c:pt>
                <c:pt idx="319">
                  <c:v>320</c:v>
                </c:pt>
                <c:pt idx="320">
                  <c:v>321</c:v>
                </c:pt>
                <c:pt idx="321">
                  <c:v>322</c:v>
                </c:pt>
                <c:pt idx="322">
                  <c:v>323</c:v>
                </c:pt>
                <c:pt idx="323">
                  <c:v>324</c:v>
                </c:pt>
                <c:pt idx="324">
                  <c:v>325</c:v>
                </c:pt>
                <c:pt idx="325">
                  <c:v>326</c:v>
                </c:pt>
                <c:pt idx="326">
                  <c:v>327</c:v>
                </c:pt>
                <c:pt idx="327">
                  <c:v>328</c:v>
                </c:pt>
                <c:pt idx="328">
                  <c:v>329</c:v>
                </c:pt>
                <c:pt idx="329">
                  <c:v>330</c:v>
                </c:pt>
                <c:pt idx="330">
                  <c:v>331</c:v>
                </c:pt>
                <c:pt idx="331">
                  <c:v>332</c:v>
                </c:pt>
                <c:pt idx="332">
                  <c:v>333</c:v>
                </c:pt>
                <c:pt idx="333">
                  <c:v>334</c:v>
                </c:pt>
                <c:pt idx="334">
                  <c:v>335</c:v>
                </c:pt>
                <c:pt idx="335">
                  <c:v>336</c:v>
                </c:pt>
                <c:pt idx="336">
                  <c:v>337</c:v>
                </c:pt>
                <c:pt idx="337">
                  <c:v>338</c:v>
                </c:pt>
                <c:pt idx="338">
                  <c:v>339</c:v>
                </c:pt>
                <c:pt idx="339">
                  <c:v>340</c:v>
                </c:pt>
                <c:pt idx="340">
                  <c:v>341</c:v>
                </c:pt>
                <c:pt idx="341">
                  <c:v>342</c:v>
                </c:pt>
                <c:pt idx="342">
                  <c:v>343</c:v>
                </c:pt>
                <c:pt idx="343">
                  <c:v>344</c:v>
                </c:pt>
                <c:pt idx="344">
                  <c:v>345</c:v>
                </c:pt>
                <c:pt idx="345">
                  <c:v>346</c:v>
                </c:pt>
                <c:pt idx="346">
                  <c:v>347</c:v>
                </c:pt>
                <c:pt idx="347">
                  <c:v>348</c:v>
                </c:pt>
                <c:pt idx="348">
                  <c:v>349</c:v>
                </c:pt>
                <c:pt idx="349">
                  <c:v>350</c:v>
                </c:pt>
                <c:pt idx="350">
                  <c:v>351</c:v>
                </c:pt>
                <c:pt idx="351">
                  <c:v>352</c:v>
                </c:pt>
                <c:pt idx="352">
                  <c:v>353</c:v>
                </c:pt>
                <c:pt idx="353">
                  <c:v>354</c:v>
                </c:pt>
                <c:pt idx="354">
                  <c:v>355</c:v>
                </c:pt>
                <c:pt idx="355">
                  <c:v>356</c:v>
                </c:pt>
                <c:pt idx="356">
                  <c:v>357</c:v>
                </c:pt>
                <c:pt idx="357">
                  <c:v>358</c:v>
                </c:pt>
                <c:pt idx="358">
                  <c:v>359</c:v>
                </c:pt>
                <c:pt idx="359">
                  <c:v>360</c:v>
                </c:pt>
                <c:pt idx="360">
                  <c:v>361</c:v>
                </c:pt>
                <c:pt idx="361">
                  <c:v>362</c:v>
                </c:pt>
                <c:pt idx="362">
                  <c:v>363</c:v>
                </c:pt>
                <c:pt idx="363">
                  <c:v>364</c:v>
                </c:pt>
                <c:pt idx="364">
                  <c:v>365</c:v>
                </c:pt>
                <c:pt idx="365">
                  <c:v>366</c:v>
                </c:pt>
                <c:pt idx="366">
                  <c:v>367</c:v>
                </c:pt>
                <c:pt idx="367">
                  <c:v>368</c:v>
                </c:pt>
                <c:pt idx="368">
                  <c:v>369</c:v>
                </c:pt>
                <c:pt idx="369">
                  <c:v>370</c:v>
                </c:pt>
                <c:pt idx="370">
                  <c:v>371</c:v>
                </c:pt>
                <c:pt idx="371">
                  <c:v>372</c:v>
                </c:pt>
                <c:pt idx="372">
                  <c:v>373</c:v>
                </c:pt>
                <c:pt idx="373">
                  <c:v>374</c:v>
                </c:pt>
                <c:pt idx="374">
                  <c:v>375</c:v>
                </c:pt>
                <c:pt idx="375">
                  <c:v>376</c:v>
                </c:pt>
                <c:pt idx="376">
                  <c:v>377</c:v>
                </c:pt>
                <c:pt idx="377">
                  <c:v>378</c:v>
                </c:pt>
                <c:pt idx="378">
                  <c:v>379</c:v>
                </c:pt>
                <c:pt idx="379">
                  <c:v>380</c:v>
                </c:pt>
                <c:pt idx="380">
                  <c:v>381</c:v>
                </c:pt>
                <c:pt idx="381">
                  <c:v>382</c:v>
                </c:pt>
                <c:pt idx="382">
                  <c:v>383</c:v>
                </c:pt>
                <c:pt idx="383">
                  <c:v>384</c:v>
                </c:pt>
                <c:pt idx="384">
                  <c:v>385</c:v>
                </c:pt>
                <c:pt idx="385">
                  <c:v>386</c:v>
                </c:pt>
                <c:pt idx="386">
                  <c:v>387</c:v>
                </c:pt>
                <c:pt idx="387">
                  <c:v>388</c:v>
                </c:pt>
                <c:pt idx="388">
                  <c:v>389</c:v>
                </c:pt>
                <c:pt idx="389">
                  <c:v>390</c:v>
                </c:pt>
                <c:pt idx="390">
                  <c:v>391</c:v>
                </c:pt>
                <c:pt idx="391">
                  <c:v>392</c:v>
                </c:pt>
                <c:pt idx="392">
                  <c:v>393</c:v>
                </c:pt>
                <c:pt idx="393">
                  <c:v>394</c:v>
                </c:pt>
              </c:numCache>
            </c:numRef>
          </c:xVal>
          <c:yVal>
            <c:numRef>
              <c:f>'Diabetes Data'!$B$2:$B$395</c:f>
              <c:numCache>
                <c:formatCode>General</c:formatCode>
                <c:ptCount val="394"/>
                <c:pt idx="0">
                  <c:v>1</c:v>
                </c:pt>
                <c:pt idx="1">
                  <c:v>2</c:v>
                </c:pt>
                <c:pt idx="2">
                  <c:v>3.5</c:v>
                </c:pt>
                <c:pt idx="3">
                  <c:v>3.5</c:v>
                </c:pt>
                <c:pt idx="4">
                  <c:v>5</c:v>
                </c:pt>
                <c:pt idx="5">
                  <c:v>6</c:v>
                </c:pt>
                <c:pt idx="6">
                  <c:v>7</c:v>
                </c:pt>
                <c:pt idx="7">
                  <c:v>8</c:v>
                </c:pt>
                <c:pt idx="8">
                  <c:v>9</c:v>
                </c:pt>
                <c:pt idx="9">
                  <c:v>10.5</c:v>
                </c:pt>
                <c:pt idx="10">
                  <c:v>10.5</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26.5</c:v>
                </c:pt>
                <c:pt idx="26">
                  <c:v>26.5</c:v>
                </c:pt>
                <c:pt idx="27">
                  <c:v>28.5</c:v>
                </c:pt>
                <c:pt idx="28">
                  <c:v>28.5</c:v>
                </c:pt>
                <c:pt idx="29">
                  <c:v>30.5</c:v>
                </c:pt>
                <c:pt idx="30">
                  <c:v>30.5</c:v>
                </c:pt>
                <c:pt idx="31">
                  <c:v>32</c:v>
                </c:pt>
                <c:pt idx="32">
                  <c:v>33</c:v>
                </c:pt>
                <c:pt idx="33">
                  <c:v>34</c:v>
                </c:pt>
                <c:pt idx="34">
                  <c:v>35</c:v>
                </c:pt>
                <c:pt idx="35">
                  <c:v>39</c:v>
                </c:pt>
                <c:pt idx="36">
                  <c:v>39</c:v>
                </c:pt>
                <c:pt idx="37">
                  <c:v>39</c:v>
                </c:pt>
                <c:pt idx="38">
                  <c:v>39</c:v>
                </c:pt>
                <c:pt idx="39">
                  <c:v>39</c:v>
                </c:pt>
                <c:pt idx="40">
                  <c:v>39</c:v>
                </c:pt>
                <c:pt idx="41">
                  <c:v>39</c:v>
                </c:pt>
                <c:pt idx="42">
                  <c:v>43</c:v>
                </c:pt>
                <c:pt idx="43">
                  <c:v>44</c:v>
                </c:pt>
                <c:pt idx="44">
                  <c:v>45</c:v>
                </c:pt>
                <c:pt idx="45">
                  <c:v>46</c:v>
                </c:pt>
                <c:pt idx="46">
                  <c:v>47</c:v>
                </c:pt>
                <c:pt idx="47">
                  <c:v>48</c:v>
                </c:pt>
                <c:pt idx="48">
                  <c:v>49</c:v>
                </c:pt>
                <c:pt idx="49">
                  <c:v>50</c:v>
                </c:pt>
                <c:pt idx="50">
                  <c:v>51.5</c:v>
                </c:pt>
                <c:pt idx="51">
                  <c:v>51.5</c:v>
                </c:pt>
                <c:pt idx="52">
                  <c:v>53</c:v>
                </c:pt>
                <c:pt idx="53">
                  <c:v>54</c:v>
                </c:pt>
                <c:pt idx="54">
                  <c:v>55.5</c:v>
                </c:pt>
                <c:pt idx="55">
                  <c:v>55.5</c:v>
                </c:pt>
                <c:pt idx="56">
                  <c:v>57</c:v>
                </c:pt>
                <c:pt idx="57">
                  <c:v>58</c:v>
                </c:pt>
                <c:pt idx="58">
                  <c:v>59</c:v>
                </c:pt>
                <c:pt idx="59">
                  <c:v>60</c:v>
                </c:pt>
                <c:pt idx="60">
                  <c:v>61</c:v>
                </c:pt>
                <c:pt idx="61">
                  <c:v>62</c:v>
                </c:pt>
                <c:pt idx="62">
                  <c:v>63</c:v>
                </c:pt>
                <c:pt idx="63">
                  <c:v>64</c:v>
                </c:pt>
                <c:pt idx="64">
                  <c:v>65.5</c:v>
                </c:pt>
                <c:pt idx="65">
                  <c:v>65.5</c:v>
                </c:pt>
                <c:pt idx="66">
                  <c:v>67</c:v>
                </c:pt>
                <c:pt idx="67">
                  <c:v>68</c:v>
                </c:pt>
                <c:pt idx="68">
                  <c:v>69</c:v>
                </c:pt>
                <c:pt idx="69">
                  <c:v>70</c:v>
                </c:pt>
                <c:pt idx="70">
                  <c:v>71</c:v>
                </c:pt>
                <c:pt idx="71">
                  <c:v>72</c:v>
                </c:pt>
                <c:pt idx="72">
                  <c:v>73.5</c:v>
                </c:pt>
                <c:pt idx="73">
                  <c:v>73.5</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88.5</c:v>
                </c:pt>
                <c:pt idx="88">
                  <c:v>88.5</c:v>
                </c:pt>
                <c:pt idx="89">
                  <c:v>90</c:v>
                </c:pt>
                <c:pt idx="90">
                  <c:v>92</c:v>
                </c:pt>
                <c:pt idx="91">
                  <c:v>92</c:v>
                </c:pt>
                <c:pt idx="92">
                  <c:v>92</c:v>
                </c:pt>
                <c:pt idx="93">
                  <c:v>94</c:v>
                </c:pt>
                <c:pt idx="94">
                  <c:v>95</c:v>
                </c:pt>
                <c:pt idx="95">
                  <c:v>96.5</c:v>
                </c:pt>
                <c:pt idx="96">
                  <c:v>96.5</c:v>
                </c:pt>
                <c:pt idx="97">
                  <c:v>98</c:v>
                </c:pt>
                <c:pt idx="98">
                  <c:v>99</c:v>
                </c:pt>
                <c:pt idx="99">
                  <c:v>100</c:v>
                </c:pt>
                <c:pt idx="100">
                  <c:v>101.5</c:v>
                </c:pt>
                <c:pt idx="101">
                  <c:v>101.5</c:v>
                </c:pt>
                <c:pt idx="102">
                  <c:v>103</c:v>
                </c:pt>
                <c:pt idx="103">
                  <c:v>104</c:v>
                </c:pt>
                <c:pt idx="104">
                  <c:v>105</c:v>
                </c:pt>
                <c:pt idx="105">
                  <c:v>106</c:v>
                </c:pt>
                <c:pt idx="106">
                  <c:v>107</c:v>
                </c:pt>
                <c:pt idx="107">
                  <c:v>108</c:v>
                </c:pt>
                <c:pt idx="108">
                  <c:v>109</c:v>
                </c:pt>
                <c:pt idx="109">
                  <c:v>110</c:v>
                </c:pt>
                <c:pt idx="110">
                  <c:v>111</c:v>
                </c:pt>
                <c:pt idx="111">
                  <c:v>112</c:v>
                </c:pt>
                <c:pt idx="112">
                  <c:v>113</c:v>
                </c:pt>
                <c:pt idx="113">
                  <c:v>114</c:v>
                </c:pt>
                <c:pt idx="114">
                  <c:v>115</c:v>
                </c:pt>
                <c:pt idx="115">
                  <c:v>116.5</c:v>
                </c:pt>
                <c:pt idx="116">
                  <c:v>116.5</c:v>
                </c:pt>
                <c:pt idx="117">
                  <c:v>118</c:v>
                </c:pt>
                <c:pt idx="118">
                  <c:v>120.5</c:v>
                </c:pt>
                <c:pt idx="119">
                  <c:v>120.5</c:v>
                </c:pt>
                <c:pt idx="120">
                  <c:v>120.5</c:v>
                </c:pt>
                <c:pt idx="121">
                  <c:v>120.5</c:v>
                </c:pt>
                <c:pt idx="122">
                  <c:v>123</c:v>
                </c:pt>
                <c:pt idx="123">
                  <c:v>124</c:v>
                </c:pt>
                <c:pt idx="124">
                  <c:v>125</c:v>
                </c:pt>
                <c:pt idx="125">
                  <c:v>126</c:v>
                </c:pt>
                <c:pt idx="126">
                  <c:v>127</c:v>
                </c:pt>
                <c:pt idx="127">
                  <c:v>128</c:v>
                </c:pt>
                <c:pt idx="128">
                  <c:v>129</c:v>
                </c:pt>
                <c:pt idx="129">
                  <c:v>131</c:v>
                </c:pt>
                <c:pt idx="130">
                  <c:v>131</c:v>
                </c:pt>
                <c:pt idx="131">
                  <c:v>131</c:v>
                </c:pt>
                <c:pt idx="132">
                  <c:v>133</c:v>
                </c:pt>
                <c:pt idx="133">
                  <c:v>134</c:v>
                </c:pt>
                <c:pt idx="134">
                  <c:v>135</c:v>
                </c:pt>
                <c:pt idx="135">
                  <c:v>136</c:v>
                </c:pt>
                <c:pt idx="136">
                  <c:v>137</c:v>
                </c:pt>
                <c:pt idx="137">
                  <c:v>138</c:v>
                </c:pt>
                <c:pt idx="138">
                  <c:v>139</c:v>
                </c:pt>
                <c:pt idx="139">
                  <c:v>140</c:v>
                </c:pt>
                <c:pt idx="140">
                  <c:v>141</c:v>
                </c:pt>
                <c:pt idx="141">
                  <c:v>142</c:v>
                </c:pt>
                <c:pt idx="142">
                  <c:v>143</c:v>
                </c:pt>
                <c:pt idx="143">
                  <c:v>144</c:v>
                </c:pt>
                <c:pt idx="144">
                  <c:v>145</c:v>
                </c:pt>
                <c:pt idx="145">
                  <c:v>146</c:v>
                </c:pt>
                <c:pt idx="146">
                  <c:v>147</c:v>
                </c:pt>
                <c:pt idx="147">
                  <c:v>148</c:v>
                </c:pt>
                <c:pt idx="148">
                  <c:v>149</c:v>
                </c:pt>
                <c:pt idx="149">
                  <c:v>150.5</c:v>
                </c:pt>
                <c:pt idx="150">
                  <c:v>150.5</c:v>
                </c:pt>
                <c:pt idx="151">
                  <c:v>152</c:v>
                </c:pt>
                <c:pt idx="152">
                  <c:v>153</c:v>
                </c:pt>
                <c:pt idx="153">
                  <c:v>154</c:v>
                </c:pt>
                <c:pt idx="154">
                  <c:v>155</c:v>
                </c:pt>
                <c:pt idx="155">
                  <c:v>156</c:v>
                </c:pt>
                <c:pt idx="156">
                  <c:v>157</c:v>
                </c:pt>
                <c:pt idx="157">
                  <c:v>158.5</c:v>
                </c:pt>
                <c:pt idx="158">
                  <c:v>158.5</c:v>
                </c:pt>
                <c:pt idx="159">
                  <c:v>160</c:v>
                </c:pt>
                <c:pt idx="160">
                  <c:v>161</c:v>
                </c:pt>
                <c:pt idx="161">
                  <c:v>162</c:v>
                </c:pt>
                <c:pt idx="162">
                  <c:v>163</c:v>
                </c:pt>
                <c:pt idx="163">
                  <c:v>164</c:v>
                </c:pt>
                <c:pt idx="164">
                  <c:v>165</c:v>
                </c:pt>
                <c:pt idx="165">
                  <c:v>166</c:v>
                </c:pt>
                <c:pt idx="166">
                  <c:v>167</c:v>
                </c:pt>
                <c:pt idx="167">
                  <c:v>168</c:v>
                </c:pt>
                <c:pt idx="168">
                  <c:v>169.5</c:v>
                </c:pt>
                <c:pt idx="169">
                  <c:v>169.5</c:v>
                </c:pt>
                <c:pt idx="170">
                  <c:v>171</c:v>
                </c:pt>
                <c:pt idx="171">
                  <c:v>172</c:v>
                </c:pt>
                <c:pt idx="172">
                  <c:v>173</c:v>
                </c:pt>
                <c:pt idx="173">
                  <c:v>174</c:v>
                </c:pt>
                <c:pt idx="174">
                  <c:v>175</c:v>
                </c:pt>
                <c:pt idx="175">
                  <c:v>176</c:v>
                </c:pt>
                <c:pt idx="176">
                  <c:v>177</c:v>
                </c:pt>
                <c:pt idx="177">
                  <c:v>178</c:v>
                </c:pt>
                <c:pt idx="178">
                  <c:v>179</c:v>
                </c:pt>
                <c:pt idx="179">
                  <c:v>180</c:v>
                </c:pt>
                <c:pt idx="180">
                  <c:v>181</c:v>
                </c:pt>
                <c:pt idx="181">
                  <c:v>182</c:v>
                </c:pt>
                <c:pt idx="182">
                  <c:v>183</c:v>
                </c:pt>
                <c:pt idx="183">
                  <c:v>184</c:v>
                </c:pt>
                <c:pt idx="184">
                  <c:v>185</c:v>
                </c:pt>
                <c:pt idx="185">
                  <c:v>186.5</c:v>
                </c:pt>
                <c:pt idx="186">
                  <c:v>186.5</c:v>
                </c:pt>
                <c:pt idx="187">
                  <c:v>188</c:v>
                </c:pt>
                <c:pt idx="188">
                  <c:v>189</c:v>
                </c:pt>
                <c:pt idx="189">
                  <c:v>190</c:v>
                </c:pt>
                <c:pt idx="190">
                  <c:v>191.5</c:v>
                </c:pt>
                <c:pt idx="191">
                  <c:v>191.5</c:v>
                </c:pt>
                <c:pt idx="192">
                  <c:v>193</c:v>
                </c:pt>
                <c:pt idx="193">
                  <c:v>194</c:v>
                </c:pt>
                <c:pt idx="194">
                  <c:v>195</c:v>
                </c:pt>
                <c:pt idx="195">
                  <c:v>196</c:v>
                </c:pt>
                <c:pt idx="196">
                  <c:v>197</c:v>
                </c:pt>
                <c:pt idx="197">
                  <c:v>198</c:v>
                </c:pt>
                <c:pt idx="198">
                  <c:v>199</c:v>
                </c:pt>
                <c:pt idx="199">
                  <c:v>200</c:v>
                </c:pt>
                <c:pt idx="200">
                  <c:v>201</c:v>
                </c:pt>
                <c:pt idx="201">
                  <c:v>202</c:v>
                </c:pt>
                <c:pt idx="202">
                  <c:v>203</c:v>
                </c:pt>
                <c:pt idx="203">
                  <c:v>204</c:v>
                </c:pt>
                <c:pt idx="204">
                  <c:v>205</c:v>
                </c:pt>
                <c:pt idx="205">
                  <c:v>206</c:v>
                </c:pt>
                <c:pt idx="206">
                  <c:v>207</c:v>
                </c:pt>
                <c:pt idx="207">
                  <c:v>208</c:v>
                </c:pt>
                <c:pt idx="208">
                  <c:v>209</c:v>
                </c:pt>
                <c:pt idx="209">
                  <c:v>210</c:v>
                </c:pt>
                <c:pt idx="210">
                  <c:v>211</c:v>
                </c:pt>
                <c:pt idx="211">
                  <c:v>212</c:v>
                </c:pt>
                <c:pt idx="212">
                  <c:v>213</c:v>
                </c:pt>
                <c:pt idx="213">
                  <c:v>214</c:v>
                </c:pt>
                <c:pt idx="214">
                  <c:v>215</c:v>
                </c:pt>
                <c:pt idx="215">
                  <c:v>216</c:v>
                </c:pt>
                <c:pt idx="216">
                  <c:v>217</c:v>
                </c:pt>
                <c:pt idx="217">
                  <c:v>218</c:v>
                </c:pt>
                <c:pt idx="218">
                  <c:v>219</c:v>
                </c:pt>
                <c:pt idx="219">
                  <c:v>220</c:v>
                </c:pt>
                <c:pt idx="220">
                  <c:v>221</c:v>
                </c:pt>
                <c:pt idx="221">
                  <c:v>222</c:v>
                </c:pt>
                <c:pt idx="222">
                  <c:v>223</c:v>
                </c:pt>
                <c:pt idx="223">
                  <c:v>224</c:v>
                </c:pt>
                <c:pt idx="224">
                  <c:v>226</c:v>
                </c:pt>
                <c:pt idx="225">
                  <c:v>226</c:v>
                </c:pt>
                <c:pt idx="226">
                  <c:v>226</c:v>
                </c:pt>
                <c:pt idx="227">
                  <c:v>228</c:v>
                </c:pt>
                <c:pt idx="228">
                  <c:v>229</c:v>
                </c:pt>
                <c:pt idx="229">
                  <c:v>230</c:v>
                </c:pt>
                <c:pt idx="230">
                  <c:v>231</c:v>
                </c:pt>
                <c:pt idx="231">
                  <c:v>232</c:v>
                </c:pt>
                <c:pt idx="232">
                  <c:v>233</c:v>
                </c:pt>
                <c:pt idx="233">
                  <c:v>234</c:v>
                </c:pt>
                <c:pt idx="234">
                  <c:v>235</c:v>
                </c:pt>
                <c:pt idx="235">
                  <c:v>236</c:v>
                </c:pt>
                <c:pt idx="236">
                  <c:v>237</c:v>
                </c:pt>
                <c:pt idx="237">
                  <c:v>238</c:v>
                </c:pt>
                <c:pt idx="238">
                  <c:v>239</c:v>
                </c:pt>
                <c:pt idx="239">
                  <c:v>240</c:v>
                </c:pt>
                <c:pt idx="240">
                  <c:v>241</c:v>
                </c:pt>
                <c:pt idx="241">
                  <c:v>242</c:v>
                </c:pt>
                <c:pt idx="242">
                  <c:v>243</c:v>
                </c:pt>
                <c:pt idx="243">
                  <c:v>244</c:v>
                </c:pt>
                <c:pt idx="244">
                  <c:v>245</c:v>
                </c:pt>
                <c:pt idx="245">
                  <c:v>246.5</c:v>
                </c:pt>
                <c:pt idx="246">
                  <c:v>246.5</c:v>
                </c:pt>
                <c:pt idx="247">
                  <c:v>248</c:v>
                </c:pt>
                <c:pt idx="248">
                  <c:v>249</c:v>
                </c:pt>
                <c:pt idx="249">
                  <c:v>250</c:v>
                </c:pt>
                <c:pt idx="250">
                  <c:v>251</c:v>
                </c:pt>
                <c:pt idx="251">
                  <c:v>252</c:v>
                </c:pt>
                <c:pt idx="252">
                  <c:v>253</c:v>
                </c:pt>
                <c:pt idx="253">
                  <c:v>254.5</c:v>
                </c:pt>
                <c:pt idx="254">
                  <c:v>254.5</c:v>
                </c:pt>
                <c:pt idx="255">
                  <c:v>256</c:v>
                </c:pt>
                <c:pt idx="256">
                  <c:v>257</c:v>
                </c:pt>
                <c:pt idx="257">
                  <c:v>258</c:v>
                </c:pt>
                <c:pt idx="258">
                  <c:v>259</c:v>
                </c:pt>
                <c:pt idx="259">
                  <c:v>260.5</c:v>
                </c:pt>
                <c:pt idx="260">
                  <c:v>260.5</c:v>
                </c:pt>
                <c:pt idx="261">
                  <c:v>262</c:v>
                </c:pt>
                <c:pt idx="262">
                  <c:v>263</c:v>
                </c:pt>
                <c:pt idx="263">
                  <c:v>264</c:v>
                </c:pt>
                <c:pt idx="264">
                  <c:v>265</c:v>
                </c:pt>
                <c:pt idx="265">
                  <c:v>266</c:v>
                </c:pt>
                <c:pt idx="266">
                  <c:v>267</c:v>
                </c:pt>
                <c:pt idx="267">
                  <c:v>268</c:v>
                </c:pt>
                <c:pt idx="268">
                  <c:v>269</c:v>
                </c:pt>
                <c:pt idx="269">
                  <c:v>270.5</c:v>
                </c:pt>
                <c:pt idx="270">
                  <c:v>270.5</c:v>
                </c:pt>
                <c:pt idx="271">
                  <c:v>272</c:v>
                </c:pt>
                <c:pt idx="272">
                  <c:v>273</c:v>
                </c:pt>
                <c:pt idx="273">
                  <c:v>274</c:v>
                </c:pt>
                <c:pt idx="274">
                  <c:v>275</c:v>
                </c:pt>
                <c:pt idx="275">
                  <c:v>276</c:v>
                </c:pt>
                <c:pt idx="276">
                  <c:v>277</c:v>
                </c:pt>
                <c:pt idx="277">
                  <c:v>278</c:v>
                </c:pt>
                <c:pt idx="278">
                  <c:v>279</c:v>
                </c:pt>
                <c:pt idx="279">
                  <c:v>280</c:v>
                </c:pt>
                <c:pt idx="280">
                  <c:v>281</c:v>
                </c:pt>
                <c:pt idx="281">
                  <c:v>282</c:v>
                </c:pt>
                <c:pt idx="282">
                  <c:v>283</c:v>
                </c:pt>
                <c:pt idx="283">
                  <c:v>284</c:v>
                </c:pt>
                <c:pt idx="284">
                  <c:v>285</c:v>
                </c:pt>
                <c:pt idx="285">
                  <c:v>286</c:v>
                </c:pt>
                <c:pt idx="286">
                  <c:v>287</c:v>
                </c:pt>
                <c:pt idx="287">
                  <c:v>288</c:v>
                </c:pt>
                <c:pt idx="288">
                  <c:v>289</c:v>
                </c:pt>
                <c:pt idx="289">
                  <c:v>290</c:v>
                </c:pt>
                <c:pt idx="290">
                  <c:v>291</c:v>
                </c:pt>
                <c:pt idx="291">
                  <c:v>293</c:v>
                </c:pt>
                <c:pt idx="292">
                  <c:v>293</c:v>
                </c:pt>
                <c:pt idx="293">
                  <c:v>293</c:v>
                </c:pt>
                <c:pt idx="294">
                  <c:v>295</c:v>
                </c:pt>
                <c:pt idx="295">
                  <c:v>296</c:v>
                </c:pt>
                <c:pt idx="296">
                  <c:v>297</c:v>
                </c:pt>
                <c:pt idx="297">
                  <c:v>298</c:v>
                </c:pt>
                <c:pt idx="298">
                  <c:v>299</c:v>
                </c:pt>
                <c:pt idx="299">
                  <c:v>300</c:v>
                </c:pt>
                <c:pt idx="300">
                  <c:v>301</c:v>
                </c:pt>
                <c:pt idx="301">
                  <c:v>302</c:v>
                </c:pt>
                <c:pt idx="302">
                  <c:v>303</c:v>
                </c:pt>
                <c:pt idx="303">
                  <c:v>305</c:v>
                </c:pt>
                <c:pt idx="304">
                  <c:v>305</c:v>
                </c:pt>
                <c:pt idx="305">
                  <c:v>305</c:v>
                </c:pt>
                <c:pt idx="306">
                  <c:v>307</c:v>
                </c:pt>
                <c:pt idx="307">
                  <c:v>308</c:v>
                </c:pt>
                <c:pt idx="308">
                  <c:v>309.5</c:v>
                </c:pt>
                <c:pt idx="309">
                  <c:v>309.5</c:v>
                </c:pt>
                <c:pt idx="310">
                  <c:v>311</c:v>
                </c:pt>
                <c:pt idx="311">
                  <c:v>312</c:v>
                </c:pt>
                <c:pt idx="312">
                  <c:v>313</c:v>
                </c:pt>
                <c:pt idx="313">
                  <c:v>314</c:v>
                </c:pt>
                <c:pt idx="314">
                  <c:v>315.5</c:v>
                </c:pt>
                <c:pt idx="315">
                  <c:v>315.5</c:v>
                </c:pt>
                <c:pt idx="316">
                  <c:v>317</c:v>
                </c:pt>
                <c:pt idx="317">
                  <c:v>318</c:v>
                </c:pt>
                <c:pt idx="318">
                  <c:v>319</c:v>
                </c:pt>
                <c:pt idx="319">
                  <c:v>320</c:v>
                </c:pt>
                <c:pt idx="320">
                  <c:v>321</c:v>
                </c:pt>
                <c:pt idx="321">
                  <c:v>322</c:v>
                </c:pt>
                <c:pt idx="322">
                  <c:v>323</c:v>
                </c:pt>
                <c:pt idx="323">
                  <c:v>324</c:v>
                </c:pt>
                <c:pt idx="324">
                  <c:v>325</c:v>
                </c:pt>
                <c:pt idx="325">
                  <c:v>326</c:v>
                </c:pt>
                <c:pt idx="326">
                  <c:v>327</c:v>
                </c:pt>
                <c:pt idx="327">
                  <c:v>328.5</c:v>
                </c:pt>
                <c:pt idx="328">
                  <c:v>328.5</c:v>
                </c:pt>
                <c:pt idx="329">
                  <c:v>330</c:v>
                </c:pt>
                <c:pt idx="330">
                  <c:v>331</c:v>
                </c:pt>
                <c:pt idx="331">
                  <c:v>332</c:v>
                </c:pt>
                <c:pt idx="332">
                  <c:v>333</c:v>
                </c:pt>
                <c:pt idx="333">
                  <c:v>334</c:v>
                </c:pt>
                <c:pt idx="334">
                  <c:v>335</c:v>
                </c:pt>
                <c:pt idx="335">
                  <c:v>338</c:v>
                </c:pt>
                <c:pt idx="336">
                  <c:v>338</c:v>
                </c:pt>
                <c:pt idx="337">
                  <c:v>338</c:v>
                </c:pt>
                <c:pt idx="338">
                  <c:v>338</c:v>
                </c:pt>
                <c:pt idx="339">
                  <c:v>338</c:v>
                </c:pt>
                <c:pt idx="340">
                  <c:v>341</c:v>
                </c:pt>
                <c:pt idx="341">
                  <c:v>342</c:v>
                </c:pt>
                <c:pt idx="342">
                  <c:v>343</c:v>
                </c:pt>
                <c:pt idx="343">
                  <c:v>344</c:v>
                </c:pt>
                <c:pt idx="344">
                  <c:v>345</c:v>
                </c:pt>
                <c:pt idx="345">
                  <c:v>346</c:v>
                </c:pt>
                <c:pt idx="346">
                  <c:v>347</c:v>
                </c:pt>
                <c:pt idx="347">
                  <c:v>348</c:v>
                </c:pt>
                <c:pt idx="348">
                  <c:v>349</c:v>
                </c:pt>
                <c:pt idx="349">
                  <c:v>350</c:v>
                </c:pt>
                <c:pt idx="350">
                  <c:v>351</c:v>
                </c:pt>
                <c:pt idx="351">
                  <c:v>352</c:v>
                </c:pt>
                <c:pt idx="352">
                  <c:v>353</c:v>
                </c:pt>
                <c:pt idx="353">
                  <c:v>354</c:v>
                </c:pt>
                <c:pt idx="354">
                  <c:v>355</c:v>
                </c:pt>
                <c:pt idx="355">
                  <c:v>356</c:v>
                </c:pt>
                <c:pt idx="356">
                  <c:v>357</c:v>
                </c:pt>
                <c:pt idx="357">
                  <c:v>358</c:v>
                </c:pt>
                <c:pt idx="358">
                  <c:v>359</c:v>
                </c:pt>
                <c:pt idx="359">
                  <c:v>360</c:v>
                </c:pt>
                <c:pt idx="360">
                  <c:v>361</c:v>
                </c:pt>
                <c:pt idx="361">
                  <c:v>362</c:v>
                </c:pt>
                <c:pt idx="362">
                  <c:v>363</c:v>
                </c:pt>
                <c:pt idx="363">
                  <c:v>364</c:v>
                </c:pt>
                <c:pt idx="364">
                  <c:v>365</c:v>
                </c:pt>
                <c:pt idx="365">
                  <c:v>367</c:v>
                </c:pt>
                <c:pt idx="366">
                  <c:v>367</c:v>
                </c:pt>
                <c:pt idx="367">
                  <c:v>367</c:v>
                </c:pt>
                <c:pt idx="368">
                  <c:v>369</c:v>
                </c:pt>
                <c:pt idx="369">
                  <c:v>370</c:v>
                </c:pt>
                <c:pt idx="370">
                  <c:v>371</c:v>
                </c:pt>
                <c:pt idx="371">
                  <c:v>372</c:v>
                </c:pt>
                <c:pt idx="372">
                  <c:v>373</c:v>
                </c:pt>
                <c:pt idx="373">
                  <c:v>374</c:v>
                </c:pt>
                <c:pt idx="374">
                  <c:v>375</c:v>
                </c:pt>
                <c:pt idx="375">
                  <c:v>376</c:v>
                </c:pt>
                <c:pt idx="376">
                  <c:v>377</c:v>
                </c:pt>
                <c:pt idx="377">
                  <c:v>378</c:v>
                </c:pt>
                <c:pt idx="378">
                  <c:v>379</c:v>
                </c:pt>
                <c:pt idx="379">
                  <c:v>380</c:v>
                </c:pt>
                <c:pt idx="380">
                  <c:v>381</c:v>
                </c:pt>
                <c:pt idx="381">
                  <c:v>382</c:v>
                </c:pt>
                <c:pt idx="382">
                  <c:v>383</c:v>
                </c:pt>
                <c:pt idx="383">
                  <c:v>384</c:v>
                </c:pt>
                <c:pt idx="384">
                  <c:v>385</c:v>
                </c:pt>
                <c:pt idx="385">
                  <c:v>386</c:v>
                </c:pt>
                <c:pt idx="386">
                  <c:v>387</c:v>
                </c:pt>
                <c:pt idx="387">
                  <c:v>388</c:v>
                </c:pt>
                <c:pt idx="388">
                  <c:v>389</c:v>
                </c:pt>
                <c:pt idx="389">
                  <c:v>390</c:v>
                </c:pt>
                <c:pt idx="390">
                  <c:v>391</c:v>
                </c:pt>
                <c:pt idx="391">
                  <c:v>392</c:v>
                </c:pt>
                <c:pt idx="392">
                  <c:v>393</c:v>
                </c:pt>
                <c:pt idx="393">
                  <c:v>394</c:v>
                </c:pt>
              </c:numCache>
            </c:numRef>
          </c:yVal>
          <c:smooth val="0"/>
          <c:extLst>
            <c:ext xmlns:c16="http://schemas.microsoft.com/office/drawing/2014/chart" uri="{C3380CC4-5D6E-409C-BE32-E72D297353CC}">
              <c16:uniqueId val="{00000000-8986-4F26-8E87-658AA49F225B}"/>
            </c:ext>
          </c:extLst>
        </c:ser>
        <c:ser>
          <c:idx val="1"/>
          <c:order val="1"/>
          <c:tx>
            <c:strRef>
              <c:f>'Diabetes Data'!$C$1</c:f>
              <c:strCache>
                <c:ptCount val="1"/>
                <c:pt idx="0">
                  <c:v>Risk-Adjusted</c:v>
                </c:pt>
              </c:strCache>
            </c:strRef>
          </c:tx>
          <c:spPr>
            <a:ln w="25400" cap="flat" cmpd="sng" algn="ctr">
              <a:noFill/>
              <a:prstDash val="sysDot"/>
              <a:round/>
            </a:ln>
            <a:effectLst>
              <a:outerShdw blurRad="40000" dist="20000" dir="5400000" rotWithShape="0">
                <a:srgbClr val="000000">
                  <a:alpha val="38000"/>
                </a:srgbClr>
              </a:outerShdw>
            </a:effectLst>
          </c:spPr>
          <c:marker>
            <c:symbol val="circle"/>
            <c:size val="5"/>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chemeClr>
                </a:solidFill>
                <a:round/>
              </a:ln>
              <a:effectLst>
                <a:outerShdw blurRad="40000" dist="20000" dir="5400000" rotWithShape="0">
                  <a:srgbClr val="000000">
                    <a:alpha val="38000"/>
                  </a:srgbClr>
                </a:outerShdw>
              </a:effectLst>
            </c:spPr>
          </c:marker>
          <c:xVal>
            <c:numRef>
              <c:f>'Diabetes Data'!$A$2:$A$395</c:f>
              <c:numCache>
                <c:formatCode>General</c:formatCode>
                <c:ptCount val="39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pt idx="100">
                  <c:v>101</c:v>
                </c:pt>
                <c:pt idx="101">
                  <c:v>102</c:v>
                </c:pt>
                <c:pt idx="102">
                  <c:v>103</c:v>
                </c:pt>
                <c:pt idx="103">
                  <c:v>104</c:v>
                </c:pt>
                <c:pt idx="104">
                  <c:v>105</c:v>
                </c:pt>
                <c:pt idx="105">
                  <c:v>106</c:v>
                </c:pt>
                <c:pt idx="106">
                  <c:v>107</c:v>
                </c:pt>
                <c:pt idx="107">
                  <c:v>108</c:v>
                </c:pt>
                <c:pt idx="108">
                  <c:v>109</c:v>
                </c:pt>
                <c:pt idx="109">
                  <c:v>110</c:v>
                </c:pt>
                <c:pt idx="110">
                  <c:v>111</c:v>
                </c:pt>
                <c:pt idx="111">
                  <c:v>112</c:v>
                </c:pt>
                <c:pt idx="112">
                  <c:v>113</c:v>
                </c:pt>
                <c:pt idx="113">
                  <c:v>114</c:v>
                </c:pt>
                <c:pt idx="114">
                  <c:v>115</c:v>
                </c:pt>
                <c:pt idx="115">
                  <c:v>116</c:v>
                </c:pt>
                <c:pt idx="116">
                  <c:v>117</c:v>
                </c:pt>
                <c:pt idx="117">
                  <c:v>118</c:v>
                </c:pt>
                <c:pt idx="118">
                  <c:v>119</c:v>
                </c:pt>
                <c:pt idx="119">
                  <c:v>120</c:v>
                </c:pt>
                <c:pt idx="120">
                  <c:v>121</c:v>
                </c:pt>
                <c:pt idx="121">
                  <c:v>122</c:v>
                </c:pt>
                <c:pt idx="122">
                  <c:v>123</c:v>
                </c:pt>
                <c:pt idx="123">
                  <c:v>124</c:v>
                </c:pt>
                <c:pt idx="124">
                  <c:v>125</c:v>
                </c:pt>
                <c:pt idx="125">
                  <c:v>126</c:v>
                </c:pt>
                <c:pt idx="126">
                  <c:v>127</c:v>
                </c:pt>
                <c:pt idx="127">
                  <c:v>128</c:v>
                </c:pt>
                <c:pt idx="128">
                  <c:v>129</c:v>
                </c:pt>
                <c:pt idx="129">
                  <c:v>130</c:v>
                </c:pt>
                <c:pt idx="130">
                  <c:v>131</c:v>
                </c:pt>
                <c:pt idx="131">
                  <c:v>132</c:v>
                </c:pt>
                <c:pt idx="132">
                  <c:v>133</c:v>
                </c:pt>
                <c:pt idx="133">
                  <c:v>134</c:v>
                </c:pt>
                <c:pt idx="134">
                  <c:v>135</c:v>
                </c:pt>
                <c:pt idx="135">
                  <c:v>136</c:v>
                </c:pt>
                <c:pt idx="136">
                  <c:v>137</c:v>
                </c:pt>
                <c:pt idx="137">
                  <c:v>138</c:v>
                </c:pt>
                <c:pt idx="138">
                  <c:v>139</c:v>
                </c:pt>
                <c:pt idx="139">
                  <c:v>140</c:v>
                </c:pt>
                <c:pt idx="140">
                  <c:v>141</c:v>
                </c:pt>
                <c:pt idx="141">
                  <c:v>142</c:v>
                </c:pt>
                <c:pt idx="142">
                  <c:v>143</c:v>
                </c:pt>
                <c:pt idx="143">
                  <c:v>144</c:v>
                </c:pt>
                <c:pt idx="144">
                  <c:v>145</c:v>
                </c:pt>
                <c:pt idx="145">
                  <c:v>146</c:v>
                </c:pt>
                <c:pt idx="146">
                  <c:v>147</c:v>
                </c:pt>
                <c:pt idx="147">
                  <c:v>148</c:v>
                </c:pt>
                <c:pt idx="148">
                  <c:v>149</c:v>
                </c:pt>
                <c:pt idx="149">
                  <c:v>150</c:v>
                </c:pt>
                <c:pt idx="150">
                  <c:v>151</c:v>
                </c:pt>
                <c:pt idx="151">
                  <c:v>152</c:v>
                </c:pt>
                <c:pt idx="152">
                  <c:v>153</c:v>
                </c:pt>
                <c:pt idx="153">
                  <c:v>154</c:v>
                </c:pt>
                <c:pt idx="154">
                  <c:v>155</c:v>
                </c:pt>
                <c:pt idx="155">
                  <c:v>156</c:v>
                </c:pt>
                <c:pt idx="156">
                  <c:v>157</c:v>
                </c:pt>
                <c:pt idx="157">
                  <c:v>158</c:v>
                </c:pt>
                <c:pt idx="158">
                  <c:v>159</c:v>
                </c:pt>
                <c:pt idx="159">
                  <c:v>160</c:v>
                </c:pt>
                <c:pt idx="160">
                  <c:v>161</c:v>
                </c:pt>
                <c:pt idx="161">
                  <c:v>162</c:v>
                </c:pt>
                <c:pt idx="162">
                  <c:v>163</c:v>
                </c:pt>
                <c:pt idx="163">
                  <c:v>164</c:v>
                </c:pt>
                <c:pt idx="164">
                  <c:v>165</c:v>
                </c:pt>
                <c:pt idx="165">
                  <c:v>166</c:v>
                </c:pt>
                <c:pt idx="166">
                  <c:v>167</c:v>
                </c:pt>
                <c:pt idx="167">
                  <c:v>168</c:v>
                </c:pt>
                <c:pt idx="168">
                  <c:v>169</c:v>
                </c:pt>
                <c:pt idx="169">
                  <c:v>170</c:v>
                </c:pt>
                <c:pt idx="170">
                  <c:v>171</c:v>
                </c:pt>
                <c:pt idx="171">
                  <c:v>172</c:v>
                </c:pt>
                <c:pt idx="172">
                  <c:v>173</c:v>
                </c:pt>
                <c:pt idx="173">
                  <c:v>174</c:v>
                </c:pt>
                <c:pt idx="174">
                  <c:v>175</c:v>
                </c:pt>
                <c:pt idx="175">
                  <c:v>176</c:v>
                </c:pt>
                <c:pt idx="176">
                  <c:v>177</c:v>
                </c:pt>
                <c:pt idx="177">
                  <c:v>178</c:v>
                </c:pt>
                <c:pt idx="178">
                  <c:v>179</c:v>
                </c:pt>
                <c:pt idx="179">
                  <c:v>180</c:v>
                </c:pt>
                <c:pt idx="180">
                  <c:v>181</c:v>
                </c:pt>
                <c:pt idx="181">
                  <c:v>182</c:v>
                </c:pt>
                <c:pt idx="182">
                  <c:v>183</c:v>
                </c:pt>
                <c:pt idx="183">
                  <c:v>184</c:v>
                </c:pt>
                <c:pt idx="184">
                  <c:v>185</c:v>
                </c:pt>
                <c:pt idx="185">
                  <c:v>186</c:v>
                </c:pt>
                <c:pt idx="186">
                  <c:v>187</c:v>
                </c:pt>
                <c:pt idx="187">
                  <c:v>188</c:v>
                </c:pt>
                <c:pt idx="188">
                  <c:v>189</c:v>
                </c:pt>
                <c:pt idx="189">
                  <c:v>190</c:v>
                </c:pt>
                <c:pt idx="190">
                  <c:v>191</c:v>
                </c:pt>
                <c:pt idx="191">
                  <c:v>192</c:v>
                </c:pt>
                <c:pt idx="192">
                  <c:v>193</c:v>
                </c:pt>
                <c:pt idx="193">
                  <c:v>194</c:v>
                </c:pt>
                <c:pt idx="194">
                  <c:v>195</c:v>
                </c:pt>
                <c:pt idx="195">
                  <c:v>196</c:v>
                </c:pt>
                <c:pt idx="196">
                  <c:v>197</c:v>
                </c:pt>
                <c:pt idx="197">
                  <c:v>198</c:v>
                </c:pt>
                <c:pt idx="198">
                  <c:v>199</c:v>
                </c:pt>
                <c:pt idx="199">
                  <c:v>200</c:v>
                </c:pt>
                <c:pt idx="200">
                  <c:v>201</c:v>
                </c:pt>
                <c:pt idx="201">
                  <c:v>202</c:v>
                </c:pt>
                <c:pt idx="202">
                  <c:v>203</c:v>
                </c:pt>
                <c:pt idx="203">
                  <c:v>204</c:v>
                </c:pt>
                <c:pt idx="204">
                  <c:v>205</c:v>
                </c:pt>
                <c:pt idx="205">
                  <c:v>206</c:v>
                </c:pt>
                <c:pt idx="206">
                  <c:v>207</c:v>
                </c:pt>
                <c:pt idx="207">
                  <c:v>208</c:v>
                </c:pt>
                <c:pt idx="208">
                  <c:v>209</c:v>
                </c:pt>
                <c:pt idx="209">
                  <c:v>210</c:v>
                </c:pt>
                <c:pt idx="210">
                  <c:v>211</c:v>
                </c:pt>
                <c:pt idx="211">
                  <c:v>212</c:v>
                </c:pt>
                <c:pt idx="212">
                  <c:v>213</c:v>
                </c:pt>
                <c:pt idx="213">
                  <c:v>214</c:v>
                </c:pt>
                <c:pt idx="214">
                  <c:v>215</c:v>
                </c:pt>
                <c:pt idx="215">
                  <c:v>216</c:v>
                </c:pt>
                <c:pt idx="216">
                  <c:v>217</c:v>
                </c:pt>
                <c:pt idx="217">
                  <c:v>218</c:v>
                </c:pt>
                <c:pt idx="218">
                  <c:v>219</c:v>
                </c:pt>
                <c:pt idx="219">
                  <c:v>220</c:v>
                </c:pt>
                <c:pt idx="220">
                  <c:v>221</c:v>
                </c:pt>
                <c:pt idx="221">
                  <c:v>222</c:v>
                </c:pt>
                <c:pt idx="222">
                  <c:v>223</c:v>
                </c:pt>
                <c:pt idx="223">
                  <c:v>224</c:v>
                </c:pt>
                <c:pt idx="224">
                  <c:v>225</c:v>
                </c:pt>
                <c:pt idx="225">
                  <c:v>226</c:v>
                </c:pt>
                <c:pt idx="226">
                  <c:v>227</c:v>
                </c:pt>
                <c:pt idx="227">
                  <c:v>228</c:v>
                </c:pt>
                <c:pt idx="228">
                  <c:v>229</c:v>
                </c:pt>
                <c:pt idx="229">
                  <c:v>230</c:v>
                </c:pt>
                <c:pt idx="230">
                  <c:v>231</c:v>
                </c:pt>
                <c:pt idx="231">
                  <c:v>232</c:v>
                </c:pt>
                <c:pt idx="232">
                  <c:v>233</c:v>
                </c:pt>
                <c:pt idx="233">
                  <c:v>234</c:v>
                </c:pt>
                <c:pt idx="234">
                  <c:v>235</c:v>
                </c:pt>
                <c:pt idx="235">
                  <c:v>236</c:v>
                </c:pt>
                <c:pt idx="236">
                  <c:v>237</c:v>
                </c:pt>
                <c:pt idx="237">
                  <c:v>238</c:v>
                </c:pt>
                <c:pt idx="238">
                  <c:v>239</c:v>
                </c:pt>
                <c:pt idx="239">
                  <c:v>240</c:v>
                </c:pt>
                <c:pt idx="240">
                  <c:v>241</c:v>
                </c:pt>
                <c:pt idx="241">
                  <c:v>242</c:v>
                </c:pt>
                <c:pt idx="242">
                  <c:v>243</c:v>
                </c:pt>
                <c:pt idx="243">
                  <c:v>244</c:v>
                </c:pt>
                <c:pt idx="244">
                  <c:v>245</c:v>
                </c:pt>
                <c:pt idx="245">
                  <c:v>246</c:v>
                </c:pt>
                <c:pt idx="246">
                  <c:v>247</c:v>
                </c:pt>
                <c:pt idx="247">
                  <c:v>248</c:v>
                </c:pt>
                <c:pt idx="248">
                  <c:v>249</c:v>
                </c:pt>
                <c:pt idx="249">
                  <c:v>250</c:v>
                </c:pt>
                <c:pt idx="250">
                  <c:v>251</c:v>
                </c:pt>
                <c:pt idx="251">
                  <c:v>252</c:v>
                </c:pt>
                <c:pt idx="252">
                  <c:v>253</c:v>
                </c:pt>
                <c:pt idx="253">
                  <c:v>254</c:v>
                </c:pt>
                <c:pt idx="254">
                  <c:v>255</c:v>
                </c:pt>
                <c:pt idx="255">
                  <c:v>256</c:v>
                </c:pt>
                <c:pt idx="256">
                  <c:v>257</c:v>
                </c:pt>
                <c:pt idx="257">
                  <c:v>258</c:v>
                </c:pt>
                <c:pt idx="258">
                  <c:v>259</c:v>
                </c:pt>
                <c:pt idx="259">
                  <c:v>260</c:v>
                </c:pt>
                <c:pt idx="260">
                  <c:v>261</c:v>
                </c:pt>
                <c:pt idx="261">
                  <c:v>262</c:v>
                </c:pt>
                <c:pt idx="262">
                  <c:v>263</c:v>
                </c:pt>
                <c:pt idx="263">
                  <c:v>264</c:v>
                </c:pt>
                <c:pt idx="264">
                  <c:v>265</c:v>
                </c:pt>
                <c:pt idx="265">
                  <c:v>266</c:v>
                </c:pt>
                <c:pt idx="266">
                  <c:v>267</c:v>
                </c:pt>
                <c:pt idx="267">
                  <c:v>268</c:v>
                </c:pt>
                <c:pt idx="268">
                  <c:v>269</c:v>
                </c:pt>
                <c:pt idx="269">
                  <c:v>270</c:v>
                </c:pt>
                <c:pt idx="270">
                  <c:v>271</c:v>
                </c:pt>
                <c:pt idx="271">
                  <c:v>272</c:v>
                </c:pt>
                <c:pt idx="272">
                  <c:v>273</c:v>
                </c:pt>
                <c:pt idx="273">
                  <c:v>274</c:v>
                </c:pt>
                <c:pt idx="274">
                  <c:v>275</c:v>
                </c:pt>
                <c:pt idx="275">
                  <c:v>276</c:v>
                </c:pt>
                <c:pt idx="276">
                  <c:v>277</c:v>
                </c:pt>
                <c:pt idx="277">
                  <c:v>278</c:v>
                </c:pt>
                <c:pt idx="278">
                  <c:v>279</c:v>
                </c:pt>
                <c:pt idx="279">
                  <c:v>280</c:v>
                </c:pt>
                <c:pt idx="280">
                  <c:v>281</c:v>
                </c:pt>
                <c:pt idx="281">
                  <c:v>282</c:v>
                </c:pt>
                <c:pt idx="282">
                  <c:v>283</c:v>
                </c:pt>
                <c:pt idx="283">
                  <c:v>284</c:v>
                </c:pt>
                <c:pt idx="284">
                  <c:v>285</c:v>
                </c:pt>
                <c:pt idx="285">
                  <c:v>286</c:v>
                </c:pt>
                <c:pt idx="286">
                  <c:v>287</c:v>
                </c:pt>
                <c:pt idx="287">
                  <c:v>288</c:v>
                </c:pt>
                <c:pt idx="288">
                  <c:v>289</c:v>
                </c:pt>
                <c:pt idx="289">
                  <c:v>290</c:v>
                </c:pt>
                <c:pt idx="290">
                  <c:v>291</c:v>
                </c:pt>
                <c:pt idx="291">
                  <c:v>292</c:v>
                </c:pt>
                <c:pt idx="292">
                  <c:v>293</c:v>
                </c:pt>
                <c:pt idx="293">
                  <c:v>294</c:v>
                </c:pt>
                <c:pt idx="294">
                  <c:v>295</c:v>
                </c:pt>
                <c:pt idx="295">
                  <c:v>296</c:v>
                </c:pt>
                <c:pt idx="296">
                  <c:v>297</c:v>
                </c:pt>
                <c:pt idx="297">
                  <c:v>298</c:v>
                </c:pt>
                <c:pt idx="298">
                  <c:v>299</c:v>
                </c:pt>
                <c:pt idx="299">
                  <c:v>300</c:v>
                </c:pt>
                <c:pt idx="300">
                  <c:v>301</c:v>
                </c:pt>
                <c:pt idx="301">
                  <c:v>302</c:v>
                </c:pt>
                <c:pt idx="302">
                  <c:v>303</c:v>
                </c:pt>
                <c:pt idx="303">
                  <c:v>304</c:v>
                </c:pt>
                <c:pt idx="304">
                  <c:v>305</c:v>
                </c:pt>
                <c:pt idx="305">
                  <c:v>306</c:v>
                </c:pt>
                <c:pt idx="306">
                  <c:v>307</c:v>
                </c:pt>
                <c:pt idx="307">
                  <c:v>308</c:v>
                </c:pt>
                <c:pt idx="308">
                  <c:v>309</c:v>
                </c:pt>
                <c:pt idx="309">
                  <c:v>310</c:v>
                </c:pt>
                <c:pt idx="310">
                  <c:v>311</c:v>
                </c:pt>
                <c:pt idx="311">
                  <c:v>312</c:v>
                </c:pt>
                <c:pt idx="312">
                  <c:v>313</c:v>
                </c:pt>
                <c:pt idx="313">
                  <c:v>314</c:v>
                </c:pt>
                <c:pt idx="314">
                  <c:v>315</c:v>
                </c:pt>
                <c:pt idx="315">
                  <c:v>316</c:v>
                </c:pt>
                <c:pt idx="316">
                  <c:v>317</c:v>
                </c:pt>
                <c:pt idx="317">
                  <c:v>318</c:v>
                </c:pt>
                <c:pt idx="318">
                  <c:v>319</c:v>
                </c:pt>
                <c:pt idx="319">
                  <c:v>320</c:v>
                </c:pt>
                <c:pt idx="320">
                  <c:v>321</c:v>
                </c:pt>
                <c:pt idx="321">
                  <c:v>322</c:v>
                </c:pt>
                <c:pt idx="322">
                  <c:v>323</c:v>
                </c:pt>
                <c:pt idx="323">
                  <c:v>324</c:v>
                </c:pt>
                <c:pt idx="324">
                  <c:v>325</c:v>
                </c:pt>
                <c:pt idx="325">
                  <c:v>326</c:v>
                </c:pt>
                <c:pt idx="326">
                  <c:v>327</c:v>
                </c:pt>
                <c:pt idx="327">
                  <c:v>328</c:v>
                </c:pt>
                <c:pt idx="328">
                  <c:v>329</c:v>
                </c:pt>
                <c:pt idx="329">
                  <c:v>330</c:v>
                </c:pt>
                <c:pt idx="330">
                  <c:v>331</c:v>
                </c:pt>
                <c:pt idx="331">
                  <c:v>332</c:v>
                </c:pt>
                <c:pt idx="332">
                  <c:v>333</c:v>
                </c:pt>
                <c:pt idx="333">
                  <c:v>334</c:v>
                </c:pt>
                <c:pt idx="334">
                  <c:v>335</c:v>
                </c:pt>
                <c:pt idx="335">
                  <c:v>336</c:v>
                </c:pt>
                <c:pt idx="336">
                  <c:v>337</c:v>
                </c:pt>
                <c:pt idx="337">
                  <c:v>338</c:v>
                </c:pt>
                <c:pt idx="338">
                  <c:v>339</c:v>
                </c:pt>
                <c:pt idx="339">
                  <c:v>340</c:v>
                </c:pt>
                <c:pt idx="340">
                  <c:v>341</c:v>
                </c:pt>
                <c:pt idx="341">
                  <c:v>342</c:v>
                </c:pt>
                <c:pt idx="342">
                  <c:v>343</c:v>
                </c:pt>
                <c:pt idx="343">
                  <c:v>344</c:v>
                </c:pt>
                <c:pt idx="344">
                  <c:v>345</c:v>
                </c:pt>
                <c:pt idx="345">
                  <c:v>346</c:v>
                </c:pt>
                <c:pt idx="346">
                  <c:v>347</c:v>
                </c:pt>
                <c:pt idx="347">
                  <c:v>348</c:v>
                </c:pt>
                <c:pt idx="348">
                  <c:v>349</c:v>
                </c:pt>
                <c:pt idx="349">
                  <c:v>350</c:v>
                </c:pt>
                <c:pt idx="350">
                  <c:v>351</c:v>
                </c:pt>
                <c:pt idx="351">
                  <c:v>352</c:v>
                </c:pt>
                <c:pt idx="352">
                  <c:v>353</c:v>
                </c:pt>
                <c:pt idx="353">
                  <c:v>354</c:v>
                </c:pt>
                <c:pt idx="354">
                  <c:v>355</c:v>
                </c:pt>
                <c:pt idx="355">
                  <c:v>356</c:v>
                </c:pt>
                <c:pt idx="356">
                  <c:v>357</c:v>
                </c:pt>
                <c:pt idx="357">
                  <c:v>358</c:v>
                </c:pt>
                <c:pt idx="358">
                  <c:v>359</c:v>
                </c:pt>
                <c:pt idx="359">
                  <c:v>360</c:v>
                </c:pt>
                <c:pt idx="360">
                  <c:v>361</c:v>
                </c:pt>
                <c:pt idx="361">
                  <c:v>362</c:v>
                </c:pt>
                <c:pt idx="362">
                  <c:v>363</c:v>
                </c:pt>
                <c:pt idx="363">
                  <c:v>364</c:v>
                </c:pt>
                <c:pt idx="364">
                  <c:v>365</c:v>
                </c:pt>
                <c:pt idx="365">
                  <c:v>366</c:v>
                </c:pt>
                <c:pt idx="366">
                  <c:v>367</c:v>
                </c:pt>
                <c:pt idx="367">
                  <c:v>368</c:v>
                </c:pt>
                <c:pt idx="368">
                  <c:v>369</c:v>
                </c:pt>
                <c:pt idx="369">
                  <c:v>370</c:v>
                </c:pt>
                <c:pt idx="370">
                  <c:v>371</c:v>
                </c:pt>
                <c:pt idx="371">
                  <c:v>372</c:v>
                </c:pt>
                <c:pt idx="372">
                  <c:v>373</c:v>
                </c:pt>
                <c:pt idx="373">
                  <c:v>374</c:v>
                </c:pt>
                <c:pt idx="374">
                  <c:v>375</c:v>
                </c:pt>
                <c:pt idx="375">
                  <c:v>376</c:v>
                </c:pt>
                <c:pt idx="376">
                  <c:v>377</c:v>
                </c:pt>
                <c:pt idx="377">
                  <c:v>378</c:v>
                </c:pt>
                <c:pt idx="378">
                  <c:v>379</c:v>
                </c:pt>
                <c:pt idx="379">
                  <c:v>380</c:v>
                </c:pt>
                <c:pt idx="380">
                  <c:v>381</c:v>
                </c:pt>
                <c:pt idx="381">
                  <c:v>382</c:v>
                </c:pt>
                <c:pt idx="382">
                  <c:v>383</c:v>
                </c:pt>
                <c:pt idx="383">
                  <c:v>384</c:v>
                </c:pt>
                <c:pt idx="384">
                  <c:v>385</c:v>
                </c:pt>
                <c:pt idx="385">
                  <c:v>386</c:v>
                </c:pt>
                <c:pt idx="386">
                  <c:v>387</c:v>
                </c:pt>
                <c:pt idx="387">
                  <c:v>388</c:v>
                </c:pt>
                <c:pt idx="388">
                  <c:v>389</c:v>
                </c:pt>
                <c:pt idx="389">
                  <c:v>390</c:v>
                </c:pt>
                <c:pt idx="390">
                  <c:v>391</c:v>
                </c:pt>
                <c:pt idx="391">
                  <c:v>392</c:v>
                </c:pt>
                <c:pt idx="392">
                  <c:v>393</c:v>
                </c:pt>
                <c:pt idx="393">
                  <c:v>394</c:v>
                </c:pt>
              </c:numCache>
            </c:numRef>
          </c:xVal>
          <c:yVal>
            <c:numRef>
              <c:f>'Diabetes Data'!$C$2:$C$395</c:f>
              <c:numCache>
                <c:formatCode>General</c:formatCode>
                <c:ptCount val="394"/>
                <c:pt idx="0">
                  <c:v>2</c:v>
                </c:pt>
                <c:pt idx="1">
                  <c:v>1</c:v>
                </c:pt>
                <c:pt idx="2">
                  <c:v>5</c:v>
                </c:pt>
                <c:pt idx="3">
                  <c:v>11</c:v>
                </c:pt>
                <c:pt idx="4">
                  <c:v>6</c:v>
                </c:pt>
                <c:pt idx="5">
                  <c:v>26</c:v>
                </c:pt>
                <c:pt idx="6">
                  <c:v>3</c:v>
                </c:pt>
                <c:pt idx="7">
                  <c:v>20</c:v>
                </c:pt>
                <c:pt idx="8">
                  <c:v>8</c:v>
                </c:pt>
                <c:pt idx="9">
                  <c:v>10</c:v>
                </c:pt>
                <c:pt idx="10">
                  <c:v>15</c:v>
                </c:pt>
                <c:pt idx="11">
                  <c:v>4</c:v>
                </c:pt>
                <c:pt idx="12">
                  <c:v>9</c:v>
                </c:pt>
                <c:pt idx="13">
                  <c:v>58</c:v>
                </c:pt>
                <c:pt idx="14">
                  <c:v>7</c:v>
                </c:pt>
                <c:pt idx="15">
                  <c:v>30</c:v>
                </c:pt>
                <c:pt idx="16">
                  <c:v>13</c:v>
                </c:pt>
                <c:pt idx="17">
                  <c:v>49</c:v>
                </c:pt>
                <c:pt idx="18">
                  <c:v>50</c:v>
                </c:pt>
                <c:pt idx="19">
                  <c:v>12</c:v>
                </c:pt>
                <c:pt idx="20">
                  <c:v>35</c:v>
                </c:pt>
                <c:pt idx="21">
                  <c:v>27</c:v>
                </c:pt>
                <c:pt idx="22">
                  <c:v>22</c:v>
                </c:pt>
                <c:pt idx="23">
                  <c:v>25</c:v>
                </c:pt>
                <c:pt idx="24">
                  <c:v>40</c:v>
                </c:pt>
                <c:pt idx="25">
                  <c:v>17</c:v>
                </c:pt>
                <c:pt idx="26">
                  <c:v>18</c:v>
                </c:pt>
                <c:pt idx="27">
                  <c:v>21</c:v>
                </c:pt>
                <c:pt idx="28">
                  <c:v>44</c:v>
                </c:pt>
                <c:pt idx="29">
                  <c:v>51</c:v>
                </c:pt>
                <c:pt idx="30">
                  <c:v>19</c:v>
                </c:pt>
                <c:pt idx="31">
                  <c:v>14</c:v>
                </c:pt>
                <c:pt idx="32">
                  <c:v>42</c:v>
                </c:pt>
                <c:pt idx="33">
                  <c:v>16</c:v>
                </c:pt>
                <c:pt idx="34">
                  <c:v>53</c:v>
                </c:pt>
                <c:pt idx="35">
                  <c:v>28</c:v>
                </c:pt>
                <c:pt idx="36">
                  <c:v>23</c:v>
                </c:pt>
                <c:pt idx="37">
                  <c:v>74</c:v>
                </c:pt>
                <c:pt idx="38">
                  <c:v>57</c:v>
                </c:pt>
                <c:pt idx="39">
                  <c:v>71</c:v>
                </c:pt>
                <c:pt idx="40">
                  <c:v>78</c:v>
                </c:pt>
                <c:pt idx="41">
                  <c:v>43</c:v>
                </c:pt>
                <c:pt idx="42">
                  <c:v>83</c:v>
                </c:pt>
                <c:pt idx="43">
                  <c:v>77</c:v>
                </c:pt>
                <c:pt idx="44">
                  <c:v>86</c:v>
                </c:pt>
                <c:pt idx="45">
                  <c:v>32</c:v>
                </c:pt>
                <c:pt idx="46">
                  <c:v>45</c:v>
                </c:pt>
                <c:pt idx="47">
                  <c:v>117</c:v>
                </c:pt>
                <c:pt idx="48">
                  <c:v>52</c:v>
                </c:pt>
                <c:pt idx="49">
                  <c:v>54</c:v>
                </c:pt>
                <c:pt idx="50">
                  <c:v>111</c:v>
                </c:pt>
                <c:pt idx="51">
                  <c:v>66</c:v>
                </c:pt>
                <c:pt idx="52">
                  <c:v>56</c:v>
                </c:pt>
                <c:pt idx="53">
                  <c:v>24</c:v>
                </c:pt>
                <c:pt idx="54">
                  <c:v>29</c:v>
                </c:pt>
                <c:pt idx="55">
                  <c:v>73</c:v>
                </c:pt>
                <c:pt idx="56">
                  <c:v>130</c:v>
                </c:pt>
                <c:pt idx="57">
                  <c:v>31</c:v>
                </c:pt>
                <c:pt idx="58">
                  <c:v>102</c:v>
                </c:pt>
                <c:pt idx="59">
                  <c:v>48</c:v>
                </c:pt>
                <c:pt idx="60">
                  <c:v>36</c:v>
                </c:pt>
                <c:pt idx="61">
                  <c:v>82</c:v>
                </c:pt>
                <c:pt idx="62">
                  <c:v>62</c:v>
                </c:pt>
                <c:pt idx="63">
                  <c:v>94</c:v>
                </c:pt>
                <c:pt idx="64">
                  <c:v>103</c:v>
                </c:pt>
                <c:pt idx="65">
                  <c:v>34</c:v>
                </c:pt>
                <c:pt idx="66">
                  <c:v>107</c:v>
                </c:pt>
                <c:pt idx="67">
                  <c:v>37</c:v>
                </c:pt>
                <c:pt idx="68">
                  <c:v>92</c:v>
                </c:pt>
                <c:pt idx="69">
                  <c:v>70</c:v>
                </c:pt>
                <c:pt idx="70">
                  <c:v>79</c:v>
                </c:pt>
                <c:pt idx="71">
                  <c:v>195</c:v>
                </c:pt>
                <c:pt idx="72">
                  <c:v>89</c:v>
                </c:pt>
                <c:pt idx="73">
                  <c:v>60</c:v>
                </c:pt>
                <c:pt idx="74">
                  <c:v>98</c:v>
                </c:pt>
                <c:pt idx="75">
                  <c:v>90</c:v>
                </c:pt>
                <c:pt idx="76">
                  <c:v>159</c:v>
                </c:pt>
                <c:pt idx="77">
                  <c:v>38</c:v>
                </c:pt>
                <c:pt idx="78">
                  <c:v>46</c:v>
                </c:pt>
                <c:pt idx="79">
                  <c:v>96</c:v>
                </c:pt>
                <c:pt idx="80">
                  <c:v>137</c:v>
                </c:pt>
                <c:pt idx="81">
                  <c:v>116</c:v>
                </c:pt>
                <c:pt idx="82">
                  <c:v>95</c:v>
                </c:pt>
                <c:pt idx="83">
                  <c:v>72</c:v>
                </c:pt>
                <c:pt idx="84">
                  <c:v>131</c:v>
                </c:pt>
                <c:pt idx="85">
                  <c:v>75</c:v>
                </c:pt>
                <c:pt idx="86">
                  <c:v>55</c:v>
                </c:pt>
                <c:pt idx="87">
                  <c:v>167</c:v>
                </c:pt>
                <c:pt idx="88">
                  <c:v>128</c:v>
                </c:pt>
                <c:pt idx="89">
                  <c:v>158</c:v>
                </c:pt>
                <c:pt idx="90">
                  <c:v>33</c:v>
                </c:pt>
                <c:pt idx="91">
                  <c:v>87</c:v>
                </c:pt>
                <c:pt idx="92">
                  <c:v>39</c:v>
                </c:pt>
                <c:pt idx="93">
                  <c:v>41</c:v>
                </c:pt>
                <c:pt idx="94">
                  <c:v>59</c:v>
                </c:pt>
                <c:pt idx="95">
                  <c:v>76</c:v>
                </c:pt>
                <c:pt idx="96">
                  <c:v>93</c:v>
                </c:pt>
                <c:pt idx="97">
                  <c:v>97</c:v>
                </c:pt>
                <c:pt idx="98">
                  <c:v>65</c:v>
                </c:pt>
                <c:pt idx="99">
                  <c:v>64</c:v>
                </c:pt>
                <c:pt idx="100">
                  <c:v>84</c:v>
                </c:pt>
                <c:pt idx="101">
                  <c:v>197</c:v>
                </c:pt>
                <c:pt idx="102">
                  <c:v>114</c:v>
                </c:pt>
                <c:pt idx="103">
                  <c:v>133</c:v>
                </c:pt>
                <c:pt idx="104">
                  <c:v>47</c:v>
                </c:pt>
                <c:pt idx="105">
                  <c:v>210</c:v>
                </c:pt>
                <c:pt idx="106">
                  <c:v>69</c:v>
                </c:pt>
                <c:pt idx="107">
                  <c:v>187</c:v>
                </c:pt>
                <c:pt idx="108">
                  <c:v>160</c:v>
                </c:pt>
                <c:pt idx="109">
                  <c:v>211</c:v>
                </c:pt>
                <c:pt idx="110">
                  <c:v>181</c:v>
                </c:pt>
                <c:pt idx="111">
                  <c:v>61</c:v>
                </c:pt>
                <c:pt idx="112">
                  <c:v>100</c:v>
                </c:pt>
                <c:pt idx="113">
                  <c:v>104</c:v>
                </c:pt>
                <c:pt idx="114">
                  <c:v>81</c:v>
                </c:pt>
                <c:pt idx="115">
                  <c:v>68</c:v>
                </c:pt>
                <c:pt idx="116">
                  <c:v>80</c:v>
                </c:pt>
                <c:pt idx="117">
                  <c:v>67</c:v>
                </c:pt>
                <c:pt idx="118">
                  <c:v>109</c:v>
                </c:pt>
                <c:pt idx="119">
                  <c:v>260</c:v>
                </c:pt>
                <c:pt idx="120">
                  <c:v>206</c:v>
                </c:pt>
                <c:pt idx="121">
                  <c:v>172</c:v>
                </c:pt>
                <c:pt idx="122">
                  <c:v>85</c:v>
                </c:pt>
                <c:pt idx="123">
                  <c:v>184</c:v>
                </c:pt>
                <c:pt idx="124">
                  <c:v>125</c:v>
                </c:pt>
                <c:pt idx="125">
                  <c:v>112</c:v>
                </c:pt>
                <c:pt idx="126">
                  <c:v>141</c:v>
                </c:pt>
                <c:pt idx="127">
                  <c:v>63</c:v>
                </c:pt>
                <c:pt idx="128">
                  <c:v>254</c:v>
                </c:pt>
                <c:pt idx="129">
                  <c:v>118</c:v>
                </c:pt>
                <c:pt idx="130">
                  <c:v>220</c:v>
                </c:pt>
                <c:pt idx="131">
                  <c:v>105</c:v>
                </c:pt>
                <c:pt idx="132">
                  <c:v>157</c:v>
                </c:pt>
                <c:pt idx="133">
                  <c:v>178</c:v>
                </c:pt>
                <c:pt idx="134">
                  <c:v>108</c:v>
                </c:pt>
                <c:pt idx="135">
                  <c:v>106</c:v>
                </c:pt>
                <c:pt idx="136">
                  <c:v>91</c:v>
                </c:pt>
                <c:pt idx="137">
                  <c:v>101</c:v>
                </c:pt>
                <c:pt idx="138">
                  <c:v>134</c:v>
                </c:pt>
                <c:pt idx="139">
                  <c:v>120</c:v>
                </c:pt>
                <c:pt idx="140">
                  <c:v>88</c:v>
                </c:pt>
                <c:pt idx="141">
                  <c:v>135</c:v>
                </c:pt>
                <c:pt idx="142">
                  <c:v>145</c:v>
                </c:pt>
                <c:pt idx="143">
                  <c:v>99</c:v>
                </c:pt>
                <c:pt idx="144">
                  <c:v>138</c:v>
                </c:pt>
                <c:pt idx="145">
                  <c:v>298</c:v>
                </c:pt>
                <c:pt idx="146">
                  <c:v>139</c:v>
                </c:pt>
                <c:pt idx="147">
                  <c:v>198</c:v>
                </c:pt>
                <c:pt idx="148">
                  <c:v>238</c:v>
                </c:pt>
                <c:pt idx="149">
                  <c:v>344</c:v>
                </c:pt>
                <c:pt idx="150">
                  <c:v>311</c:v>
                </c:pt>
                <c:pt idx="151">
                  <c:v>126</c:v>
                </c:pt>
                <c:pt idx="152">
                  <c:v>132</c:v>
                </c:pt>
                <c:pt idx="153">
                  <c:v>123</c:v>
                </c:pt>
                <c:pt idx="154">
                  <c:v>189</c:v>
                </c:pt>
                <c:pt idx="155">
                  <c:v>146</c:v>
                </c:pt>
                <c:pt idx="156">
                  <c:v>161</c:v>
                </c:pt>
                <c:pt idx="157">
                  <c:v>119</c:v>
                </c:pt>
                <c:pt idx="158">
                  <c:v>127</c:v>
                </c:pt>
                <c:pt idx="159">
                  <c:v>165</c:v>
                </c:pt>
                <c:pt idx="160">
                  <c:v>162</c:v>
                </c:pt>
                <c:pt idx="161">
                  <c:v>129</c:v>
                </c:pt>
                <c:pt idx="162">
                  <c:v>142</c:v>
                </c:pt>
                <c:pt idx="163">
                  <c:v>148</c:v>
                </c:pt>
                <c:pt idx="164">
                  <c:v>152</c:v>
                </c:pt>
                <c:pt idx="165">
                  <c:v>110</c:v>
                </c:pt>
                <c:pt idx="166">
                  <c:v>249</c:v>
                </c:pt>
                <c:pt idx="167">
                  <c:v>155</c:v>
                </c:pt>
                <c:pt idx="168">
                  <c:v>113</c:v>
                </c:pt>
                <c:pt idx="169">
                  <c:v>122</c:v>
                </c:pt>
                <c:pt idx="170">
                  <c:v>237</c:v>
                </c:pt>
                <c:pt idx="171">
                  <c:v>115</c:v>
                </c:pt>
                <c:pt idx="172">
                  <c:v>136</c:v>
                </c:pt>
                <c:pt idx="173">
                  <c:v>154</c:v>
                </c:pt>
                <c:pt idx="174">
                  <c:v>144</c:v>
                </c:pt>
                <c:pt idx="175">
                  <c:v>170</c:v>
                </c:pt>
                <c:pt idx="176">
                  <c:v>124</c:v>
                </c:pt>
                <c:pt idx="177">
                  <c:v>176</c:v>
                </c:pt>
                <c:pt idx="178">
                  <c:v>174</c:v>
                </c:pt>
                <c:pt idx="179">
                  <c:v>151</c:v>
                </c:pt>
                <c:pt idx="180">
                  <c:v>163</c:v>
                </c:pt>
                <c:pt idx="181">
                  <c:v>284</c:v>
                </c:pt>
                <c:pt idx="182">
                  <c:v>121</c:v>
                </c:pt>
                <c:pt idx="183">
                  <c:v>290</c:v>
                </c:pt>
                <c:pt idx="184">
                  <c:v>150</c:v>
                </c:pt>
                <c:pt idx="185">
                  <c:v>143</c:v>
                </c:pt>
                <c:pt idx="186">
                  <c:v>153</c:v>
                </c:pt>
                <c:pt idx="187">
                  <c:v>147</c:v>
                </c:pt>
                <c:pt idx="188">
                  <c:v>149</c:v>
                </c:pt>
                <c:pt idx="189">
                  <c:v>186</c:v>
                </c:pt>
                <c:pt idx="190">
                  <c:v>259</c:v>
                </c:pt>
                <c:pt idx="191">
                  <c:v>182</c:v>
                </c:pt>
                <c:pt idx="192">
                  <c:v>180</c:v>
                </c:pt>
                <c:pt idx="193">
                  <c:v>269</c:v>
                </c:pt>
                <c:pt idx="194">
                  <c:v>243</c:v>
                </c:pt>
                <c:pt idx="195">
                  <c:v>194</c:v>
                </c:pt>
                <c:pt idx="196">
                  <c:v>168</c:v>
                </c:pt>
                <c:pt idx="197">
                  <c:v>156</c:v>
                </c:pt>
                <c:pt idx="198">
                  <c:v>177</c:v>
                </c:pt>
                <c:pt idx="199">
                  <c:v>164</c:v>
                </c:pt>
                <c:pt idx="200">
                  <c:v>281</c:v>
                </c:pt>
                <c:pt idx="201">
                  <c:v>321</c:v>
                </c:pt>
                <c:pt idx="202">
                  <c:v>207</c:v>
                </c:pt>
                <c:pt idx="203">
                  <c:v>140</c:v>
                </c:pt>
                <c:pt idx="204">
                  <c:v>228</c:v>
                </c:pt>
                <c:pt idx="205">
                  <c:v>185</c:v>
                </c:pt>
                <c:pt idx="206">
                  <c:v>188</c:v>
                </c:pt>
                <c:pt idx="207">
                  <c:v>169</c:v>
                </c:pt>
                <c:pt idx="208">
                  <c:v>171</c:v>
                </c:pt>
                <c:pt idx="209">
                  <c:v>173</c:v>
                </c:pt>
                <c:pt idx="210">
                  <c:v>201</c:v>
                </c:pt>
                <c:pt idx="211">
                  <c:v>217</c:v>
                </c:pt>
                <c:pt idx="212">
                  <c:v>190</c:v>
                </c:pt>
                <c:pt idx="213">
                  <c:v>216</c:v>
                </c:pt>
                <c:pt idx="214">
                  <c:v>191</c:v>
                </c:pt>
                <c:pt idx="215">
                  <c:v>213</c:v>
                </c:pt>
                <c:pt idx="216">
                  <c:v>227</c:v>
                </c:pt>
                <c:pt idx="217">
                  <c:v>179</c:v>
                </c:pt>
                <c:pt idx="218">
                  <c:v>166</c:v>
                </c:pt>
                <c:pt idx="219">
                  <c:v>239</c:v>
                </c:pt>
                <c:pt idx="220">
                  <c:v>204</c:v>
                </c:pt>
                <c:pt idx="221">
                  <c:v>212</c:v>
                </c:pt>
                <c:pt idx="222">
                  <c:v>183</c:v>
                </c:pt>
                <c:pt idx="223">
                  <c:v>256</c:v>
                </c:pt>
                <c:pt idx="224">
                  <c:v>241</c:v>
                </c:pt>
                <c:pt idx="225">
                  <c:v>192</c:v>
                </c:pt>
                <c:pt idx="226">
                  <c:v>229</c:v>
                </c:pt>
                <c:pt idx="227">
                  <c:v>203</c:v>
                </c:pt>
                <c:pt idx="228">
                  <c:v>236</c:v>
                </c:pt>
                <c:pt idx="229">
                  <c:v>193</c:v>
                </c:pt>
                <c:pt idx="230">
                  <c:v>247</c:v>
                </c:pt>
                <c:pt idx="231">
                  <c:v>255</c:v>
                </c:pt>
                <c:pt idx="232">
                  <c:v>221</c:v>
                </c:pt>
                <c:pt idx="233">
                  <c:v>303</c:v>
                </c:pt>
                <c:pt idx="234">
                  <c:v>175</c:v>
                </c:pt>
                <c:pt idx="235">
                  <c:v>202</c:v>
                </c:pt>
                <c:pt idx="236">
                  <c:v>224</c:v>
                </c:pt>
                <c:pt idx="237">
                  <c:v>196</c:v>
                </c:pt>
                <c:pt idx="238">
                  <c:v>251</c:v>
                </c:pt>
                <c:pt idx="239">
                  <c:v>214</c:v>
                </c:pt>
                <c:pt idx="240">
                  <c:v>219</c:v>
                </c:pt>
                <c:pt idx="241">
                  <c:v>222</c:v>
                </c:pt>
                <c:pt idx="242">
                  <c:v>200</c:v>
                </c:pt>
                <c:pt idx="243">
                  <c:v>225</c:v>
                </c:pt>
                <c:pt idx="244">
                  <c:v>232</c:v>
                </c:pt>
                <c:pt idx="245">
                  <c:v>230</c:v>
                </c:pt>
                <c:pt idx="246">
                  <c:v>245</c:v>
                </c:pt>
                <c:pt idx="247">
                  <c:v>280</c:v>
                </c:pt>
                <c:pt idx="248">
                  <c:v>231</c:v>
                </c:pt>
                <c:pt idx="249">
                  <c:v>226</c:v>
                </c:pt>
                <c:pt idx="250">
                  <c:v>218</c:v>
                </c:pt>
                <c:pt idx="251">
                  <c:v>209</c:v>
                </c:pt>
                <c:pt idx="252">
                  <c:v>208</c:v>
                </c:pt>
                <c:pt idx="253">
                  <c:v>235</c:v>
                </c:pt>
                <c:pt idx="254">
                  <c:v>223</c:v>
                </c:pt>
                <c:pt idx="255">
                  <c:v>199</c:v>
                </c:pt>
                <c:pt idx="256">
                  <c:v>205</c:v>
                </c:pt>
                <c:pt idx="257">
                  <c:v>264</c:v>
                </c:pt>
                <c:pt idx="258">
                  <c:v>248</c:v>
                </c:pt>
                <c:pt idx="259">
                  <c:v>244</c:v>
                </c:pt>
                <c:pt idx="260">
                  <c:v>246</c:v>
                </c:pt>
                <c:pt idx="261">
                  <c:v>215</c:v>
                </c:pt>
                <c:pt idx="262">
                  <c:v>240</c:v>
                </c:pt>
                <c:pt idx="263">
                  <c:v>272</c:v>
                </c:pt>
                <c:pt idx="264">
                  <c:v>257</c:v>
                </c:pt>
                <c:pt idx="265">
                  <c:v>253</c:v>
                </c:pt>
                <c:pt idx="266">
                  <c:v>233</c:v>
                </c:pt>
                <c:pt idx="267">
                  <c:v>258</c:v>
                </c:pt>
                <c:pt idx="268">
                  <c:v>234</c:v>
                </c:pt>
                <c:pt idx="269">
                  <c:v>350</c:v>
                </c:pt>
                <c:pt idx="270">
                  <c:v>250</c:v>
                </c:pt>
                <c:pt idx="271">
                  <c:v>262</c:v>
                </c:pt>
                <c:pt idx="272">
                  <c:v>268</c:v>
                </c:pt>
                <c:pt idx="273">
                  <c:v>271</c:v>
                </c:pt>
                <c:pt idx="274">
                  <c:v>274</c:v>
                </c:pt>
                <c:pt idx="275">
                  <c:v>265</c:v>
                </c:pt>
                <c:pt idx="276">
                  <c:v>275</c:v>
                </c:pt>
                <c:pt idx="277">
                  <c:v>307</c:v>
                </c:pt>
                <c:pt idx="278">
                  <c:v>282</c:v>
                </c:pt>
                <c:pt idx="279">
                  <c:v>270</c:v>
                </c:pt>
                <c:pt idx="280">
                  <c:v>289</c:v>
                </c:pt>
                <c:pt idx="281">
                  <c:v>252</c:v>
                </c:pt>
                <c:pt idx="282">
                  <c:v>242</c:v>
                </c:pt>
                <c:pt idx="283">
                  <c:v>267</c:v>
                </c:pt>
                <c:pt idx="284">
                  <c:v>288</c:v>
                </c:pt>
                <c:pt idx="285">
                  <c:v>279</c:v>
                </c:pt>
                <c:pt idx="286">
                  <c:v>266</c:v>
                </c:pt>
                <c:pt idx="287">
                  <c:v>261</c:v>
                </c:pt>
                <c:pt idx="288">
                  <c:v>299</c:v>
                </c:pt>
                <c:pt idx="289">
                  <c:v>329</c:v>
                </c:pt>
                <c:pt idx="290">
                  <c:v>297</c:v>
                </c:pt>
                <c:pt idx="291">
                  <c:v>263</c:v>
                </c:pt>
                <c:pt idx="292">
                  <c:v>304</c:v>
                </c:pt>
                <c:pt idx="293">
                  <c:v>273</c:v>
                </c:pt>
                <c:pt idx="294">
                  <c:v>286</c:v>
                </c:pt>
                <c:pt idx="295">
                  <c:v>296</c:v>
                </c:pt>
                <c:pt idx="296">
                  <c:v>277</c:v>
                </c:pt>
                <c:pt idx="297">
                  <c:v>276</c:v>
                </c:pt>
                <c:pt idx="298">
                  <c:v>294</c:v>
                </c:pt>
                <c:pt idx="299">
                  <c:v>319</c:v>
                </c:pt>
                <c:pt idx="300">
                  <c:v>283</c:v>
                </c:pt>
                <c:pt idx="301">
                  <c:v>327</c:v>
                </c:pt>
                <c:pt idx="302">
                  <c:v>285</c:v>
                </c:pt>
                <c:pt idx="303">
                  <c:v>356</c:v>
                </c:pt>
                <c:pt idx="304">
                  <c:v>302</c:v>
                </c:pt>
                <c:pt idx="305">
                  <c:v>287</c:v>
                </c:pt>
                <c:pt idx="306">
                  <c:v>291</c:v>
                </c:pt>
                <c:pt idx="307">
                  <c:v>278</c:v>
                </c:pt>
                <c:pt idx="308">
                  <c:v>315</c:v>
                </c:pt>
                <c:pt idx="309">
                  <c:v>309</c:v>
                </c:pt>
                <c:pt idx="310">
                  <c:v>293</c:v>
                </c:pt>
                <c:pt idx="311">
                  <c:v>345</c:v>
                </c:pt>
                <c:pt idx="312">
                  <c:v>310</c:v>
                </c:pt>
                <c:pt idx="313">
                  <c:v>292</c:v>
                </c:pt>
                <c:pt idx="314">
                  <c:v>305</c:v>
                </c:pt>
                <c:pt idx="315">
                  <c:v>308</c:v>
                </c:pt>
                <c:pt idx="316">
                  <c:v>300</c:v>
                </c:pt>
                <c:pt idx="317">
                  <c:v>359</c:v>
                </c:pt>
                <c:pt idx="318">
                  <c:v>320</c:v>
                </c:pt>
                <c:pt idx="319">
                  <c:v>306</c:v>
                </c:pt>
                <c:pt idx="320">
                  <c:v>295</c:v>
                </c:pt>
                <c:pt idx="321">
                  <c:v>316</c:v>
                </c:pt>
                <c:pt idx="322">
                  <c:v>301</c:v>
                </c:pt>
                <c:pt idx="323">
                  <c:v>323</c:v>
                </c:pt>
                <c:pt idx="324">
                  <c:v>339</c:v>
                </c:pt>
                <c:pt idx="325">
                  <c:v>325</c:v>
                </c:pt>
                <c:pt idx="326">
                  <c:v>312</c:v>
                </c:pt>
                <c:pt idx="327">
                  <c:v>346</c:v>
                </c:pt>
                <c:pt idx="328">
                  <c:v>324</c:v>
                </c:pt>
                <c:pt idx="329">
                  <c:v>332</c:v>
                </c:pt>
                <c:pt idx="330">
                  <c:v>326</c:v>
                </c:pt>
                <c:pt idx="331">
                  <c:v>318</c:v>
                </c:pt>
                <c:pt idx="332">
                  <c:v>349</c:v>
                </c:pt>
                <c:pt idx="333">
                  <c:v>322</c:v>
                </c:pt>
                <c:pt idx="334">
                  <c:v>317</c:v>
                </c:pt>
                <c:pt idx="335">
                  <c:v>340</c:v>
                </c:pt>
                <c:pt idx="336">
                  <c:v>335</c:v>
                </c:pt>
                <c:pt idx="337">
                  <c:v>314</c:v>
                </c:pt>
                <c:pt idx="338">
                  <c:v>334</c:v>
                </c:pt>
                <c:pt idx="339">
                  <c:v>313</c:v>
                </c:pt>
                <c:pt idx="340">
                  <c:v>331</c:v>
                </c:pt>
                <c:pt idx="341">
                  <c:v>336</c:v>
                </c:pt>
                <c:pt idx="342">
                  <c:v>341</c:v>
                </c:pt>
                <c:pt idx="343">
                  <c:v>328</c:v>
                </c:pt>
                <c:pt idx="344">
                  <c:v>357</c:v>
                </c:pt>
                <c:pt idx="345">
                  <c:v>369</c:v>
                </c:pt>
                <c:pt idx="346">
                  <c:v>330</c:v>
                </c:pt>
                <c:pt idx="347">
                  <c:v>351</c:v>
                </c:pt>
                <c:pt idx="348">
                  <c:v>337</c:v>
                </c:pt>
                <c:pt idx="349">
                  <c:v>343</c:v>
                </c:pt>
                <c:pt idx="350">
                  <c:v>333</c:v>
                </c:pt>
                <c:pt idx="351">
                  <c:v>342</c:v>
                </c:pt>
                <c:pt idx="352">
                  <c:v>347</c:v>
                </c:pt>
                <c:pt idx="353">
                  <c:v>348</c:v>
                </c:pt>
                <c:pt idx="354">
                  <c:v>338</c:v>
                </c:pt>
                <c:pt idx="355">
                  <c:v>362</c:v>
                </c:pt>
                <c:pt idx="356">
                  <c:v>355</c:v>
                </c:pt>
                <c:pt idx="357">
                  <c:v>352</c:v>
                </c:pt>
                <c:pt idx="358">
                  <c:v>354</c:v>
                </c:pt>
                <c:pt idx="359">
                  <c:v>358</c:v>
                </c:pt>
                <c:pt idx="360">
                  <c:v>353</c:v>
                </c:pt>
                <c:pt idx="361">
                  <c:v>365</c:v>
                </c:pt>
                <c:pt idx="362">
                  <c:v>376</c:v>
                </c:pt>
                <c:pt idx="363">
                  <c:v>361</c:v>
                </c:pt>
                <c:pt idx="364">
                  <c:v>363</c:v>
                </c:pt>
                <c:pt idx="365">
                  <c:v>360</c:v>
                </c:pt>
                <c:pt idx="366">
                  <c:v>381</c:v>
                </c:pt>
                <c:pt idx="367">
                  <c:v>375</c:v>
                </c:pt>
                <c:pt idx="368">
                  <c:v>364</c:v>
                </c:pt>
                <c:pt idx="369">
                  <c:v>368</c:v>
                </c:pt>
                <c:pt idx="370">
                  <c:v>366</c:v>
                </c:pt>
                <c:pt idx="371">
                  <c:v>373</c:v>
                </c:pt>
                <c:pt idx="372">
                  <c:v>367</c:v>
                </c:pt>
                <c:pt idx="373">
                  <c:v>371</c:v>
                </c:pt>
                <c:pt idx="374">
                  <c:v>372</c:v>
                </c:pt>
                <c:pt idx="375">
                  <c:v>370</c:v>
                </c:pt>
                <c:pt idx="376">
                  <c:v>378</c:v>
                </c:pt>
                <c:pt idx="377">
                  <c:v>382</c:v>
                </c:pt>
                <c:pt idx="378">
                  <c:v>387</c:v>
                </c:pt>
                <c:pt idx="379">
                  <c:v>374</c:v>
                </c:pt>
                <c:pt idx="380">
                  <c:v>377</c:v>
                </c:pt>
                <c:pt idx="381">
                  <c:v>385</c:v>
                </c:pt>
                <c:pt idx="382">
                  <c:v>379</c:v>
                </c:pt>
                <c:pt idx="383">
                  <c:v>380</c:v>
                </c:pt>
                <c:pt idx="384">
                  <c:v>383</c:v>
                </c:pt>
                <c:pt idx="385">
                  <c:v>386</c:v>
                </c:pt>
                <c:pt idx="386">
                  <c:v>384</c:v>
                </c:pt>
                <c:pt idx="387">
                  <c:v>388</c:v>
                </c:pt>
                <c:pt idx="388">
                  <c:v>389</c:v>
                </c:pt>
                <c:pt idx="389">
                  <c:v>390</c:v>
                </c:pt>
                <c:pt idx="390">
                  <c:v>391</c:v>
                </c:pt>
                <c:pt idx="391">
                  <c:v>392</c:v>
                </c:pt>
                <c:pt idx="392">
                  <c:v>393</c:v>
                </c:pt>
                <c:pt idx="393">
                  <c:v>394</c:v>
                </c:pt>
              </c:numCache>
            </c:numRef>
          </c:yVal>
          <c:smooth val="0"/>
          <c:extLst>
            <c:ext xmlns:c16="http://schemas.microsoft.com/office/drawing/2014/chart" uri="{C3380CC4-5D6E-409C-BE32-E72D297353CC}">
              <c16:uniqueId val="{00000001-8986-4F26-8E87-658AA49F225B}"/>
            </c:ext>
          </c:extLst>
        </c:ser>
        <c:dLbls>
          <c:showLegendKey val="0"/>
          <c:showVal val="0"/>
          <c:showCatName val="0"/>
          <c:showSerName val="0"/>
          <c:showPercent val="0"/>
          <c:showBubbleSize val="0"/>
        </c:dLbls>
        <c:axId val="738900143"/>
        <c:axId val="447471103"/>
      </c:scatterChart>
      <c:valAx>
        <c:axId val="738900143"/>
        <c:scaling>
          <c:orientation val="minMax"/>
          <c:max val="450"/>
          <c:min val="0"/>
        </c:scaling>
        <c:delete val="0"/>
        <c:axPos val="b"/>
        <c:majorGridlines>
          <c:spPr>
            <a:ln w="9525" cap="flat" cmpd="sng" algn="ctr">
              <a:solidFill>
                <a:schemeClr val="dk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r>
                  <a:rPr lang="en-US"/>
                  <a:t>Plan-contract</a:t>
                </a:r>
              </a:p>
            </c:rich>
          </c:tx>
          <c:layout>
            <c:manualLayout>
              <c:xMode val="edge"/>
              <c:yMode val="edge"/>
              <c:x val="0.45304209569957604"/>
              <c:y val="0.8959250038598116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rnd">
            <a:solidFill>
              <a:schemeClr val="dk1">
                <a:lumMod val="25000"/>
                <a:lumOff val="75000"/>
              </a:schemeClr>
            </a:solidFill>
            <a:round/>
          </a:ln>
          <a:effectLst/>
        </c:spPr>
        <c:txPr>
          <a:bodyPr rot="-60000000" spcFirstLastPara="1" vertOverflow="ellipsis" vert="horz" wrap="square" anchor="ctr" anchorCtr="1"/>
          <a:lstStyle/>
          <a:p>
            <a:pPr>
              <a:defRPr sz="900" b="0" i="0" u="none" strike="noStrike" kern="1200" spc="0" baseline="0">
                <a:solidFill>
                  <a:schemeClr val="dk1">
                    <a:lumMod val="65000"/>
                    <a:lumOff val="35000"/>
                  </a:schemeClr>
                </a:solidFill>
                <a:latin typeface="+mn-lt"/>
                <a:ea typeface="+mn-ea"/>
                <a:cs typeface="+mn-cs"/>
              </a:defRPr>
            </a:pPr>
            <a:endParaRPr lang="en-US"/>
          </a:p>
        </c:txPr>
        <c:crossAx val="447471103"/>
        <c:crosses val="autoZero"/>
        <c:crossBetween val="midCat"/>
        <c:majorUnit val="100"/>
      </c:valAx>
      <c:valAx>
        <c:axId val="447471103"/>
        <c:scaling>
          <c:orientation val="minMax"/>
          <c:max val="500"/>
        </c:scaling>
        <c:delete val="0"/>
        <c:axPos val="l"/>
        <c:majorGridlines>
          <c:spPr>
            <a:ln w="9525" cap="flat" cmpd="sng" algn="ctr">
              <a:solidFill>
                <a:schemeClr val="dk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r>
                  <a:rPr lang="en-US"/>
                  <a:t>Ranking</a:t>
                </a:r>
              </a:p>
            </c:rich>
          </c:tx>
          <c:layout>
            <c:manualLayout>
              <c:xMode val="edge"/>
              <c:yMode val="edge"/>
              <c:x val="1.2284474056127603E-2"/>
              <c:y val="0.35250212289640265"/>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rnd">
            <a:solidFill>
              <a:schemeClr val="dk1">
                <a:lumMod val="25000"/>
                <a:lumOff val="75000"/>
              </a:schemeClr>
            </a:solidFill>
            <a:round/>
          </a:ln>
          <a:effectLst/>
        </c:spPr>
        <c:txPr>
          <a:bodyPr rot="-60000000" spcFirstLastPara="1" vertOverflow="ellipsis" vert="horz" wrap="square" anchor="ctr" anchorCtr="1"/>
          <a:lstStyle/>
          <a:p>
            <a:pPr>
              <a:defRPr sz="900" b="0" i="0" u="none" strike="noStrike" kern="1200" spc="0" baseline="0">
                <a:solidFill>
                  <a:schemeClr val="dk1">
                    <a:lumMod val="65000"/>
                    <a:lumOff val="35000"/>
                  </a:schemeClr>
                </a:solidFill>
                <a:latin typeface="+mn-lt"/>
                <a:ea typeface="+mn-ea"/>
                <a:cs typeface="+mn-cs"/>
              </a:defRPr>
            </a:pPr>
            <a:endParaRPr lang="en-US"/>
          </a:p>
        </c:txPr>
        <c:crossAx val="738900143"/>
        <c:crosses val="autoZero"/>
        <c:crossBetween val="midCat"/>
        <c:majorUnit val="100"/>
      </c:valAx>
      <c:spPr>
        <a:gradFill>
          <a:gsLst>
            <a:gs pos="100000">
              <a:schemeClr val="lt1">
                <a:lumMod val="95000"/>
              </a:schemeClr>
            </a:gs>
            <a:gs pos="0">
              <a:schemeClr val="lt1">
                <a:alpha val="0"/>
              </a:schemeClr>
            </a:gs>
          </a:gsLst>
          <a:lin ang="5400000" scaled="0"/>
        </a:gradFill>
        <a:ln>
          <a:noFill/>
        </a:ln>
        <a:effectLst/>
      </c:spPr>
    </c:plotArea>
    <c:legend>
      <c:legendPos val="b"/>
      <c:layout>
        <c:manualLayout>
          <c:xMode val="edge"/>
          <c:yMode val="edge"/>
          <c:x val="0.67713675213675206"/>
          <c:y val="0.72733082277758776"/>
          <c:w val="0.2482905982905983"/>
          <c:h val="0.10340145900880038"/>
        </c:manualLayout>
      </c:layout>
      <c:overlay val="0"/>
      <c:spPr>
        <a:noFill/>
        <a:ln>
          <a:noFill/>
        </a:ln>
        <a:effectLst/>
      </c:spPr>
      <c:txPr>
        <a:bodyPr rot="0" spcFirstLastPara="1" vertOverflow="ellipsis" vert="horz" wrap="square" anchor="ctr" anchorCtr="1"/>
        <a:lstStyle/>
        <a:p>
          <a:pPr>
            <a:defRPr sz="900" b="0" i="0" u="none" strike="noStrike" kern="1200" spc="0" baseline="0">
              <a:solidFill>
                <a:schemeClr val="dk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36627633084326"/>
          <c:y val="6.1728395061728392E-2"/>
          <c:w val="0.86084208223972003"/>
          <c:h val="0.72570303712035999"/>
        </c:manualLayout>
      </c:layout>
      <c:scatterChart>
        <c:scatterStyle val="lineMarker"/>
        <c:varyColors val="0"/>
        <c:ser>
          <c:idx val="0"/>
          <c:order val="0"/>
          <c:tx>
            <c:strRef>
              <c:f>'RASA Data'!$B$1</c:f>
              <c:strCache>
                <c:ptCount val="1"/>
                <c:pt idx="0">
                  <c:v>Unadjusted</c:v>
                </c:pt>
              </c:strCache>
            </c:strRef>
          </c:tx>
          <c:spPr>
            <a:ln w="25400" cap="flat" cmpd="sng" algn="ctr">
              <a:noFill/>
              <a:prstDash val="sysDot"/>
              <a:round/>
            </a:ln>
            <a:effectLst>
              <a:outerShdw blurRad="40000" dist="20000" dir="5400000" rotWithShape="0">
                <a:srgbClr val="000000">
                  <a:alpha val="38000"/>
                </a:srgbClr>
              </a:outerShdw>
            </a:effectLst>
          </c:spPr>
          <c:marker>
            <c:symbol val="circle"/>
            <c:size val="5"/>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chemeClr>
                </a:solidFill>
                <a:round/>
              </a:ln>
              <a:effectLst>
                <a:outerShdw blurRad="40000" dist="20000" dir="5400000" rotWithShape="0">
                  <a:srgbClr val="000000">
                    <a:alpha val="38000"/>
                  </a:srgbClr>
                </a:outerShdw>
              </a:effectLst>
            </c:spPr>
          </c:marker>
          <c:xVal>
            <c:numRef>
              <c:f>'RASA Data'!$A$2:$A$473</c:f>
              <c:numCache>
                <c:formatCode>General</c:formatCode>
                <c:ptCount val="472"/>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pt idx="100">
                  <c:v>101</c:v>
                </c:pt>
                <c:pt idx="101">
                  <c:v>102</c:v>
                </c:pt>
                <c:pt idx="102">
                  <c:v>103</c:v>
                </c:pt>
                <c:pt idx="103">
                  <c:v>104</c:v>
                </c:pt>
                <c:pt idx="104">
                  <c:v>105</c:v>
                </c:pt>
                <c:pt idx="105">
                  <c:v>106</c:v>
                </c:pt>
                <c:pt idx="106">
                  <c:v>107</c:v>
                </c:pt>
                <c:pt idx="107">
                  <c:v>108</c:v>
                </c:pt>
                <c:pt idx="108">
                  <c:v>109</c:v>
                </c:pt>
                <c:pt idx="109">
                  <c:v>110</c:v>
                </c:pt>
                <c:pt idx="110">
                  <c:v>111</c:v>
                </c:pt>
                <c:pt idx="111">
                  <c:v>112</c:v>
                </c:pt>
                <c:pt idx="112">
                  <c:v>113</c:v>
                </c:pt>
                <c:pt idx="113">
                  <c:v>114</c:v>
                </c:pt>
                <c:pt idx="114">
                  <c:v>115</c:v>
                </c:pt>
                <c:pt idx="115">
                  <c:v>116</c:v>
                </c:pt>
                <c:pt idx="116">
                  <c:v>117</c:v>
                </c:pt>
                <c:pt idx="117">
                  <c:v>118</c:v>
                </c:pt>
                <c:pt idx="118">
                  <c:v>119</c:v>
                </c:pt>
                <c:pt idx="119">
                  <c:v>120</c:v>
                </c:pt>
                <c:pt idx="120">
                  <c:v>121</c:v>
                </c:pt>
                <c:pt idx="121">
                  <c:v>122</c:v>
                </c:pt>
                <c:pt idx="122">
                  <c:v>123</c:v>
                </c:pt>
                <c:pt idx="123">
                  <c:v>124</c:v>
                </c:pt>
                <c:pt idx="124">
                  <c:v>125</c:v>
                </c:pt>
                <c:pt idx="125">
                  <c:v>126</c:v>
                </c:pt>
                <c:pt idx="126">
                  <c:v>127</c:v>
                </c:pt>
                <c:pt idx="127">
                  <c:v>128</c:v>
                </c:pt>
                <c:pt idx="128">
                  <c:v>129</c:v>
                </c:pt>
                <c:pt idx="129">
                  <c:v>130</c:v>
                </c:pt>
                <c:pt idx="130">
                  <c:v>131</c:v>
                </c:pt>
                <c:pt idx="131">
                  <c:v>132</c:v>
                </c:pt>
                <c:pt idx="132">
                  <c:v>133</c:v>
                </c:pt>
                <c:pt idx="133">
                  <c:v>134</c:v>
                </c:pt>
                <c:pt idx="134">
                  <c:v>135</c:v>
                </c:pt>
                <c:pt idx="135">
                  <c:v>136</c:v>
                </c:pt>
                <c:pt idx="136">
                  <c:v>137</c:v>
                </c:pt>
                <c:pt idx="137">
                  <c:v>138</c:v>
                </c:pt>
                <c:pt idx="138">
                  <c:v>139</c:v>
                </c:pt>
                <c:pt idx="139">
                  <c:v>140</c:v>
                </c:pt>
                <c:pt idx="140">
                  <c:v>141</c:v>
                </c:pt>
                <c:pt idx="141">
                  <c:v>142</c:v>
                </c:pt>
                <c:pt idx="142">
                  <c:v>143</c:v>
                </c:pt>
                <c:pt idx="143">
                  <c:v>144</c:v>
                </c:pt>
                <c:pt idx="144">
                  <c:v>145</c:v>
                </c:pt>
                <c:pt idx="145">
                  <c:v>146</c:v>
                </c:pt>
                <c:pt idx="146">
                  <c:v>147</c:v>
                </c:pt>
                <c:pt idx="147">
                  <c:v>148</c:v>
                </c:pt>
                <c:pt idx="148">
                  <c:v>149</c:v>
                </c:pt>
                <c:pt idx="149">
                  <c:v>150</c:v>
                </c:pt>
                <c:pt idx="150">
                  <c:v>151</c:v>
                </c:pt>
                <c:pt idx="151">
                  <c:v>152</c:v>
                </c:pt>
                <c:pt idx="152">
                  <c:v>153</c:v>
                </c:pt>
                <c:pt idx="153">
                  <c:v>154</c:v>
                </c:pt>
                <c:pt idx="154">
                  <c:v>155</c:v>
                </c:pt>
                <c:pt idx="155">
                  <c:v>156</c:v>
                </c:pt>
                <c:pt idx="156">
                  <c:v>157</c:v>
                </c:pt>
                <c:pt idx="157">
                  <c:v>158</c:v>
                </c:pt>
                <c:pt idx="158">
                  <c:v>159</c:v>
                </c:pt>
                <c:pt idx="159">
                  <c:v>160</c:v>
                </c:pt>
                <c:pt idx="160">
                  <c:v>161</c:v>
                </c:pt>
                <c:pt idx="161">
                  <c:v>162</c:v>
                </c:pt>
                <c:pt idx="162">
                  <c:v>163</c:v>
                </c:pt>
                <c:pt idx="163">
                  <c:v>164</c:v>
                </c:pt>
                <c:pt idx="164">
                  <c:v>165</c:v>
                </c:pt>
                <c:pt idx="165">
                  <c:v>166</c:v>
                </c:pt>
                <c:pt idx="166">
                  <c:v>167</c:v>
                </c:pt>
                <c:pt idx="167">
                  <c:v>168</c:v>
                </c:pt>
                <c:pt idx="168">
                  <c:v>169</c:v>
                </c:pt>
                <c:pt idx="169">
                  <c:v>170</c:v>
                </c:pt>
                <c:pt idx="170">
                  <c:v>171</c:v>
                </c:pt>
                <c:pt idx="171">
                  <c:v>172</c:v>
                </c:pt>
                <c:pt idx="172">
                  <c:v>173</c:v>
                </c:pt>
                <c:pt idx="173">
                  <c:v>174</c:v>
                </c:pt>
                <c:pt idx="174">
                  <c:v>175</c:v>
                </c:pt>
                <c:pt idx="175">
                  <c:v>176</c:v>
                </c:pt>
                <c:pt idx="176">
                  <c:v>177</c:v>
                </c:pt>
                <c:pt idx="177">
                  <c:v>178</c:v>
                </c:pt>
                <c:pt idx="178">
                  <c:v>179</c:v>
                </c:pt>
                <c:pt idx="179">
                  <c:v>180</c:v>
                </c:pt>
                <c:pt idx="180">
                  <c:v>181</c:v>
                </c:pt>
                <c:pt idx="181">
                  <c:v>182</c:v>
                </c:pt>
                <c:pt idx="182">
                  <c:v>183</c:v>
                </c:pt>
                <c:pt idx="183">
                  <c:v>184</c:v>
                </c:pt>
                <c:pt idx="184">
                  <c:v>185</c:v>
                </c:pt>
                <c:pt idx="185">
                  <c:v>186</c:v>
                </c:pt>
                <c:pt idx="186">
                  <c:v>187</c:v>
                </c:pt>
                <c:pt idx="187">
                  <c:v>188</c:v>
                </c:pt>
                <c:pt idx="188">
                  <c:v>189</c:v>
                </c:pt>
                <c:pt idx="189">
                  <c:v>190</c:v>
                </c:pt>
                <c:pt idx="190">
                  <c:v>191</c:v>
                </c:pt>
                <c:pt idx="191">
                  <c:v>192</c:v>
                </c:pt>
                <c:pt idx="192">
                  <c:v>193</c:v>
                </c:pt>
                <c:pt idx="193">
                  <c:v>194</c:v>
                </c:pt>
                <c:pt idx="194">
                  <c:v>195</c:v>
                </c:pt>
                <c:pt idx="195">
                  <c:v>196</c:v>
                </c:pt>
                <c:pt idx="196">
                  <c:v>197</c:v>
                </c:pt>
                <c:pt idx="197">
                  <c:v>198</c:v>
                </c:pt>
                <c:pt idx="198">
                  <c:v>199</c:v>
                </c:pt>
                <c:pt idx="199">
                  <c:v>200</c:v>
                </c:pt>
                <c:pt idx="200">
                  <c:v>201</c:v>
                </c:pt>
                <c:pt idx="201">
                  <c:v>202</c:v>
                </c:pt>
                <c:pt idx="202">
                  <c:v>203</c:v>
                </c:pt>
                <c:pt idx="203">
                  <c:v>204</c:v>
                </c:pt>
                <c:pt idx="204">
                  <c:v>205</c:v>
                </c:pt>
                <c:pt idx="205">
                  <c:v>206</c:v>
                </c:pt>
                <c:pt idx="206">
                  <c:v>207</c:v>
                </c:pt>
                <c:pt idx="207">
                  <c:v>208</c:v>
                </c:pt>
                <c:pt idx="208">
                  <c:v>209</c:v>
                </c:pt>
                <c:pt idx="209">
                  <c:v>210</c:v>
                </c:pt>
                <c:pt idx="210">
                  <c:v>211</c:v>
                </c:pt>
                <c:pt idx="211">
                  <c:v>212</c:v>
                </c:pt>
                <c:pt idx="212">
                  <c:v>213</c:v>
                </c:pt>
                <c:pt idx="213">
                  <c:v>214</c:v>
                </c:pt>
                <c:pt idx="214">
                  <c:v>215</c:v>
                </c:pt>
                <c:pt idx="215">
                  <c:v>216</c:v>
                </c:pt>
                <c:pt idx="216">
                  <c:v>217</c:v>
                </c:pt>
                <c:pt idx="217">
                  <c:v>218</c:v>
                </c:pt>
                <c:pt idx="218">
                  <c:v>219</c:v>
                </c:pt>
                <c:pt idx="219">
                  <c:v>220</c:v>
                </c:pt>
                <c:pt idx="220">
                  <c:v>221</c:v>
                </c:pt>
                <c:pt idx="221">
                  <c:v>222</c:v>
                </c:pt>
                <c:pt idx="222">
                  <c:v>223</c:v>
                </c:pt>
                <c:pt idx="223">
                  <c:v>224</c:v>
                </c:pt>
                <c:pt idx="224">
                  <c:v>225</c:v>
                </c:pt>
                <c:pt idx="225">
                  <c:v>226</c:v>
                </c:pt>
                <c:pt idx="226">
                  <c:v>227</c:v>
                </c:pt>
                <c:pt idx="227">
                  <c:v>228</c:v>
                </c:pt>
                <c:pt idx="228">
                  <c:v>229</c:v>
                </c:pt>
                <c:pt idx="229">
                  <c:v>230</c:v>
                </c:pt>
                <c:pt idx="230">
                  <c:v>231</c:v>
                </c:pt>
                <c:pt idx="231">
                  <c:v>232</c:v>
                </c:pt>
                <c:pt idx="232">
                  <c:v>233</c:v>
                </c:pt>
                <c:pt idx="233">
                  <c:v>234</c:v>
                </c:pt>
                <c:pt idx="234">
                  <c:v>235</c:v>
                </c:pt>
                <c:pt idx="235">
                  <c:v>236</c:v>
                </c:pt>
                <c:pt idx="236">
                  <c:v>237</c:v>
                </c:pt>
                <c:pt idx="237">
                  <c:v>238</c:v>
                </c:pt>
                <c:pt idx="238">
                  <c:v>239</c:v>
                </c:pt>
                <c:pt idx="239">
                  <c:v>240</c:v>
                </c:pt>
                <c:pt idx="240">
                  <c:v>241</c:v>
                </c:pt>
                <c:pt idx="241">
                  <c:v>242</c:v>
                </c:pt>
                <c:pt idx="242">
                  <c:v>243</c:v>
                </c:pt>
                <c:pt idx="243">
                  <c:v>244</c:v>
                </c:pt>
                <c:pt idx="244">
                  <c:v>245</c:v>
                </c:pt>
                <c:pt idx="245">
                  <c:v>246</c:v>
                </c:pt>
                <c:pt idx="246">
                  <c:v>247</c:v>
                </c:pt>
                <c:pt idx="247">
                  <c:v>248</c:v>
                </c:pt>
                <c:pt idx="248">
                  <c:v>249</c:v>
                </c:pt>
                <c:pt idx="249">
                  <c:v>250</c:v>
                </c:pt>
                <c:pt idx="250">
                  <c:v>251</c:v>
                </c:pt>
                <c:pt idx="251">
                  <c:v>252</c:v>
                </c:pt>
                <c:pt idx="252">
                  <c:v>253</c:v>
                </c:pt>
                <c:pt idx="253">
                  <c:v>254</c:v>
                </c:pt>
                <c:pt idx="254">
                  <c:v>255</c:v>
                </c:pt>
                <c:pt idx="255">
                  <c:v>256</c:v>
                </c:pt>
                <c:pt idx="256">
                  <c:v>257</c:v>
                </c:pt>
                <c:pt idx="257">
                  <c:v>258</c:v>
                </c:pt>
                <c:pt idx="258">
                  <c:v>259</c:v>
                </c:pt>
                <c:pt idx="259">
                  <c:v>260</c:v>
                </c:pt>
                <c:pt idx="260">
                  <c:v>261</c:v>
                </c:pt>
                <c:pt idx="261">
                  <c:v>262</c:v>
                </c:pt>
                <c:pt idx="262">
                  <c:v>263</c:v>
                </c:pt>
                <c:pt idx="263">
                  <c:v>264</c:v>
                </c:pt>
                <c:pt idx="264">
                  <c:v>265</c:v>
                </c:pt>
                <c:pt idx="265">
                  <c:v>266</c:v>
                </c:pt>
                <c:pt idx="266">
                  <c:v>267</c:v>
                </c:pt>
                <c:pt idx="267">
                  <c:v>268</c:v>
                </c:pt>
                <c:pt idx="268">
                  <c:v>269</c:v>
                </c:pt>
                <c:pt idx="269">
                  <c:v>270</c:v>
                </c:pt>
                <c:pt idx="270">
                  <c:v>271</c:v>
                </c:pt>
                <c:pt idx="271">
                  <c:v>272</c:v>
                </c:pt>
                <c:pt idx="272">
                  <c:v>273</c:v>
                </c:pt>
                <c:pt idx="273">
                  <c:v>274</c:v>
                </c:pt>
                <c:pt idx="274">
                  <c:v>275</c:v>
                </c:pt>
                <c:pt idx="275">
                  <c:v>276</c:v>
                </c:pt>
                <c:pt idx="276">
                  <c:v>277</c:v>
                </c:pt>
                <c:pt idx="277">
                  <c:v>278</c:v>
                </c:pt>
                <c:pt idx="278">
                  <c:v>279</c:v>
                </c:pt>
                <c:pt idx="279">
                  <c:v>280</c:v>
                </c:pt>
                <c:pt idx="280">
                  <c:v>281</c:v>
                </c:pt>
                <c:pt idx="281">
                  <c:v>282</c:v>
                </c:pt>
                <c:pt idx="282">
                  <c:v>283</c:v>
                </c:pt>
                <c:pt idx="283">
                  <c:v>284</c:v>
                </c:pt>
                <c:pt idx="284">
                  <c:v>285</c:v>
                </c:pt>
                <c:pt idx="285">
                  <c:v>286</c:v>
                </c:pt>
                <c:pt idx="286">
                  <c:v>287</c:v>
                </c:pt>
                <c:pt idx="287">
                  <c:v>288</c:v>
                </c:pt>
                <c:pt idx="288">
                  <c:v>289</c:v>
                </c:pt>
                <c:pt idx="289">
                  <c:v>290</c:v>
                </c:pt>
                <c:pt idx="290">
                  <c:v>291</c:v>
                </c:pt>
                <c:pt idx="291">
                  <c:v>292</c:v>
                </c:pt>
                <c:pt idx="292">
                  <c:v>293</c:v>
                </c:pt>
                <c:pt idx="293">
                  <c:v>294</c:v>
                </c:pt>
                <c:pt idx="294">
                  <c:v>295</c:v>
                </c:pt>
                <c:pt idx="295">
                  <c:v>296</c:v>
                </c:pt>
                <c:pt idx="296">
                  <c:v>297</c:v>
                </c:pt>
                <c:pt idx="297">
                  <c:v>298</c:v>
                </c:pt>
                <c:pt idx="298">
                  <c:v>299</c:v>
                </c:pt>
                <c:pt idx="299">
                  <c:v>300</c:v>
                </c:pt>
                <c:pt idx="300">
                  <c:v>301</c:v>
                </c:pt>
                <c:pt idx="301">
                  <c:v>302</c:v>
                </c:pt>
                <c:pt idx="302">
                  <c:v>303</c:v>
                </c:pt>
                <c:pt idx="303">
                  <c:v>304</c:v>
                </c:pt>
                <c:pt idx="304">
                  <c:v>305</c:v>
                </c:pt>
                <c:pt idx="305">
                  <c:v>306</c:v>
                </c:pt>
                <c:pt idx="306">
                  <c:v>307</c:v>
                </c:pt>
                <c:pt idx="307">
                  <c:v>308</c:v>
                </c:pt>
                <c:pt idx="308">
                  <c:v>309</c:v>
                </c:pt>
                <c:pt idx="309">
                  <c:v>310</c:v>
                </c:pt>
                <c:pt idx="310">
                  <c:v>311</c:v>
                </c:pt>
                <c:pt idx="311">
                  <c:v>312</c:v>
                </c:pt>
                <c:pt idx="312">
                  <c:v>313</c:v>
                </c:pt>
                <c:pt idx="313">
                  <c:v>314</c:v>
                </c:pt>
                <c:pt idx="314">
                  <c:v>315</c:v>
                </c:pt>
                <c:pt idx="315">
                  <c:v>316</c:v>
                </c:pt>
                <c:pt idx="316">
                  <c:v>317</c:v>
                </c:pt>
                <c:pt idx="317">
                  <c:v>318</c:v>
                </c:pt>
                <c:pt idx="318">
                  <c:v>319</c:v>
                </c:pt>
                <c:pt idx="319">
                  <c:v>320</c:v>
                </c:pt>
                <c:pt idx="320">
                  <c:v>321</c:v>
                </c:pt>
                <c:pt idx="321">
                  <c:v>322</c:v>
                </c:pt>
                <c:pt idx="322">
                  <c:v>323</c:v>
                </c:pt>
                <c:pt idx="323">
                  <c:v>324</c:v>
                </c:pt>
                <c:pt idx="324">
                  <c:v>325</c:v>
                </c:pt>
                <c:pt idx="325">
                  <c:v>326</c:v>
                </c:pt>
                <c:pt idx="326">
                  <c:v>327</c:v>
                </c:pt>
                <c:pt idx="327">
                  <c:v>328</c:v>
                </c:pt>
                <c:pt idx="328">
                  <c:v>329</c:v>
                </c:pt>
                <c:pt idx="329">
                  <c:v>330</c:v>
                </c:pt>
                <c:pt idx="330">
                  <c:v>331</c:v>
                </c:pt>
                <c:pt idx="331">
                  <c:v>332</c:v>
                </c:pt>
                <c:pt idx="332">
                  <c:v>333</c:v>
                </c:pt>
                <c:pt idx="333">
                  <c:v>334</c:v>
                </c:pt>
                <c:pt idx="334">
                  <c:v>335</c:v>
                </c:pt>
                <c:pt idx="335">
                  <c:v>336</c:v>
                </c:pt>
                <c:pt idx="336">
                  <c:v>337</c:v>
                </c:pt>
                <c:pt idx="337">
                  <c:v>338</c:v>
                </c:pt>
                <c:pt idx="338">
                  <c:v>339</c:v>
                </c:pt>
                <c:pt idx="339">
                  <c:v>340</c:v>
                </c:pt>
                <c:pt idx="340">
                  <c:v>341</c:v>
                </c:pt>
                <c:pt idx="341">
                  <c:v>342</c:v>
                </c:pt>
                <c:pt idx="342">
                  <c:v>343</c:v>
                </c:pt>
                <c:pt idx="343">
                  <c:v>344</c:v>
                </c:pt>
                <c:pt idx="344">
                  <c:v>345</c:v>
                </c:pt>
                <c:pt idx="345">
                  <c:v>346</c:v>
                </c:pt>
                <c:pt idx="346">
                  <c:v>347</c:v>
                </c:pt>
                <c:pt idx="347">
                  <c:v>348</c:v>
                </c:pt>
                <c:pt idx="348">
                  <c:v>349</c:v>
                </c:pt>
                <c:pt idx="349">
                  <c:v>350</c:v>
                </c:pt>
                <c:pt idx="350">
                  <c:v>351</c:v>
                </c:pt>
                <c:pt idx="351">
                  <c:v>352</c:v>
                </c:pt>
                <c:pt idx="352">
                  <c:v>353</c:v>
                </c:pt>
                <c:pt idx="353">
                  <c:v>354</c:v>
                </c:pt>
                <c:pt idx="354">
                  <c:v>355</c:v>
                </c:pt>
                <c:pt idx="355">
                  <c:v>356</c:v>
                </c:pt>
                <c:pt idx="356">
                  <c:v>357</c:v>
                </c:pt>
                <c:pt idx="357">
                  <c:v>358</c:v>
                </c:pt>
                <c:pt idx="358">
                  <c:v>359</c:v>
                </c:pt>
                <c:pt idx="359">
                  <c:v>360</c:v>
                </c:pt>
                <c:pt idx="360">
                  <c:v>361</c:v>
                </c:pt>
                <c:pt idx="361">
                  <c:v>362</c:v>
                </c:pt>
                <c:pt idx="362">
                  <c:v>363</c:v>
                </c:pt>
                <c:pt idx="363">
                  <c:v>364</c:v>
                </c:pt>
                <c:pt idx="364">
                  <c:v>365</c:v>
                </c:pt>
                <c:pt idx="365">
                  <c:v>366</c:v>
                </c:pt>
                <c:pt idx="366">
                  <c:v>367</c:v>
                </c:pt>
                <c:pt idx="367">
                  <c:v>368</c:v>
                </c:pt>
                <c:pt idx="368">
                  <c:v>369</c:v>
                </c:pt>
                <c:pt idx="369">
                  <c:v>370</c:v>
                </c:pt>
                <c:pt idx="370">
                  <c:v>371</c:v>
                </c:pt>
                <c:pt idx="371">
                  <c:v>372</c:v>
                </c:pt>
                <c:pt idx="372">
                  <c:v>373</c:v>
                </c:pt>
                <c:pt idx="373">
                  <c:v>374</c:v>
                </c:pt>
                <c:pt idx="374">
                  <c:v>375</c:v>
                </c:pt>
                <c:pt idx="375">
                  <c:v>376</c:v>
                </c:pt>
                <c:pt idx="376">
                  <c:v>377</c:v>
                </c:pt>
                <c:pt idx="377">
                  <c:v>378</c:v>
                </c:pt>
                <c:pt idx="378">
                  <c:v>379</c:v>
                </c:pt>
                <c:pt idx="379">
                  <c:v>380</c:v>
                </c:pt>
                <c:pt idx="380">
                  <c:v>381</c:v>
                </c:pt>
                <c:pt idx="381">
                  <c:v>382</c:v>
                </c:pt>
                <c:pt idx="382">
                  <c:v>383</c:v>
                </c:pt>
                <c:pt idx="383">
                  <c:v>384</c:v>
                </c:pt>
                <c:pt idx="384">
                  <c:v>385</c:v>
                </c:pt>
                <c:pt idx="385">
                  <c:v>386</c:v>
                </c:pt>
                <c:pt idx="386">
                  <c:v>387</c:v>
                </c:pt>
                <c:pt idx="387">
                  <c:v>388</c:v>
                </c:pt>
                <c:pt idx="388">
                  <c:v>389</c:v>
                </c:pt>
                <c:pt idx="389">
                  <c:v>390</c:v>
                </c:pt>
                <c:pt idx="390">
                  <c:v>391</c:v>
                </c:pt>
                <c:pt idx="391">
                  <c:v>392</c:v>
                </c:pt>
                <c:pt idx="392">
                  <c:v>393</c:v>
                </c:pt>
                <c:pt idx="393">
                  <c:v>394</c:v>
                </c:pt>
                <c:pt idx="394">
                  <c:v>395</c:v>
                </c:pt>
                <c:pt idx="395">
                  <c:v>396</c:v>
                </c:pt>
                <c:pt idx="396">
                  <c:v>397</c:v>
                </c:pt>
                <c:pt idx="397">
                  <c:v>398</c:v>
                </c:pt>
                <c:pt idx="398">
                  <c:v>399</c:v>
                </c:pt>
                <c:pt idx="399">
                  <c:v>400</c:v>
                </c:pt>
                <c:pt idx="400">
                  <c:v>401</c:v>
                </c:pt>
                <c:pt idx="401">
                  <c:v>402</c:v>
                </c:pt>
                <c:pt idx="402">
                  <c:v>403</c:v>
                </c:pt>
                <c:pt idx="403">
                  <c:v>404</c:v>
                </c:pt>
                <c:pt idx="404">
                  <c:v>405</c:v>
                </c:pt>
                <c:pt idx="405">
                  <c:v>406</c:v>
                </c:pt>
                <c:pt idx="406">
                  <c:v>407</c:v>
                </c:pt>
                <c:pt idx="407">
                  <c:v>408</c:v>
                </c:pt>
                <c:pt idx="408">
                  <c:v>409</c:v>
                </c:pt>
                <c:pt idx="409">
                  <c:v>410</c:v>
                </c:pt>
                <c:pt idx="410">
                  <c:v>411</c:v>
                </c:pt>
                <c:pt idx="411">
                  <c:v>412</c:v>
                </c:pt>
                <c:pt idx="412">
                  <c:v>413</c:v>
                </c:pt>
                <c:pt idx="413">
                  <c:v>414</c:v>
                </c:pt>
                <c:pt idx="414">
                  <c:v>415</c:v>
                </c:pt>
                <c:pt idx="415">
                  <c:v>416</c:v>
                </c:pt>
                <c:pt idx="416">
                  <c:v>417</c:v>
                </c:pt>
                <c:pt idx="417">
                  <c:v>418</c:v>
                </c:pt>
                <c:pt idx="418">
                  <c:v>419</c:v>
                </c:pt>
                <c:pt idx="419">
                  <c:v>420</c:v>
                </c:pt>
                <c:pt idx="420">
                  <c:v>421</c:v>
                </c:pt>
                <c:pt idx="421">
                  <c:v>422</c:v>
                </c:pt>
                <c:pt idx="422">
                  <c:v>423</c:v>
                </c:pt>
                <c:pt idx="423">
                  <c:v>424</c:v>
                </c:pt>
                <c:pt idx="424">
                  <c:v>425</c:v>
                </c:pt>
                <c:pt idx="425">
                  <c:v>426</c:v>
                </c:pt>
                <c:pt idx="426">
                  <c:v>427</c:v>
                </c:pt>
                <c:pt idx="427">
                  <c:v>428</c:v>
                </c:pt>
                <c:pt idx="428">
                  <c:v>429</c:v>
                </c:pt>
                <c:pt idx="429">
                  <c:v>430</c:v>
                </c:pt>
                <c:pt idx="430">
                  <c:v>431</c:v>
                </c:pt>
                <c:pt idx="431">
                  <c:v>432</c:v>
                </c:pt>
                <c:pt idx="432">
                  <c:v>433</c:v>
                </c:pt>
                <c:pt idx="433">
                  <c:v>434</c:v>
                </c:pt>
                <c:pt idx="434">
                  <c:v>435</c:v>
                </c:pt>
                <c:pt idx="435">
                  <c:v>436</c:v>
                </c:pt>
                <c:pt idx="436">
                  <c:v>437</c:v>
                </c:pt>
                <c:pt idx="437">
                  <c:v>438</c:v>
                </c:pt>
                <c:pt idx="438">
                  <c:v>439</c:v>
                </c:pt>
                <c:pt idx="439">
                  <c:v>440</c:v>
                </c:pt>
                <c:pt idx="440">
                  <c:v>441</c:v>
                </c:pt>
                <c:pt idx="441">
                  <c:v>442</c:v>
                </c:pt>
                <c:pt idx="442">
                  <c:v>443</c:v>
                </c:pt>
                <c:pt idx="443">
                  <c:v>444</c:v>
                </c:pt>
                <c:pt idx="444">
                  <c:v>445</c:v>
                </c:pt>
                <c:pt idx="445">
                  <c:v>446</c:v>
                </c:pt>
                <c:pt idx="446">
                  <c:v>447</c:v>
                </c:pt>
                <c:pt idx="447">
                  <c:v>448</c:v>
                </c:pt>
                <c:pt idx="448">
                  <c:v>449</c:v>
                </c:pt>
                <c:pt idx="449">
                  <c:v>450</c:v>
                </c:pt>
                <c:pt idx="450">
                  <c:v>451</c:v>
                </c:pt>
                <c:pt idx="451">
                  <c:v>452</c:v>
                </c:pt>
                <c:pt idx="452">
                  <c:v>453</c:v>
                </c:pt>
                <c:pt idx="453">
                  <c:v>454</c:v>
                </c:pt>
                <c:pt idx="454">
                  <c:v>455</c:v>
                </c:pt>
                <c:pt idx="455">
                  <c:v>456</c:v>
                </c:pt>
                <c:pt idx="456">
                  <c:v>457</c:v>
                </c:pt>
                <c:pt idx="457">
                  <c:v>458</c:v>
                </c:pt>
                <c:pt idx="458">
                  <c:v>459</c:v>
                </c:pt>
                <c:pt idx="459">
                  <c:v>460</c:v>
                </c:pt>
                <c:pt idx="460">
                  <c:v>461</c:v>
                </c:pt>
                <c:pt idx="461">
                  <c:v>462</c:v>
                </c:pt>
                <c:pt idx="462">
                  <c:v>463</c:v>
                </c:pt>
                <c:pt idx="463">
                  <c:v>464</c:v>
                </c:pt>
                <c:pt idx="464">
                  <c:v>465</c:v>
                </c:pt>
                <c:pt idx="465">
                  <c:v>466</c:v>
                </c:pt>
                <c:pt idx="466">
                  <c:v>467</c:v>
                </c:pt>
                <c:pt idx="467">
                  <c:v>468</c:v>
                </c:pt>
                <c:pt idx="468">
                  <c:v>469</c:v>
                </c:pt>
                <c:pt idx="469">
                  <c:v>470</c:v>
                </c:pt>
                <c:pt idx="470">
                  <c:v>471</c:v>
                </c:pt>
                <c:pt idx="471">
                  <c:v>472</c:v>
                </c:pt>
              </c:numCache>
            </c:numRef>
          </c:xVal>
          <c:yVal>
            <c:numRef>
              <c:f>'RASA Data'!$B$2:$B$473</c:f>
              <c:numCache>
                <c:formatCode>General</c:formatCode>
                <c:ptCount val="472"/>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30.5</c:v>
                </c:pt>
                <c:pt idx="30">
                  <c:v>30.5</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95.5</c:v>
                </c:pt>
                <c:pt idx="95">
                  <c:v>95.5</c:v>
                </c:pt>
                <c:pt idx="96">
                  <c:v>97</c:v>
                </c:pt>
                <c:pt idx="97">
                  <c:v>98</c:v>
                </c:pt>
                <c:pt idx="98">
                  <c:v>99</c:v>
                </c:pt>
                <c:pt idx="99">
                  <c:v>100</c:v>
                </c:pt>
                <c:pt idx="100">
                  <c:v>101</c:v>
                </c:pt>
                <c:pt idx="101">
                  <c:v>102</c:v>
                </c:pt>
                <c:pt idx="102">
                  <c:v>103</c:v>
                </c:pt>
                <c:pt idx="103">
                  <c:v>104</c:v>
                </c:pt>
                <c:pt idx="104">
                  <c:v>105</c:v>
                </c:pt>
                <c:pt idx="105">
                  <c:v>106</c:v>
                </c:pt>
                <c:pt idx="106">
                  <c:v>107</c:v>
                </c:pt>
                <c:pt idx="107">
                  <c:v>108</c:v>
                </c:pt>
                <c:pt idx="108">
                  <c:v>109</c:v>
                </c:pt>
                <c:pt idx="109">
                  <c:v>110</c:v>
                </c:pt>
                <c:pt idx="110">
                  <c:v>111</c:v>
                </c:pt>
                <c:pt idx="111">
                  <c:v>112</c:v>
                </c:pt>
                <c:pt idx="112">
                  <c:v>113</c:v>
                </c:pt>
                <c:pt idx="113">
                  <c:v>114</c:v>
                </c:pt>
                <c:pt idx="114">
                  <c:v>115</c:v>
                </c:pt>
                <c:pt idx="115">
                  <c:v>116</c:v>
                </c:pt>
                <c:pt idx="116">
                  <c:v>117</c:v>
                </c:pt>
                <c:pt idx="117">
                  <c:v>118</c:v>
                </c:pt>
                <c:pt idx="118">
                  <c:v>119</c:v>
                </c:pt>
                <c:pt idx="119">
                  <c:v>120</c:v>
                </c:pt>
                <c:pt idx="120">
                  <c:v>121</c:v>
                </c:pt>
                <c:pt idx="121">
                  <c:v>122</c:v>
                </c:pt>
                <c:pt idx="122">
                  <c:v>123</c:v>
                </c:pt>
                <c:pt idx="123">
                  <c:v>124</c:v>
                </c:pt>
                <c:pt idx="124">
                  <c:v>125</c:v>
                </c:pt>
                <c:pt idx="125">
                  <c:v>126</c:v>
                </c:pt>
                <c:pt idx="126">
                  <c:v>127.5</c:v>
                </c:pt>
                <c:pt idx="127">
                  <c:v>127.5</c:v>
                </c:pt>
                <c:pt idx="128">
                  <c:v>129</c:v>
                </c:pt>
                <c:pt idx="129">
                  <c:v>130</c:v>
                </c:pt>
                <c:pt idx="130">
                  <c:v>131</c:v>
                </c:pt>
                <c:pt idx="131">
                  <c:v>132</c:v>
                </c:pt>
                <c:pt idx="132">
                  <c:v>133</c:v>
                </c:pt>
                <c:pt idx="133">
                  <c:v>134</c:v>
                </c:pt>
                <c:pt idx="134">
                  <c:v>135.5</c:v>
                </c:pt>
                <c:pt idx="135">
                  <c:v>135.5</c:v>
                </c:pt>
                <c:pt idx="136">
                  <c:v>137</c:v>
                </c:pt>
                <c:pt idx="137">
                  <c:v>138</c:v>
                </c:pt>
                <c:pt idx="138">
                  <c:v>139</c:v>
                </c:pt>
                <c:pt idx="139">
                  <c:v>140</c:v>
                </c:pt>
                <c:pt idx="140">
                  <c:v>141</c:v>
                </c:pt>
                <c:pt idx="141">
                  <c:v>142</c:v>
                </c:pt>
                <c:pt idx="142">
                  <c:v>143</c:v>
                </c:pt>
                <c:pt idx="143">
                  <c:v>144</c:v>
                </c:pt>
                <c:pt idx="144">
                  <c:v>145</c:v>
                </c:pt>
                <c:pt idx="145">
                  <c:v>146</c:v>
                </c:pt>
                <c:pt idx="146">
                  <c:v>147</c:v>
                </c:pt>
                <c:pt idx="147">
                  <c:v>148</c:v>
                </c:pt>
                <c:pt idx="148">
                  <c:v>149</c:v>
                </c:pt>
                <c:pt idx="149">
                  <c:v>150</c:v>
                </c:pt>
                <c:pt idx="150">
                  <c:v>151</c:v>
                </c:pt>
                <c:pt idx="151">
                  <c:v>152</c:v>
                </c:pt>
                <c:pt idx="152">
                  <c:v>153</c:v>
                </c:pt>
                <c:pt idx="153">
                  <c:v>154</c:v>
                </c:pt>
                <c:pt idx="154">
                  <c:v>155</c:v>
                </c:pt>
                <c:pt idx="155">
                  <c:v>156</c:v>
                </c:pt>
                <c:pt idx="156">
                  <c:v>157</c:v>
                </c:pt>
                <c:pt idx="157">
                  <c:v>158.5</c:v>
                </c:pt>
                <c:pt idx="158">
                  <c:v>158.5</c:v>
                </c:pt>
                <c:pt idx="159">
                  <c:v>160</c:v>
                </c:pt>
                <c:pt idx="160">
                  <c:v>161</c:v>
                </c:pt>
                <c:pt idx="161">
                  <c:v>162</c:v>
                </c:pt>
                <c:pt idx="162">
                  <c:v>163</c:v>
                </c:pt>
                <c:pt idx="163">
                  <c:v>164</c:v>
                </c:pt>
                <c:pt idx="164">
                  <c:v>165</c:v>
                </c:pt>
                <c:pt idx="165">
                  <c:v>166</c:v>
                </c:pt>
                <c:pt idx="166">
                  <c:v>167</c:v>
                </c:pt>
                <c:pt idx="167">
                  <c:v>168</c:v>
                </c:pt>
                <c:pt idx="168">
                  <c:v>169</c:v>
                </c:pt>
                <c:pt idx="169">
                  <c:v>170</c:v>
                </c:pt>
                <c:pt idx="170">
                  <c:v>171</c:v>
                </c:pt>
                <c:pt idx="171">
                  <c:v>172</c:v>
                </c:pt>
                <c:pt idx="172">
                  <c:v>173</c:v>
                </c:pt>
                <c:pt idx="173">
                  <c:v>174</c:v>
                </c:pt>
                <c:pt idx="174">
                  <c:v>175</c:v>
                </c:pt>
                <c:pt idx="175">
                  <c:v>176</c:v>
                </c:pt>
                <c:pt idx="176">
                  <c:v>177</c:v>
                </c:pt>
                <c:pt idx="177">
                  <c:v>178</c:v>
                </c:pt>
                <c:pt idx="178">
                  <c:v>179</c:v>
                </c:pt>
                <c:pt idx="179">
                  <c:v>180</c:v>
                </c:pt>
                <c:pt idx="180">
                  <c:v>181</c:v>
                </c:pt>
                <c:pt idx="181">
                  <c:v>182.5</c:v>
                </c:pt>
                <c:pt idx="182">
                  <c:v>182.5</c:v>
                </c:pt>
                <c:pt idx="183">
                  <c:v>184</c:v>
                </c:pt>
                <c:pt idx="184">
                  <c:v>185.5</c:v>
                </c:pt>
                <c:pt idx="185">
                  <c:v>185.5</c:v>
                </c:pt>
                <c:pt idx="186">
                  <c:v>187</c:v>
                </c:pt>
                <c:pt idx="187">
                  <c:v>188</c:v>
                </c:pt>
                <c:pt idx="188">
                  <c:v>189</c:v>
                </c:pt>
                <c:pt idx="189">
                  <c:v>190</c:v>
                </c:pt>
                <c:pt idx="190">
                  <c:v>191</c:v>
                </c:pt>
                <c:pt idx="191">
                  <c:v>192</c:v>
                </c:pt>
                <c:pt idx="192">
                  <c:v>193</c:v>
                </c:pt>
                <c:pt idx="193">
                  <c:v>194.5</c:v>
                </c:pt>
                <c:pt idx="194">
                  <c:v>194.5</c:v>
                </c:pt>
                <c:pt idx="195">
                  <c:v>196</c:v>
                </c:pt>
                <c:pt idx="196">
                  <c:v>197</c:v>
                </c:pt>
                <c:pt idx="197">
                  <c:v>198</c:v>
                </c:pt>
                <c:pt idx="198">
                  <c:v>199</c:v>
                </c:pt>
                <c:pt idx="199">
                  <c:v>200</c:v>
                </c:pt>
                <c:pt idx="200">
                  <c:v>201</c:v>
                </c:pt>
                <c:pt idx="201">
                  <c:v>202</c:v>
                </c:pt>
                <c:pt idx="202">
                  <c:v>203</c:v>
                </c:pt>
                <c:pt idx="203">
                  <c:v>204</c:v>
                </c:pt>
                <c:pt idx="204">
                  <c:v>205</c:v>
                </c:pt>
                <c:pt idx="205">
                  <c:v>206</c:v>
                </c:pt>
                <c:pt idx="206">
                  <c:v>207</c:v>
                </c:pt>
                <c:pt idx="207">
                  <c:v>208</c:v>
                </c:pt>
                <c:pt idx="208">
                  <c:v>209</c:v>
                </c:pt>
                <c:pt idx="209">
                  <c:v>210</c:v>
                </c:pt>
                <c:pt idx="210">
                  <c:v>211</c:v>
                </c:pt>
                <c:pt idx="211">
                  <c:v>212</c:v>
                </c:pt>
                <c:pt idx="212">
                  <c:v>213</c:v>
                </c:pt>
                <c:pt idx="213">
                  <c:v>214</c:v>
                </c:pt>
                <c:pt idx="214">
                  <c:v>215</c:v>
                </c:pt>
                <c:pt idx="215">
                  <c:v>216</c:v>
                </c:pt>
                <c:pt idx="216">
                  <c:v>217</c:v>
                </c:pt>
                <c:pt idx="217">
                  <c:v>218</c:v>
                </c:pt>
                <c:pt idx="218">
                  <c:v>219</c:v>
                </c:pt>
                <c:pt idx="219">
                  <c:v>220</c:v>
                </c:pt>
                <c:pt idx="220">
                  <c:v>221</c:v>
                </c:pt>
                <c:pt idx="221">
                  <c:v>222</c:v>
                </c:pt>
                <c:pt idx="222">
                  <c:v>223</c:v>
                </c:pt>
                <c:pt idx="223">
                  <c:v>224</c:v>
                </c:pt>
                <c:pt idx="224">
                  <c:v>225</c:v>
                </c:pt>
                <c:pt idx="225">
                  <c:v>226</c:v>
                </c:pt>
                <c:pt idx="226">
                  <c:v>227</c:v>
                </c:pt>
                <c:pt idx="227">
                  <c:v>228</c:v>
                </c:pt>
                <c:pt idx="228">
                  <c:v>229.5</c:v>
                </c:pt>
                <c:pt idx="229">
                  <c:v>229.5</c:v>
                </c:pt>
                <c:pt idx="230">
                  <c:v>231</c:v>
                </c:pt>
                <c:pt idx="231">
                  <c:v>232</c:v>
                </c:pt>
                <c:pt idx="232">
                  <c:v>233</c:v>
                </c:pt>
                <c:pt idx="233">
                  <c:v>234</c:v>
                </c:pt>
                <c:pt idx="234">
                  <c:v>235</c:v>
                </c:pt>
                <c:pt idx="235">
                  <c:v>236</c:v>
                </c:pt>
                <c:pt idx="236">
                  <c:v>238</c:v>
                </c:pt>
                <c:pt idx="237">
                  <c:v>238</c:v>
                </c:pt>
                <c:pt idx="238">
                  <c:v>238</c:v>
                </c:pt>
                <c:pt idx="239">
                  <c:v>240</c:v>
                </c:pt>
                <c:pt idx="240">
                  <c:v>241</c:v>
                </c:pt>
                <c:pt idx="241">
                  <c:v>242</c:v>
                </c:pt>
                <c:pt idx="242">
                  <c:v>243</c:v>
                </c:pt>
                <c:pt idx="243">
                  <c:v>244</c:v>
                </c:pt>
                <c:pt idx="244">
                  <c:v>245</c:v>
                </c:pt>
                <c:pt idx="245">
                  <c:v>246</c:v>
                </c:pt>
                <c:pt idx="246">
                  <c:v>247</c:v>
                </c:pt>
                <c:pt idx="247">
                  <c:v>248</c:v>
                </c:pt>
                <c:pt idx="248">
                  <c:v>249</c:v>
                </c:pt>
                <c:pt idx="249">
                  <c:v>250</c:v>
                </c:pt>
                <c:pt idx="250">
                  <c:v>251</c:v>
                </c:pt>
                <c:pt idx="251">
                  <c:v>252</c:v>
                </c:pt>
                <c:pt idx="252">
                  <c:v>253</c:v>
                </c:pt>
                <c:pt idx="253">
                  <c:v>254</c:v>
                </c:pt>
                <c:pt idx="254">
                  <c:v>255</c:v>
                </c:pt>
                <c:pt idx="255">
                  <c:v>256</c:v>
                </c:pt>
                <c:pt idx="256">
                  <c:v>257</c:v>
                </c:pt>
                <c:pt idx="257">
                  <c:v>258</c:v>
                </c:pt>
                <c:pt idx="258">
                  <c:v>259</c:v>
                </c:pt>
                <c:pt idx="259">
                  <c:v>260</c:v>
                </c:pt>
                <c:pt idx="260">
                  <c:v>261</c:v>
                </c:pt>
                <c:pt idx="261">
                  <c:v>262</c:v>
                </c:pt>
                <c:pt idx="262">
                  <c:v>263</c:v>
                </c:pt>
                <c:pt idx="263">
                  <c:v>264</c:v>
                </c:pt>
                <c:pt idx="264">
                  <c:v>265</c:v>
                </c:pt>
                <c:pt idx="265">
                  <c:v>266</c:v>
                </c:pt>
                <c:pt idx="266">
                  <c:v>267</c:v>
                </c:pt>
                <c:pt idx="267">
                  <c:v>268</c:v>
                </c:pt>
                <c:pt idx="268">
                  <c:v>269</c:v>
                </c:pt>
                <c:pt idx="269">
                  <c:v>270</c:v>
                </c:pt>
                <c:pt idx="270">
                  <c:v>271</c:v>
                </c:pt>
                <c:pt idx="271">
                  <c:v>272</c:v>
                </c:pt>
                <c:pt idx="272">
                  <c:v>274.5</c:v>
                </c:pt>
                <c:pt idx="273">
                  <c:v>274.5</c:v>
                </c:pt>
                <c:pt idx="274">
                  <c:v>274.5</c:v>
                </c:pt>
                <c:pt idx="275">
                  <c:v>274.5</c:v>
                </c:pt>
                <c:pt idx="276">
                  <c:v>277</c:v>
                </c:pt>
                <c:pt idx="277">
                  <c:v>278</c:v>
                </c:pt>
                <c:pt idx="278">
                  <c:v>279</c:v>
                </c:pt>
                <c:pt idx="279">
                  <c:v>280</c:v>
                </c:pt>
                <c:pt idx="280">
                  <c:v>281.5</c:v>
                </c:pt>
                <c:pt idx="281">
                  <c:v>281.5</c:v>
                </c:pt>
                <c:pt idx="282">
                  <c:v>283</c:v>
                </c:pt>
                <c:pt idx="283">
                  <c:v>284</c:v>
                </c:pt>
                <c:pt idx="284">
                  <c:v>285</c:v>
                </c:pt>
                <c:pt idx="285">
                  <c:v>286</c:v>
                </c:pt>
                <c:pt idx="286">
                  <c:v>287</c:v>
                </c:pt>
                <c:pt idx="287">
                  <c:v>288</c:v>
                </c:pt>
                <c:pt idx="288">
                  <c:v>289</c:v>
                </c:pt>
                <c:pt idx="289">
                  <c:v>290</c:v>
                </c:pt>
                <c:pt idx="290">
                  <c:v>291</c:v>
                </c:pt>
                <c:pt idx="291">
                  <c:v>292</c:v>
                </c:pt>
                <c:pt idx="292">
                  <c:v>293</c:v>
                </c:pt>
                <c:pt idx="293">
                  <c:v>294</c:v>
                </c:pt>
                <c:pt idx="294">
                  <c:v>295</c:v>
                </c:pt>
                <c:pt idx="295">
                  <c:v>296</c:v>
                </c:pt>
                <c:pt idx="296">
                  <c:v>297</c:v>
                </c:pt>
                <c:pt idx="297">
                  <c:v>298</c:v>
                </c:pt>
                <c:pt idx="298">
                  <c:v>299</c:v>
                </c:pt>
                <c:pt idx="299">
                  <c:v>300</c:v>
                </c:pt>
                <c:pt idx="300">
                  <c:v>301</c:v>
                </c:pt>
                <c:pt idx="301">
                  <c:v>302</c:v>
                </c:pt>
                <c:pt idx="302">
                  <c:v>303</c:v>
                </c:pt>
                <c:pt idx="303">
                  <c:v>304</c:v>
                </c:pt>
                <c:pt idx="304">
                  <c:v>305</c:v>
                </c:pt>
                <c:pt idx="305">
                  <c:v>306</c:v>
                </c:pt>
                <c:pt idx="306">
                  <c:v>307</c:v>
                </c:pt>
                <c:pt idx="307">
                  <c:v>308</c:v>
                </c:pt>
                <c:pt idx="308">
                  <c:v>309</c:v>
                </c:pt>
                <c:pt idx="309">
                  <c:v>310</c:v>
                </c:pt>
                <c:pt idx="310">
                  <c:v>311</c:v>
                </c:pt>
                <c:pt idx="311">
                  <c:v>312</c:v>
                </c:pt>
                <c:pt idx="312">
                  <c:v>313</c:v>
                </c:pt>
                <c:pt idx="313">
                  <c:v>314</c:v>
                </c:pt>
                <c:pt idx="314">
                  <c:v>315</c:v>
                </c:pt>
                <c:pt idx="315">
                  <c:v>316</c:v>
                </c:pt>
                <c:pt idx="316">
                  <c:v>317</c:v>
                </c:pt>
                <c:pt idx="317">
                  <c:v>318</c:v>
                </c:pt>
                <c:pt idx="318">
                  <c:v>319</c:v>
                </c:pt>
                <c:pt idx="319">
                  <c:v>320</c:v>
                </c:pt>
                <c:pt idx="320">
                  <c:v>321</c:v>
                </c:pt>
                <c:pt idx="321">
                  <c:v>322</c:v>
                </c:pt>
                <c:pt idx="322">
                  <c:v>323</c:v>
                </c:pt>
                <c:pt idx="323">
                  <c:v>324</c:v>
                </c:pt>
                <c:pt idx="324">
                  <c:v>325</c:v>
                </c:pt>
                <c:pt idx="325">
                  <c:v>326</c:v>
                </c:pt>
                <c:pt idx="326">
                  <c:v>327</c:v>
                </c:pt>
                <c:pt idx="327">
                  <c:v>328.5</c:v>
                </c:pt>
                <c:pt idx="328">
                  <c:v>328.5</c:v>
                </c:pt>
                <c:pt idx="329">
                  <c:v>330</c:v>
                </c:pt>
                <c:pt idx="330">
                  <c:v>331.5</c:v>
                </c:pt>
                <c:pt idx="331">
                  <c:v>331.5</c:v>
                </c:pt>
                <c:pt idx="332">
                  <c:v>333</c:v>
                </c:pt>
                <c:pt idx="333">
                  <c:v>334</c:v>
                </c:pt>
                <c:pt idx="334">
                  <c:v>335</c:v>
                </c:pt>
                <c:pt idx="335">
                  <c:v>336</c:v>
                </c:pt>
                <c:pt idx="336">
                  <c:v>337</c:v>
                </c:pt>
                <c:pt idx="337">
                  <c:v>338</c:v>
                </c:pt>
                <c:pt idx="338">
                  <c:v>339</c:v>
                </c:pt>
                <c:pt idx="339">
                  <c:v>340</c:v>
                </c:pt>
                <c:pt idx="340">
                  <c:v>341</c:v>
                </c:pt>
                <c:pt idx="341">
                  <c:v>342</c:v>
                </c:pt>
                <c:pt idx="342">
                  <c:v>343</c:v>
                </c:pt>
                <c:pt idx="343">
                  <c:v>344</c:v>
                </c:pt>
                <c:pt idx="344">
                  <c:v>345</c:v>
                </c:pt>
                <c:pt idx="345">
                  <c:v>346</c:v>
                </c:pt>
                <c:pt idx="346">
                  <c:v>347</c:v>
                </c:pt>
                <c:pt idx="347">
                  <c:v>348</c:v>
                </c:pt>
                <c:pt idx="348">
                  <c:v>349</c:v>
                </c:pt>
                <c:pt idx="349">
                  <c:v>350</c:v>
                </c:pt>
                <c:pt idx="350">
                  <c:v>352</c:v>
                </c:pt>
                <c:pt idx="351">
                  <c:v>352</c:v>
                </c:pt>
                <c:pt idx="352">
                  <c:v>352</c:v>
                </c:pt>
                <c:pt idx="353">
                  <c:v>354</c:v>
                </c:pt>
                <c:pt idx="354">
                  <c:v>355</c:v>
                </c:pt>
                <c:pt idx="355">
                  <c:v>356</c:v>
                </c:pt>
                <c:pt idx="356">
                  <c:v>357</c:v>
                </c:pt>
                <c:pt idx="357">
                  <c:v>358</c:v>
                </c:pt>
                <c:pt idx="358">
                  <c:v>359</c:v>
                </c:pt>
                <c:pt idx="359">
                  <c:v>360</c:v>
                </c:pt>
                <c:pt idx="360">
                  <c:v>361</c:v>
                </c:pt>
                <c:pt idx="361">
                  <c:v>362</c:v>
                </c:pt>
                <c:pt idx="362">
                  <c:v>363</c:v>
                </c:pt>
                <c:pt idx="363">
                  <c:v>364</c:v>
                </c:pt>
                <c:pt idx="364">
                  <c:v>365</c:v>
                </c:pt>
                <c:pt idx="365">
                  <c:v>366</c:v>
                </c:pt>
                <c:pt idx="366">
                  <c:v>367</c:v>
                </c:pt>
                <c:pt idx="367">
                  <c:v>368</c:v>
                </c:pt>
                <c:pt idx="368">
                  <c:v>369</c:v>
                </c:pt>
                <c:pt idx="369">
                  <c:v>370</c:v>
                </c:pt>
                <c:pt idx="370">
                  <c:v>371</c:v>
                </c:pt>
                <c:pt idx="371">
                  <c:v>372</c:v>
                </c:pt>
                <c:pt idx="372">
                  <c:v>373</c:v>
                </c:pt>
                <c:pt idx="373">
                  <c:v>374</c:v>
                </c:pt>
                <c:pt idx="374">
                  <c:v>375</c:v>
                </c:pt>
                <c:pt idx="375">
                  <c:v>376</c:v>
                </c:pt>
                <c:pt idx="376">
                  <c:v>377</c:v>
                </c:pt>
                <c:pt idx="377">
                  <c:v>378</c:v>
                </c:pt>
                <c:pt idx="378">
                  <c:v>379</c:v>
                </c:pt>
                <c:pt idx="379">
                  <c:v>380</c:v>
                </c:pt>
                <c:pt idx="380">
                  <c:v>381</c:v>
                </c:pt>
                <c:pt idx="381">
                  <c:v>382</c:v>
                </c:pt>
                <c:pt idx="382">
                  <c:v>383</c:v>
                </c:pt>
                <c:pt idx="383">
                  <c:v>384</c:v>
                </c:pt>
                <c:pt idx="384">
                  <c:v>385</c:v>
                </c:pt>
                <c:pt idx="385">
                  <c:v>386</c:v>
                </c:pt>
                <c:pt idx="386">
                  <c:v>387</c:v>
                </c:pt>
                <c:pt idx="387">
                  <c:v>388</c:v>
                </c:pt>
                <c:pt idx="388">
                  <c:v>389</c:v>
                </c:pt>
                <c:pt idx="389">
                  <c:v>390</c:v>
                </c:pt>
                <c:pt idx="390">
                  <c:v>391.5</c:v>
                </c:pt>
                <c:pt idx="391">
                  <c:v>391.5</c:v>
                </c:pt>
                <c:pt idx="392">
                  <c:v>393</c:v>
                </c:pt>
                <c:pt idx="393">
                  <c:v>394</c:v>
                </c:pt>
                <c:pt idx="394">
                  <c:v>395</c:v>
                </c:pt>
                <c:pt idx="395">
                  <c:v>396</c:v>
                </c:pt>
                <c:pt idx="396">
                  <c:v>397</c:v>
                </c:pt>
                <c:pt idx="397">
                  <c:v>398</c:v>
                </c:pt>
                <c:pt idx="398">
                  <c:v>399</c:v>
                </c:pt>
                <c:pt idx="399">
                  <c:v>400</c:v>
                </c:pt>
                <c:pt idx="400">
                  <c:v>401</c:v>
                </c:pt>
                <c:pt idx="401">
                  <c:v>402</c:v>
                </c:pt>
                <c:pt idx="402">
                  <c:v>403</c:v>
                </c:pt>
                <c:pt idx="403">
                  <c:v>404</c:v>
                </c:pt>
                <c:pt idx="404">
                  <c:v>405</c:v>
                </c:pt>
                <c:pt idx="405">
                  <c:v>406.5</c:v>
                </c:pt>
                <c:pt idx="406">
                  <c:v>406.5</c:v>
                </c:pt>
                <c:pt idx="407">
                  <c:v>408</c:v>
                </c:pt>
                <c:pt idx="408">
                  <c:v>409</c:v>
                </c:pt>
                <c:pt idx="409">
                  <c:v>410.5</c:v>
                </c:pt>
                <c:pt idx="410">
                  <c:v>410.5</c:v>
                </c:pt>
                <c:pt idx="411">
                  <c:v>412</c:v>
                </c:pt>
                <c:pt idx="412">
                  <c:v>413</c:v>
                </c:pt>
                <c:pt idx="413">
                  <c:v>414</c:v>
                </c:pt>
                <c:pt idx="414">
                  <c:v>415</c:v>
                </c:pt>
                <c:pt idx="415">
                  <c:v>416</c:v>
                </c:pt>
                <c:pt idx="416">
                  <c:v>417</c:v>
                </c:pt>
                <c:pt idx="417">
                  <c:v>418</c:v>
                </c:pt>
                <c:pt idx="418">
                  <c:v>419</c:v>
                </c:pt>
                <c:pt idx="419">
                  <c:v>420</c:v>
                </c:pt>
                <c:pt idx="420">
                  <c:v>421</c:v>
                </c:pt>
                <c:pt idx="421">
                  <c:v>422</c:v>
                </c:pt>
                <c:pt idx="422">
                  <c:v>423</c:v>
                </c:pt>
                <c:pt idx="423">
                  <c:v>424</c:v>
                </c:pt>
                <c:pt idx="424">
                  <c:v>425</c:v>
                </c:pt>
                <c:pt idx="425">
                  <c:v>426</c:v>
                </c:pt>
                <c:pt idx="426">
                  <c:v>427</c:v>
                </c:pt>
                <c:pt idx="427">
                  <c:v>428.5</c:v>
                </c:pt>
                <c:pt idx="428">
                  <c:v>428.5</c:v>
                </c:pt>
                <c:pt idx="429">
                  <c:v>430</c:v>
                </c:pt>
                <c:pt idx="430">
                  <c:v>431</c:v>
                </c:pt>
                <c:pt idx="431">
                  <c:v>432</c:v>
                </c:pt>
                <c:pt idx="432">
                  <c:v>433</c:v>
                </c:pt>
                <c:pt idx="433">
                  <c:v>434</c:v>
                </c:pt>
                <c:pt idx="434">
                  <c:v>435</c:v>
                </c:pt>
                <c:pt idx="435">
                  <c:v>436</c:v>
                </c:pt>
                <c:pt idx="436">
                  <c:v>437</c:v>
                </c:pt>
                <c:pt idx="437">
                  <c:v>438</c:v>
                </c:pt>
                <c:pt idx="438">
                  <c:v>439</c:v>
                </c:pt>
                <c:pt idx="439">
                  <c:v>440</c:v>
                </c:pt>
                <c:pt idx="440">
                  <c:v>441</c:v>
                </c:pt>
                <c:pt idx="441">
                  <c:v>442</c:v>
                </c:pt>
                <c:pt idx="442">
                  <c:v>443</c:v>
                </c:pt>
                <c:pt idx="443">
                  <c:v>444</c:v>
                </c:pt>
                <c:pt idx="444">
                  <c:v>445</c:v>
                </c:pt>
                <c:pt idx="445">
                  <c:v>446</c:v>
                </c:pt>
                <c:pt idx="446">
                  <c:v>447</c:v>
                </c:pt>
                <c:pt idx="447">
                  <c:v>448</c:v>
                </c:pt>
                <c:pt idx="448">
                  <c:v>449</c:v>
                </c:pt>
                <c:pt idx="449">
                  <c:v>450</c:v>
                </c:pt>
                <c:pt idx="450">
                  <c:v>451</c:v>
                </c:pt>
                <c:pt idx="451">
                  <c:v>452</c:v>
                </c:pt>
                <c:pt idx="452">
                  <c:v>453</c:v>
                </c:pt>
                <c:pt idx="453">
                  <c:v>454</c:v>
                </c:pt>
                <c:pt idx="454">
                  <c:v>455</c:v>
                </c:pt>
                <c:pt idx="455">
                  <c:v>456</c:v>
                </c:pt>
                <c:pt idx="456">
                  <c:v>457</c:v>
                </c:pt>
                <c:pt idx="457">
                  <c:v>458</c:v>
                </c:pt>
                <c:pt idx="458">
                  <c:v>459</c:v>
                </c:pt>
                <c:pt idx="459">
                  <c:v>460</c:v>
                </c:pt>
                <c:pt idx="460">
                  <c:v>461</c:v>
                </c:pt>
                <c:pt idx="461">
                  <c:v>462</c:v>
                </c:pt>
                <c:pt idx="462">
                  <c:v>463</c:v>
                </c:pt>
                <c:pt idx="463">
                  <c:v>464.5</c:v>
                </c:pt>
                <c:pt idx="464">
                  <c:v>464.5</c:v>
                </c:pt>
                <c:pt idx="465">
                  <c:v>466</c:v>
                </c:pt>
                <c:pt idx="466">
                  <c:v>467</c:v>
                </c:pt>
                <c:pt idx="467">
                  <c:v>468</c:v>
                </c:pt>
                <c:pt idx="468">
                  <c:v>469</c:v>
                </c:pt>
                <c:pt idx="469">
                  <c:v>470</c:v>
                </c:pt>
                <c:pt idx="470">
                  <c:v>471</c:v>
                </c:pt>
                <c:pt idx="471">
                  <c:v>472</c:v>
                </c:pt>
              </c:numCache>
            </c:numRef>
          </c:yVal>
          <c:smooth val="0"/>
          <c:extLst>
            <c:ext xmlns:c16="http://schemas.microsoft.com/office/drawing/2014/chart" uri="{C3380CC4-5D6E-409C-BE32-E72D297353CC}">
              <c16:uniqueId val="{00000000-A88F-4B4D-9E53-47EE8D15EBB5}"/>
            </c:ext>
          </c:extLst>
        </c:ser>
        <c:ser>
          <c:idx val="1"/>
          <c:order val="1"/>
          <c:tx>
            <c:strRef>
              <c:f>'RASA Data'!$C$1</c:f>
              <c:strCache>
                <c:ptCount val="1"/>
                <c:pt idx="0">
                  <c:v>Risk-Adjusted</c:v>
                </c:pt>
              </c:strCache>
            </c:strRef>
          </c:tx>
          <c:spPr>
            <a:ln w="25400" cap="flat" cmpd="sng" algn="ctr">
              <a:noFill/>
              <a:prstDash val="sysDot"/>
              <a:round/>
            </a:ln>
            <a:effectLst>
              <a:outerShdw blurRad="40000" dist="20000" dir="5400000" rotWithShape="0">
                <a:srgbClr val="000000">
                  <a:alpha val="38000"/>
                </a:srgbClr>
              </a:outerShdw>
            </a:effectLst>
          </c:spPr>
          <c:marker>
            <c:symbol val="circle"/>
            <c:size val="5"/>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chemeClr>
                </a:solidFill>
                <a:round/>
              </a:ln>
              <a:effectLst>
                <a:outerShdw blurRad="40000" dist="20000" dir="5400000" rotWithShape="0">
                  <a:srgbClr val="000000">
                    <a:alpha val="38000"/>
                  </a:srgbClr>
                </a:outerShdw>
              </a:effectLst>
            </c:spPr>
          </c:marker>
          <c:xVal>
            <c:numRef>
              <c:f>'RASA Data'!$A$2:$A$473</c:f>
              <c:numCache>
                <c:formatCode>General</c:formatCode>
                <c:ptCount val="472"/>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pt idx="100">
                  <c:v>101</c:v>
                </c:pt>
                <c:pt idx="101">
                  <c:v>102</c:v>
                </c:pt>
                <c:pt idx="102">
                  <c:v>103</c:v>
                </c:pt>
                <c:pt idx="103">
                  <c:v>104</c:v>
                </c:pt>
                <c:pt idx="104">
                  <c:v>105</c:v>
                </c:pt>
                <c:pt idx="105">
                  <c:v>106</c:v>
                </c:pt>
                <c:pt idx="106">
                  <c:v>107</c:v>
                </c:pt>
                <c:pt idx="107">
                  <c:v>108</c:v>
                </c:pt>
                <c:pt idx="108">
                  <c:v>109</c:v>
                </c:pt>
                <c:pt idx="109">
                  <c:v>110</c:v>
                </c:pt>
                <c:pt idx="110">
                  <c:v>111</c:v>
                </c:pt>
                <c:pt idx="111">
                  <c:v>112</c:v>
                </c:pt>
                <c:pt idx="112">
                  <c:v>113</c:v>
                </c:pt>
                <c:pt idx="113">
                  <c:v>114</c:v>
                </c:pt>
                <c:pt idx="114">
                  <c:v>115</c:v>
                </c:pt>
                <c:pt idx="115">
                  <c:v>116</c:v>
                </c:pt>
                <c:pt idx="116">
                  <c:v>117</c:v>
                </c:pt>
                <c:pt idx="117">
                  <c:v>118</c:v>
                </c:pt>
                <c:pt idx="118">
                  <c:v>119</c:v>
                </c:pt>
                <c:pt idx="119">
                  <c:v>120</c:v>
                </c:pt>
                <c:pt idx="120">
                  <c:v>121</c:v>
                </c:pt>
                <c:pt idx="121">
                  <c:v>122</c:v>
                </c:pt>
                <c:pt idx="122">
                  <c:v>123</c:v>
                </c:pt>
                <c:pt idx="123">
                  <c:v>124</c:v>
                </c:pt>
                <c:pt idx="124">
                  <c:v>125</c:v>
                </c:pt>
                <c:pt idx="125">
                  <c:v>126</c:v>
                </c:pt>
                <c:pt idx="126">
                  <c:v>127</c:v>
                </c:pt>
                <c:pt idx="127">
                  <c:v>128</c:v>
                </c:pt>
                <c:pt idx="128">
                  <c:v>129</c:v>
                </c:pt>
                <c:pt idx="129">
                  <c:v>130</c:v>
                </c:pt>
                <c:pt idx="130">
                  <c:v>131</c:v>
                </c:pt>
                <c:pt idx="131">
                  <c:v>132</c:v>
                </c:pt>
                <c:pt idx="132">
                  <c:v>133</c:v>
                </c:pt>
                <c:pt idx="133">
                  <c:v>134</c:v>
                </c:pt>
                <c:pt idx="134">
                  <c:v>135</c:v>
                </c:pt>
                <c:pt idx="135">
                  <c:v>136</c:v>
                </c:pt>
                <c:pt idx="136">
                  <c:v>137</c:v>
                </c:pt>
                <c:pt idx="137">
                  <c:v>138</c:v>
                </c:pt>
                <c:pt idx="138">
                  <c:v>139</c:v>
                </c:pt>
                <c:pt idx="139">
                  <c:v>140</c:v>
                </c:pt>
                <c:pt idx="140">
                  <c:v>141</c:v>
                </c:pt>
                <c:pt idx="141">
                  <c:v>142</c:v>
                </c:pt>
                <c:pt idx="142">
                  <c:v>143</c:v>
                </c:pt>
                <c:pt idx="143">
                  <c:v>144</c:v>
                </c:pt>
                <c:pt idx="144">
                  <c:v>145</c:v>
                </c:pt>
                <c:pt idx="145">
                  <c:v>146</c:v>
                </c:pt>
                <c:pt idx="146">
                  <c:v>147</c:v>
                </c:pt>
                <c:pt idx="147">
                  <c:v>148</c:v>
                </c:pt>
                <c:pt idx="148">
                  <c:v>149</c:v>
                </c:pt>
                <c:pt idx="149">
                  <c:v>150</c:v>
                </c:pt>
                <c:pt idx="150">
                  <c:v>151</c:v>
                </c:pt>
                <c:pt idx="151">
                  <c:v>152</c:v>
                </c:pt>
                <c:pt idx="152">
                  <c:v>153</c:v>
                </c:pt>
                <c:pt idx="153">
                  <c:v>154</c:v>
                </c:pt>
                <c:pt idx="154">
                  <c:v>155</c:v>
                </c:pt>
                <c:pt idx="155">
                  <c:v>156</c:v>
                </c:pt>
                <c:pt idx="156">
                  <c:v>157</c:v>
                </c:pt>
                <c:pt idx="157">
                  <c:v>158</c:v>
                </c:pt>
                <c:pt idx="158">
                  <c:v>159</c:v>
                </c:pt>
                <c:pt idx="159">
                  <c:v>160</c:v>
                </c:pt>
                <c:pt idx="160">
                  <c:v>161</c:v>
                </c:pt>
                <c:pt idx="161">
                  <c:v>162</c:v>
                </c:pt>
                <c:pt idx="162">
                  <c:v>163</c:v>
                </c:pt>
                <c:pt idx="163">
                  <c:v>164</c:v>
                </c:pt>
                <c:pt idx="164">
                  <c:v>165</c:v>
                </c:pt>
                <c:pt idx="165">
                  <c:v>166</c:v>
                </c:pt>
                <c:pt idx="166">
                  <c:v>167</c:v>
                </c:pt>
                <c:pt idx="167">
                  <c:v>168</c:v>
                </c:pt>
                <c:pt idx="168">
                  <c:v>169</c:v>
                </c:pt>
                <c:pt idx="169">
                  <c:v>170</c:v>
                </c:pt>
                <c:pt idx="170">
                  <c:v>171</c:v>
                </c:pt>
                <c:pt idx="171">
                  <c:v>172</c:v>
                </c:pt>
                <c:pt idx="172">
                  <c:v>173</c:v>
                </c:pt>
                <c:pt idx="173">
                  <c:v>174</c:v>
                </c:pt>
                <c:pt idx="174">
                  <c:v>175</c:v>
                </c:pt>
                <c:pt idx="175">
                  <c:v>176</c:v>
                </c:pt>
                <c:pt idx="176">
                  <c:v>177</c:v>
                </c:pt>
                <c:pt idx="177">
                  <c:v>178</c:v>
                </c:pt>
                <c:pt idx="178">
                  <c:v>179</c:v>
                </c:pt>
                <c:pt idx="179">
                  <c:v>180</c:v>
                </c:pt>
                <c:pt idx="180">
                  <c:v>181</c:v>
                </c:pt>
                <c:pt idx="181">
                  <c:v>182</c:v>
                </c:pt>
                <c:pt idx="182">
                  <c:v>183</c:v>
                </c:pt>
                <c:pt idx="183">
                  <c:v>184</c:v>
                </c:pt>
                <c:pt idx="184">
                  <c:v>185</c:v>
                </c:pt>
                <c:pt idx="185">
                  <c:v>186</c:v>
                </c:pt>
                <c:pt idx="186">
                  <c:v>187</c:v>
                </c:pt>
                <c:pt idx="187">
                  <c:v>188</c:v>
                </c:pt>
                <c:pt idx="188">
                  <c:v>189</c:v>
                </c:pt>
                <c:pt idx="189">
                  <c:v>190</c:v>
                </c:pt>
                <c:pt idx="190">
                  <c:v>191</c:v>
                </c:pt>
                <c:pt idx="191">
                  <c:v>192</c:v>
                </c:pt>
                <c:pt idx="192">
                  <c:v>193</c:v>
                </c:pt>
                <c:pt idx="193">
                  <c:v>194</c:v>
                </c:pt>
                <c:pt idx="194">
                  <c:v>195</c:v>
                </c:pt>
                <c:pt idx="195">
                  <c:v>196</c:v>
                </c:pt>
                <c:pt idx="196">
                  <c:v>197</c:v>
                </c:pt>
                <c:pt idx="197">
                  <c:v>198</c:v>
                </c:pt>
                <c:pt idx="198">
                  <c:v>199</c:v>
                </c:pt>
                <c:pt idx="199">
                  <c:v>200</c:v>
                </c:pt>
                <c:pt idx="200">
                  <c:v>201</c:v>
                </c:pt>
                <c:pt idx="201">
                  <c:v>202</c:v>
                </c:pt>
                <c:pt idx="202">
                  <c:v>203</c:v>
                </c:pt>
                <c:pt idx="203">
                  <c:v>204</c:v>
                </c:pt>
                <c:pt idx="204">
                  <c:v>205</c:v>
                </c:pt>
                <c:pt idx="205">
                  <c:v>206</c:v>
                </c:pt>
                <c:pt idx="206">
                  <c:v>207</c:v>
                </c:pt>
                <c:pt idx="207">
                  <c:v>208</c:v>
                </c:pt>
                <c:pt idx="208">
                  <c:v>209</c:v>
                </c:pt>
                <c:pt idx="209">
                  <c:v>210</c:v>
                </c:pt>
                <c:pt idx="210">
                  <c:v>211</c:v>
                </c:pt>
                <c:pt idx="211">
                  <c:v>212</c:v>
                </c:pt>
                <c:pt idx="212">
                  <c:v>213</c:v>
                </c:pt>
                <c:pt idx="213">
                  <c:v>214</c:v>
                </c:pt>
                <c:pt idx="214">
                  <c:v>215</c:v>
                </c:pt>
                <c:pt idx="215">
                  <c:v>216</c:v>
                </c:pt>
                <c:pt idx="216">
                  <c:v>217</c:v>
                </c:pt>
                <c:pt idx="217">
                  <c:v>218</c:v>
                </c:pt>
                <c:pt idx="218">
                  <c:v>219</c:v>
                </c:pt>
                <c:pt idx="219">
                  <c:v>220</c:v>
                </c:pt>
                <c:pt idx="220">
                  <c:v>221</c:v>
                </c:pt>
                <c:pt idx="221">
                  <c:v>222</c:v>
                </c:pt>
                <c:pt idx="222">
                  <c:v>223</c:v>
                </c:pt>
                <c:pt idx="223">
                  <c:v>224</c:v>
                </c:pt>
                <c:pt idx="224">
                  <c:v>225</c:v>
                </c:pt>
                <c:pt idx="225">
                  <c:v>226</c:v>
                </c:pt>
                <c:pt idx="226">
                  <c:v>227</c:v>
                </c:pt>
                <c:pt idx="227">
                  <c:v>228</c:v>
                </c:pt>
                <c:pt idx="228">
                  <c:v>229</c:v>
                </c:pt>
                <c:pt idx="229">
                  <c:v>230</c:v>
                </c:pt>
                <c:pt idx="230">
                  <c:v>231</c:v>
                </c:pt>
                <c:pt idx="231">
                  <c:v>232</c:v>
                </c:pt>
                <c:pt idx="232">
                  <c:v>233</c:v>
                </c:pt>
                <c:pt idx="233">
                  <c:v>234</c:v>
                </c:pt>
                <c:pt idx="234">
                  <c:v>235</c:v>
                </c:pt>
                <c:pt idx="235">
                  <c:v>236</c:v>
                </c:pt>
                <c:pt idx="236">
                  <c:v>237</c:v>
                </c:pt>
                <c:pt idx="237">
                  <c:v>238</c:v>
                </c:pt>
                <c:pt idx="238">
                  <c:v>239</c:v>
                </c:pt>
                <c:pt idx="239">
                  <c:v>240</c:v>
                </c:pt>
                <c:pt idx="240">
                  <c:v>241</c:v>
                </c:pt>
                <c:pt idx="241">
                  <c:v>242</c:v>
                </c:pt>
                <c:pt idx="242">
                  <c:v>243</c:v>
                </c:pt>
                <c:pt idx="243">
                  <c:v>244</c:v>
                </c:pt>
                <c:pt idx="244">
                  <c:v>245</c:v>
                </c:pt>
                <c:pt idx="245">
                  <c:v>246</c:v>
                </c:pt>
                <c:pt idx="246">
                  <c:v>247</c:v>
                </c:pt>
                <c:pt idx="247">
                  <c:v>248</c:v>
                </c:pt>
                <c:pt idx="248">
                  <c:v>249</c:v>
                </c:pt>
                <c:pt idx="249">
                  <c:v>250</c:v>
                </c:pt>
                <c:pt idx="250">
                  <c:v>251</c:v>
                </c:pt>
                <c:pt idx="251">
                  <c:v>252</c:v>
                </c:pt>
                <c:pt idx="252">
                  <c:v>253</c:v>
                </c:pt>
                <c:pt idx="253">
                  <c:v>254</c:v>
                </c:pt>
                <c:pt idx="254">
                  <c:v>255</c:v>
                </c:pt>
                <c:pt idx="255">
                  <c:v>256</c:v>
                </c:pt>
                <c:pt idx="256">
                  <c:v>257</c:v>
                </c:pt>
                <c:pt idx="257">
                  <c:v>258</c:v>
                </c:pt>
                <c:pt idx="258">
                  <c:v>259</c:v>
                </c:pt>
                <c:pt idx="259">
                  <c:v>260</c:v>
                </c:pt>
                <c:pt idx="260">
                  <c:v>261</c:v>
                </c:pt>
                <c:pt idx="261">
                  <c:v>262</c:v>
                </c:pt>
                <c:pt idx="262">
                  <c:v>263</c:v>
                </c:pt>
                <c:pt idx="263">
                  <c:v>264</c:v>
                </c:pt>
                <c:pt idx="264">
                  <c:v>265</c:v>
                </c:pt>
                <c:pt idx="265">
                  <c:v>266</c:v>
                </c:pt>
                <c:pt idx="266">
                  <c:v>267</c:v>
                </c:pt>
                <c:pt idx="267">
                  <c:v>268</c:v>
                </c:pt>
                <c:pt idx="268">
                  <c:v>269</c:v>
                </c:pt>
                <c:pt idx="269">
                  <c:v>270</c:v>
                </c:pt>
                <c:pt idx="270">
                  <c:v>271</c:v>
                </c:pt>
                <c:pt idx="271">
                  <c:v>272</c:v>
                </c:pt>
                <c:pt idx="272">
                  <c:v>273</c:v>
                </c:pt>
                <c:pt idx="273">
                  <c:v>274</c:v>
                </c:pt>
                <c:pt idx="274">
                  <c:v>275</c:v>
                </c:pt>
                <c:pt idx="275">
                  <c:v>276</c:v>
                </c:pt>
                <c:pt idx="276">
                  <c:v>277</c:v>
                </c:pt>
                <c:pt idx="277">
                  <c:v>278</c:v>
                </c:pt>
                <c:pt idx="278">
                  <c:v>279</c:v>
                </c:pt>
                <c:pt idx="279">
                  <c:v>280</c:v>
                </c:pt>
                <c:pt idx="280">
                  <c:v>281</c:v>
                </c:pt>
                <c:pt idx="281">
                  <c:v>282</c:v>
                </c:pt>
                <c:pt idx="282">
                  <c:v>283</c:v>
                </c:pt>
                <c:pt idx="283">
                  <c:v>284</c:v>
                </c:pt>
                <c:pt idx="284">
                  <c:v>285</c:v>
                </c:pt>
                <c:pt idx="285">
                  <c:v>286</c:v>
                </c:pt>
                <c:pt idx="286">
                  <c:v>287</c:v>
                </c:pt>
                <c:pt idx="287">
                  <c:v>288</c:v>
                </c:pt>
                <c:pt idx="288">
                  <c:v>289</c:v>
                </c:pt>
                <c:pt idx="289">
                  <c:v>290</c:v>
                </c:pt>
                <c:pt idx="290">
                  <c:v>291</c:v>
                </c:pt>
                <c:pt idx="291">
                  <c:v>292</c:v>
                </c:pt>
                <c:pt idx="292">
                  <c:v>293</c:v>
                </c:pt>
                <c:pt idx="293">
                  <c:v>294</c:v>
                </c:pt>
                <c:pt idx="294">
                  <c:v>295</c:v>
                </c:pt>
                <c:pt idx="295">
                  <c:v>296</c:v>
                </c:pt>
                <c:pt idx="296">
                  <c:v>297</c:v>
                </c:pt>
                <c:pt idx="297">
                  <c:v>298</c:v>
                </c:pt>
                <c:pt idx="298">
                  <c:v>299</c:v>
                </c:pt>
                <c:pt idx="299">
                  <c:v>300</c:v>
                </c:pt>
                <c:pt idx="300">
                  <c:v>301</c:v>
                </c:pt>
                <c:pt idx="301">
                  <c:v>302</c:v>
                </c:pt>
                <c:pt idx="302">
                  <c:v>303</c:v>
                </c:pt>
                <c:pt idx="303">
                  <c:v>304</c:v>
                </c:pt>
                <c:pt idx="304">
                  <c:v>305</c:v>
                </c:pt>
                <c:pt idx="305">
                  <c:v>306</c:v>
                </c:pt>
                <c:pt idx="306">
                  <c:v>307</c:v>
                </c:pt>
                <c:pt idx="307">
                  <c:v>308</c:v>
                </c:pt>
                <c:pt idx="308">
                  <c:v>309</c:v>
                </c:pt>
                <c:pt idx="309">
                  <c:v>310</c:v>
                </c:pt>
                <c:pt idx="310">
                  <c:v>311</c:v>
                </c:pt>
                <c:pt idx="311">
                  <c:v>312</c:v>
                </c:pt>
                <c:pt idx="312">
                  <c:v>313</c:v>
                </c:pt>
                <c:pt idx="313">
                  <c:v>314</c:v>
                </c:pt>
                <c:pt idx="314">
                  <c:v>315</c:v>
                </c:pt>
                <c:pt idx="315">
                  <c:v>316</c:v>
                </c:pt>
                <c:pt idx="316">
                  <c:v>317</c:v>
                </c:pt>
                <c:pt idx="317">
                  <c:v>318</c:v>
                </c:pt>
                <c:pt idx="318">
                  <c:v>319</c:v>
                </c:pt>
                <c:pt idx="319">
                  <c:v>320</c:v>
                </c:pt>
                <c:pt idx="320">
                  <c:v>321</c:v>
                </c:pt>
                <c:pt idx="321">
                  <c:v>322</c:v>
                </c:pt>
                <c:pt idx="322">
                  <c:v>323</c:v>
                </c:pt>
                <c:pt idx="323">
                  <c:v>324</c:v>
                </c:pt>
                <c:pt idx="324">
                  <c:v>325</c:v>
                </c:pt>
                <c:pt idx="325">
                  <c:v>326</c:v>
                </c:pt>
                <c:pt idx="326">
                  <c:v>327</c:v>
                </c:pt>
                <c:pt idx="327">
                  <c:v>328</c:v>
                </c:pt>
                <c:pt idx="328">
                  <c:v>329</c:v>
                </c:pt>
                <c:pt idx="329">
                  <c:v>330</c:v>
                </c:pt>
                <c:pt idx="330">
                  <c:v>331</c:v>
                </c:pt>
                <c:pt idx="331">
                  <c:v>332</c:v>
                </c:pt>
                <c:pt idx="332">
                  <c:v>333</c:v>
                </c:pt>
                <c:pt idx="333">
                  <c:v>334</c:v>
                </c:pt>
                <c:pt idx="334">
                  <c:v>335</c:v>
                </c:pt>
                <c:pt idx="335">
                  <c:v>336</c:v>
                </c:pt>
                <c:pt idx="336">
                  <c:v>337</c:v>
                </c:pt>
                <c:pt idx="337">
                  <c:v>338</c:v>
                </c:pt>
                <c:pt idx="338">
                  <c:v>339</c:v>
                </c:pt>
                <c:pt idx="339">
                  <c:v>340</c:v>
                </c:pt>
                <c:pt idx="340">
                  <c:v>341</c:v>
                </c:pt>
                <c:pt idx="341">
                  <c:v>342</c:v>
                </c:pt>
                <c:pt idx="342">
                  <c:v>343</c:v>
                </c:pt>
                <c:pt idx="343">
                  <c:v>344</c:v>
                </c:pt>
                <c:pt idx="344">
                  <c:v>345</c:v>
                </c:pt>
                <c:pt idx="345">
                  <c:v>346</c:v>
                </c:pt>
                <c:pt idx="346">
                  <c:v>347</c:v>
                </c:pt>
                <c:pt idx="347">
                  <c:v>348</c:v>
                </c:pt>
                <c:pt idx="348">
                  <c:v>349</c:v>
                </c:pt>
                <c:pt idx="349">
                  <c:v>350</c:v>
                </c:pt>
                <c:pt idx="350">
                  <c:v>351</c:v>
                </c:pt>
                <c:pt idx="351">
                  <c:v>352</c:v>
                </c:pt>
                <c:pt idx="352">
                  <c:v>353</c:v>
                </c:pt>
                <c:pt idx="353">
                  <c:v>354</c:v>
                </c:pt>
                <c:pt idx="354">
                  <c:v>355</c:v>
                </c:pt>
                <c:pt idx="355">
                  <c:v>356</c:v>
                </c:pt>
                <c:pt idx="356">
                  <c:v>357</c:v>
                </c:pt>
                <c:pt idx="357">
                  <c:v>358</c:v>
                </c:pt>
                <c:pt idx="358">
                  <c:v>359</c:v>
                </c:pt>
                <c:pt idx="359">
                  <c:v>360</c:v>
                </c:pt>
                <c:pt idx="360">
                  <c:v>361</c:v>
                </c:pt>
                <c:pt idx="361">
                  <c:v>362</c:v>
                </c:pt>
                <c:pt idx="362">
                  <c:v>363</c:v>
                </c:pt>
                <c:pt idx="363">
                  <c:v>364</c:v>
                </c:pt>
                <c:pt idx="364">
                  <c:v>365</c:v>
                </c:pt>
                <c:pt idx="365">
                  <c:v>366</c:v>
                </c:pt>
                <c:pt idx="366">
                  <c:v>367</c:v>
                </c:pt>
                <c:pt idx="367">
                  <c:v>368</c:v>
                </c:pt>
                <c:pt idx="368">
                  <c:v>369</c:v>
                </c:pt>
                <c:pt idx="369">
                  <c:v>370</c:v>
                </c:pt>
                <c:pt idx="370">
                  <c:v>371</c:v>
                </c:pt>
                <c:pt idx="371">
                  <c:v>372</c:v>
                </c:pt>
                <c:pt idx="372">
                  <c:v>373</c:v>
                </c:pt>
                <c:pt idx="373">
                  <c:v>374</c:v>
                </c:pt>
                <c:pt idx="374">
                  <c:v>375</c:v>
                </c:pt>
                <c:pt idx="375">
                  <c:v>376</c:v>
                </c:pt>
                <c:pt idx="376">
                  <c:v>377</c:v>
                </c:pt>
                <c:pt idx="377">
                  <c:v>378</c:v>
                </c:pt>
                <c:pt idx="378">
                  <c:v>379</c:v>
                </c:pt>
                <c:pt idx="379">
                  <c:v>380</c:v>
                </c:pt>
                <c:pt idx="380">
                  <c:v>381</c:v>
                </c:pt>
                <c:pt idx="381">
                  <c:v>382</c:v>
                </c:pt>
                <c:pt idx="382">
                  <c:v>383</c:v>
                </c:pt>
                <c:pt idx="383">
                  <c:v>384</c:v>
                </c:pt>
                <c:pt idx="384">
                  <c:v>385</c:v>
                </c:pt>
                <c:pt idx="385">
                  <c:v>386</c:v>
                </c:pt>
                <c:pt idx="386">
                  <c:v>387</c:v>
                </c:pt>
                <c:pt idx="387">
                  <c:v>388</c:v>
                </c:pt>
                <c:pt idx="388">
                  <c:v>389</c:v>
                </c:pt>
                <c:pt idx="389">
                  <c:v>390</c:v>
                </c:pt>
                <c:pt idx="390">
                  <c:v>391</c:v>
                </c:pt>
                <c:pt idx="391">
                  <c:v>392</c:v>
                </c:pt>
                <c:pt idx="392">
                  <c:v>393</c:v>
                </c:pt>
                <c:pt idx="393">
                  <c:v>394</c:v>
                </c:pt>
                <c:pt idx="394">
                  <c:v>395</c:v>
                </c:pt>
                <c:pt idx="395">
                  <c:v>396</c:v>
                </c:pt>
                <c:pt idx="396">
                  <c:v>397</c:v>
                </c:pt>
                <c:pt idx="397">
                  <c:v>398</c:v>
                </c:pt>
                <c:pt idx="398">
                  <c:v>399</c:v>
                </c:pt>
                <c:pt idx="399">
                  <c:v>400</c:v>
                </c:pt>
                <c:pt idx="400">
                  <c:v>401</c:v>
                </c:pt>
                <c:pt idx="401">
                  <c:v>402</c:v>
                </c:pt>
                <c:pt idx="402">
                  <c:v>403</c:v>
                </c:pt>
                <c:pt idx="403">
                  <c:v>404</c:v>
                </c:pt>
                <c:pt idx="404">
                  <c:v>405</c:v>
                </c:pt>
                <c:pt idx="405">
                  <c:v>406</c:v>
                </c:pt>
                <c:pt idx="406">
                  <c:v>407</c:v>
                </c:pt>
                <c:pt idx="407">
                  <c:v>408</c:v>
                </c:pt>
                <c:pt idx="408">
                  <c:v>409</c:v>
                </c:pt>
                <c:pt idx="409">
                  <c:v>410</c:v>
                </c:pt>
                <c:pt idx="410">
                  <c:v>411</c:v>
                </c:pt>
                <c:pt idx="411">
                  <c:v>412</c:v>
                </c:pt>
                <c:pt idx="412">
                  <c:v>413</c:v>
                </c:pt>
                <c:pt idx="413">
                  <c:v>414</c:v>
                </c:pt>
                <c:pt idx="414">
                  <c:v>415</c:v>
                </c:pt>
                <c:pt idx="415">
                  <c:v>416</c:v>
                </c:pt>
                <c:pt idx="416">
                  <c:v>417</c:v>
                </c:pt>
                <c:pt idx="417">
                  <c:v>418</c:v>
                </c:pt>
                <c:pt idx="418">
                  <c:v>419</c:v>
                </c:pt>
                <c:pt idx="419">
                  <c:v>420</c:v>
                </c:pt>
                <c:pt idx="420">
                  <c:v>421</c:v>
                </c:pt>
                <c:pt idx="421">
                  <c:v>422</c:v>
                </c:pt>
                <c:pt idx="422">
                  <c:v>423</c:v>
                </c:pt>
                <c:pt idx="423">
                  <c:v>424</c:v>
                </c:pt>
                <c:pt idx="424">
                  <c:v>425</c:v>
                </c:pt>
                <c:pt idx="425">
                  <c:v>426</c:v>
                </c:pt>
                <c:pt idx="426">
                  <c:v>427</c:v>
                </c:pt>
                <c:pt idx="427">
                  <c:v>428</c:v>
                </c:pt>
                <c:pt idx="428">
                  <c:v>429</c:v>
                </c:pt>
                <c:pt idx="429">
                  <c:v>430</c:v>
                </c:pt>
                <c:pt idx="430">
                  <c:v>431</c:v>
                </c:pt>
                <c:pt idx="431">
                  <c:v>432</c:v>
                </c:pt>
                <c:pt idx="432">
                  <c:v>433</c:v>
                </c:pt>
                <c:pt idx="433">
                  <c:v>434</c:v>
                </c:pt>
                <c:pt idx="434">
                  <c:v>435</c:v>
                </c:pt>
                <c:pt idx="435">
                  <c:v>436</c:v>
                </c:pt>
                <c:pt idx="436">
                  <c:v>437</c:v>
                </c:pt>
                <c:pt idx="437">
                  <c:v>438</c:v>
                </c:pt>
                <c:pt idx="438">
                  <c:v>439</c:v>
                </c:pt>
                <c:pt idx="439">
                  <c:v>440</c:v>
                </c:pt>
                <c:pt idx="440">
                  <c:v>441</c:v>
                </c:pt>
                <c:pt idx="441">
                  <c:v>442</c:v>
                </c:pt>
                <c:pt idx="442">
                  <c:v>443</c:v>
                </c:pt>
                <c:pt idx="443">
                  <c:v>444</c:v>
                </c:pt>
                <c:pt idx="444">
                  <c:v>445</c:v>
                </c:pt>
                <c:pt idx="445">
                  <c:v>446</c:v>
                </c:pt>
                <c:pt idx="446">
                  <c:v>447</c:v>
                </c:pt>
                <c:pt idx="447">
                  <c:v>448</c:v>
                </c:pt>
                <c:pt idx="448">
                  <c:v>449</c:v>
                </c:pt>
                <c:pt idx="449">
                  <c:v>450</c:v>
                </c:pt>
                <c:pt idx="450">
                  <c:v>451</c:v>
                </c:pt>
                <c:pt idx="451">
                  <c:v>452</c:v>
                </c:pt>
                <c:pt idx="452">
                  <c:v>453</c:v>
                </c:pt>
                <c:pt idx="453">
                  <c:v>454</c:v>
                </c:pt>
                <c:pt idx="454">
                  <c:v>455</c:v>
                </c:pt>
                <c:pt idx="455">
                  <c:v>456</c:v>
                </c:pt>
                <c:pt idx="456">
                  <c:v>457</c:v>
                </c:pt>
                <c:pt idx="457">
                  <c:v>458</c:v>
                </c:pt>
                <c:pt idx="458">
                  <c:v>459</c:v>
                </c:pt>
                <c:pt idx="459">
                  <c:v>460</c:v>
                </c:pt>
                <c:pt idx="460">
                  <c:v>461</c:v>
                </c:pt>
                <c:pt idx="461">
                  <c:v>462</c:v>
                </c:pt>
                <c:pt idx="462">
                  <c:v>463</c:v>
                </c:pt>
                <c:pt idx="463">
                  <c:v>464</c:v>
                </c:pt>
                <c:pt idx="464">
                  <c:v>465</c:v>
                </c:pt>
                <c:pt idx="465">
                  <c:v>466</c:v>
                </c:pt>
                <c:pt idx="466">
                  <c:v>467</c:v>
                </c:pt>
                <c:pt idx="467">
                  <c:v>468</c:v>
                </c:pt>
                <c:pt idx="468">
                  <c:v>469</c:v>
                </c:pt>
                <c:pt idx="469">
                  <c:v>470</c:v>
                </c:pt>
                <c:pt idx="470">
                  <c:v>471</c:v>
                </c:pt>
                <c:pt idx="471">
                  <c:v>472</c:v>
                </c:pt>
              </c:numCache>
            </c:numRef>
          </c:xVal>
          <c:yVal>
            <c:numRef>
              <c:f>'RASA Data'!$C$2:$C$473</c:f>
              <c:numCache>
                <c:formatCode>General</c:formatCode>
                <c:ptCount val="472"/>
                <c:pt idx="0">
                  <c:v>2</c:v>
                </c:pt>
                <c:pt idx="1">
                  <c:v>1</c:v>
                </c:pt>
                <c:pt idx="2">
                  <c:v>3</c:v>
                </c:pt>
                <c:pt idx="3">
                  <c:v>14</c:v>
                </c:pt>
                <c:pt idx="4">
                  <c:v>7</c:v>
                </c:pt>
                <c:pt idx="5">
                  <c:v>10</c:v>
                </c:pt>
                <c:pt idx="6">
                  <c:v>4</c:v>
                </c:pt>
                <c:pt idx="7">
                  <c:v>20</c:v>
                </c:pt>
                <c:pt idx="8">
                  <c:v>5</c:v>
                </c:pt>
                <c:pt idx="9">
                  <c:v>12</c:v>
                </c:pt>
                <c:pt idx="10">
                  <c:v>11</c:v>
                </c:pt>
                <c:pt idx="11">
                  <c:v>27</c:v>
                </c:pt>
                <c:pt idx="12">
                  <c:v>33</c:v>
                </c:pt>
                <c:pt idx="13">
                  <c:v>22</c:v>
                </c:pt>
                <c:pt idx="14">
                  <c:v>38</c:v>
                </c:pt>
                <c:pt idx="15">
                  <c:v>46</c:v>
                </c:pt>
                <c:pt idx="16">
                  <c:v>28</c:v>
                </c:pt>
                <c:pt idx="17">
                  <c:v>45</c:v>
                </c:pt>
                <c:pt idx="18">
                  <c:v>73</c:v>
                </c:pt>
                <c:pt idx="19">
                  <c:v>63</c:v>
                </c:pt>
                <c:pt idx="20">
                  <c:v>61</c:v>
                </c:pt>
                <c:pt idx="21">
                  <c:v>35</c:v>
                </c:pt>
                <c:pt idx="22">
                  <c:v>16</c:v>
                </c:pt>
                <c:pt idx="23">
                  <c:v>44</c:v>
                </c:pt>
                <c:pt idx="24">
                  <c:v>9</c:v>
                </c:pt>
                <c:pt idx="25">
                  <c:v>47</c:v>
                </c:pt>
                <c:pt idx="26">
                  <c:v>91</c:v>
                </c:pt>
                <c:pt idx="27">
                  <c:v>98</c:v>
                </c:pt>
                <c:pt idx="28">
                  <c:v>60</c:v>
                </c:pt>
                <c:pt idx="29">
                  <c:v>90</c:v>
                </c:pt>
                <c:pt idx="30">
                  <c:v>29</c:v>
                </c:pt>
                <c:pt idx="31">
                  <c:v>56</c:v>
                </c:pt>
                <c:pt idx="32">
                  <c:v>8</c:v>
                </c:pt>
                <c:pt idx="33">
                  <c:v>74</c:v>
                </c:pt>
                <c:pt idx="34">
                  <c:v>32</c:v>
                </c:pt>
                <c:pt idx="35">
                  <c:v>101</c:v>
                </c:pt>
                <c:pt idx="36">
                  <c:v>13</c:v>
                </c:pt>
                <c:pt idx="37">
                  <c:v>128</c:v>
                </c:pt>
                <c:pt idx="38">
                  <c:v>146</c:v>
                </c:pt>
                <c:pt idx="39">
                  <c:v>96</c:v>
                </c:pt>
                <c:pt idx="40">
                  <c:v>86</c:v>
                </c:pt>
                <c:pt idx="41">
                  <c:v>78</c:v>
                </c:pt>
                <c:pt idx="42">
                  <c:v>75</c:v>
                </c:pt>
                <c:pt idx="43">
                  <c:v>94</c:v>
                </c:pt>
                <c:pt idx="44">
                  <c:v>34</c:v>
                </c:pt>
                <c:pt idx="45">
                  <c:v>6</c:v>
                </c:pt>
                <c:pt idx="46">
                  <c:v>24</c:v>
                </c:pt>
                <c:pt idx="47">
                  <c:v>19</c:v>
                </c:pt>
                <c:pt idx="48">
                  <c:v>26</c:v>
                </c:pt>
                <c:pt idx="49">
                  <c:v>15</c:v>
                </c:pt>
                <c:pt idx="50">
                  <c:v>102</c:v>
                </c:pt>
                <c:pt idx="51">
                  <c:v>21</c:v>
                </c:pt>
                <c:pt idx="52">
                  <c:v>18</c:v>
                </c:pt>
                <c:pt idx="53">
                  <c:v>105</c:v>
                </c:pt>
                <c:pt idx="54">
                  <c:v>17</c:v>
                </c:pt>
                <c:pt idx="55">
                  <c:v>58</c:v>
                </c:pt>
                <c:pt idx="56">
                  <c:v>116</c:v>
                </c:pt>
                <c:pt idx="57">
                  <c:v>100</c:v>
                </c:pt>
                <c:pt idx="58">
                  <c:v>152</c:v>
                </c:pt>
                <c:pt idx="59">
                  <c:v>125</c:v>
                </c:pt>
                <c:pt idx="60">
                  <c:v>23</c:v>
                </c:pt>
                <c:pt idx="61">
                  <c:v>112</c:v>
                </c:pt>
                <c:pt idx="62">
                  <c:v>171</c:v>
                </c:pt>
                <c:pt idx="63">
                  <c:v>25</c:v>
                </c:pt>
                <c:pt idx="64">
                  <c:v>147</c:v>
                </c:pt>
                <c:pt idx="65">
                  <c:v>81</c:v>
                </c:pt>
                <c:pt idx="66">
                  <c:v>40</c:v>
                </c:pt>
                <c:pt idx="67">
                  <c:v>39</c:v>
                </c:pt>
                <c:pt idx="68">
                  <c:v>92</c:v>
                </c:pt>
                <c:pt idx="69">
                  <c:v>280</c:v>
                </c:pt>
                <c:pt idx="70">
                  <c:v>87</c:v>
                </c:pt>
                <c:pt idx="71">
                  <c:v>138</c:v>
                </c:pt>
                <c:pt idx="72">
                  <c:v>140</c:v>
                </c:pt>
                <c:pt idx="73">
                  <c:v>49</c:v>
                </c:pt>
                <c:pt idx="74">
                  <c:v>111</c:v>
                </c:pt>
                <c:pt idx="75">
                  <c:v>235</c:v>
                </c:pt>
                <c:pt idx="76">
                  <c:v>110</c:v>
                </c:pt>
                <c:pt idx="77">
                  <c:v>193</c:v>
                </c:pt>
                <c:pt idx="78">
                  <c:v>176</c:v>
                </c:pt>
                <c:pt idx="79">
                  <c:v>65</c:v>
                </c:pt>
                <c:pt idx="80">
                  <c:v>76</c:v>
                </c:pt>
                <c:pt idx="81">
                  <c:v>379</c:v>
                </c:pt>
                <c:pt idx="82">
                  <c:v>208</c:v>
                </c:pt>
                <c:pt idx="83">
                  <c:v>57</c:v>
                </c:pt>
                <c:pt idx="84">
                  <c:v>51</c:v>
                </c:pt>
                <c:pt idx="85">
                  <c:v>52</c:v>
                </c:pt>
                <c:pt idx="86">
                  <c:v>324</c:v>
                </c:pt>
                <c:pt idx="87">
                  <c:v>145</c:v>
                </c:pt>
                <c:pt idx="88">
                  <c:v>55</c:v>
                </c:pt>
                <c:pt idx="89">
                  <c:v>36</c:v>
                </c:pt>
                <c:pt idx="90">
                  <c:v>30</c:v>
                </c:pt>
                <c:pt idx="91">
                  <c:v>54</c:v>
                </c:pt>
                <c:pt idx="92">
                  <c:v>232</c:v>
                </c:pt>
                <c:pt idx="93">
                  <c:v>84</c:v>
                </c:pt>
                <c:pt idx="94">
                  <c:v>82</c:v>
                </c:pt>
                <c:pt idx="95">
                  <c:v>31</c:v>
                </c:pt>
                <c:pt idx="96">
                  <c:v>121</c:v>
                </c:pt>
                <c:pt idx="97">
                  <c:v>113</c:v>
                </c:pt>
                <c:pt idx="98">
                  <c:v>142</c:v>
                </c:pt>
                <c:pt idx="99">
                  <c:v>132</c:v>
                </c:pt>
                <c:pt idx="100">
                  <c:v>124</c:v>
                </c:pt>
                <c:pt idx="101">
                  <c:v>88</c:v>
                </c:pt>
                <c:pt idx="102">
                  <c:v>71</c:v>
                </c:pt>
                <c:pt idx="103">
                  <c:v>331</c:v>
                </c:pt>
                <c:pt idx="104">
                  <c:v>223</c:v>
                </c:pt>
                <c:pt idx="105">
                  <c:v>37</c:v>
                </c:pt>
                <c:pt idx="106">
                  <c:v>50</c:v>
                </c:pt>
                <c:pt idx="107">
                  <c:v>85</c:v>
                </c:pt>
                <c:pt idx="108">
                  <c:v>336</c:v>
                </c:pt>
                <c:pt idx="109">
                  <c:v>164</c:v>
                </c:pt>
                <c:pt idx="110">
                  <c:v>123</c:v>
                </c:pt>
                <c:pt idx="111">
                  <c:v>156</c:v>
                </c:pt>
                <c:pt idx="112">
                  <c:v>188</c:v>
                </c:pt>
                <c:pt idx="113">
                  <c:v>282</c:v>
                </c:pt>
                <c:pt idx="114">
                  <c:v>245</c:v>
                </c:pt>
                <c:pt idx="115">
                  <c:v>141</c:v>
                </c:pt>
                <c:pt idx="116">
                  <c:v>77</c:v>
                </c:pt>
                <c:pt idx="117">
                  <c:v>119</c:v>
                </c:pt>
                <c:pt idx="118">
                  <c:v>89</c:v>
                </c:pt>
                <c:pt idx="119">
                  <c:v>313</c:v>
                </c:pt>
                <c:pt idx="120">
                  <c:v>286</c:v>
                </c:pt>
                <c:pt idx="121">
                  <c:v>299</c:v>
                </c:pt>
                <c:pt idx="122">
                  <c:v>41</c:v>
                </c:pt>
                <c:pt idx="123">
                  <c:v>159</c:v>
                </c:pt>
                <c:pt idx="124">
                  <c:v>328</c:v>
                </c:pt>
                <c:pt idx="125">
                  <c:v>296</c:v>
                </c:pt>
                <c:pt idx="126">
                  <c:v>42</c:v>
                </c:pt>
                <c:pt idx="127">
                  <c:v>69</c:v>
                </c:pt>
                <c:pt idx="128">
                  <c:v>114</c:v>
                </c:pt>
                <c:pt idx="129">
                  <c:v>283</c:v>
                </c:pt>
                <c:pt idx="130">
                  <c:v>68</c:v>
                </c:pt>
                <c:pt idx="131">
                  <c:v>43</c:v>
                </c:pt>
                <c:pt idx="132">
                  <c:v>53</c:v>
                </c:pt>
                <c:pt idx="133">
                  <c:v>64</c:v>
                </c:pt>
                <c:pt idx="134">
                  <c:v>48</c:v>
                </c:pt>
                <c:pt idx="135">
                  <c:v>70</c:v>
                </c:pt>
                <c:pt idx="136">
                  <c:v>287</c:v>
                </c:pt>
                <c:pt idx="137">
                  <c:v>62</c:v>
                </c:pt>
                <c:pt idx="138">
                  <c:v>246</c:v>
                </c:pt>
                <c:pt idx="139">
                  <c:v>66</c:v>
                </c:pt>
                <c:pt idx="140">
                  <c:v>103</c:v>
                </c:pt>
                <c:pt idx="141">
                  <c:v>349</c:v>
                </c:pt>
                <c:pt idx="142">
                  <c:v>216</c:v>
                </c:pt>
                <c:pt idx="143">
                  <c:v>323</c:v>
                </c:pt>
                <c:pt idx="144">
                  <c:v>220</c:v>
                </c:pt>
                <c:pt idx="145">
                  <c:v>107</c:v>
                </c:pt>
                <c:pt idx="146">
                  <c:v>83</c:v>
                </c:pt>
                <c:pt idx="147">
                  <c:v>95</c:v>
                </c:pt>
                <c:pt idx="148">
                  <c:v>59</c:v>
                </c:pt>
                <c:pt idx="149">
                  <c:v>153</c:v>
                </c:pt>
                <c:pt idx="150">
                  <c:v>298</c:v>
                </c:pt>
                <c:pt idx="151">
                  <c:v>151</c:v>
                </c:pt>
                <c:pt idx="152">
                  <c:v>194</c:v>
                </c:pt>
                <c:pt idx="153">
                  <c:v>67</c:v>
                </c:pt>
                <c:pt idx="154">
                  <c:v>403</c:v>
                </c:pt>
                <c:pt idx="155">
                  <c:v>275</c:v>
                </c:pt>
                <c:pt idx="156">
                  <c:v>129</c:v>
                </c:pt>
                <c:pt idx="157">
                  <c:v>79</c:v>
                </c:pt>
                <c:pt idx="158">
                  <c:v>288</c:v>
                </c:pt>
                <c:pt idx="159">
                  <c:v>249</c:v>
                </c:pt>
                <c:pt idx="160">
                  <c:v>80</c:v>
                </c:pt>
                <c:pt idx="161">
                  <c:v>243</c:v>
                </c:pt>
                <c:pt idx="162">
                  <c:v>120</c:v>
                </c:pt>
                <c:pt idx="163">
                  <c:v>93</c:v>
                </c:pt>
                <c:pt idx="164">
                  <c:v>72</c:v>
                </c:pt>
                <c:pt idx="165">
                  <c:v>271</c:v>
                </c:pt>
                <c:pt idx="166">
                  <c:v>166</c:v>
                </c:pt>
                <c:pt idx="167">
                  <c:v>108</c:v>
                </c:pt>
                <c:pt idx="168">
                  <c:v>293</c:v>
                </c:pt>
                <c:pt idx="169">
                  <c:v>360</c:v>
                </c:pt>
                <c:pt idx="170">
                  <c:v>250</c:v>
                </c:pt>
                <c:pt idx="171">
                  <c:v>106</c:v>
                </c:pt>
                <c:pt idx="172">
                  <c:v>180</c:v>
                </c:pt>
                <c:pt idx="173">
                  <c:v>148</c:v>
                </c:pt>
                <c:pt idx="174">
                  <c:v>150</c:v>
                </c:pt>
                <c:pt idx="175">
                  <c:v>122</c:v>
                </c:pt>
                <c:pt idx="176">
                  <c:v>161</c:v>
                </c:pt>
                <c:pt idx="177">
                  <c:v>126</c:v>
                </c:pt>
                <c:pt idx="178">
                  <c:v>186</c:v>
                </c:pt>
                <c:pt idx="179">
                  <c:v>163</c:v>
                </c:pt>
                <c:pt idx="180">
                  <c:v>359</c:v>
                </c:pt>
                <c:pt idx="181">
                  <c:v>185</c:v>
                </c:pt>
                <c:pt idx="182">
                  <c:v>109</c:v>
                </c:pt>
                <c:pt idx="183">
                  <c:v>135</c:v>
                </c:pt>
                <c:pt idx="184">
                  <c:v>99</c:v>
                </c:pt>
                <c:pt idx="185">
                  <c:v>411</c:v>
                </c:pt>
                <c:pt idx="186">
                  <c:v>130</c:v>
                </c:pt>
                <c:pt idx="187">
                  <c:v>189</c:v>
                </c:pt>
                <c:pt idx="188">
                  <c:v>184</c:v>
                </c:pt>
                <c:pt idx="189">
                  <c:v>230</c:v>
                </c:pt>
                <c:pt idx="190">
                  <c:v>292</c:v>
                </c:pt>
                <c:pt idx="191">
                  <c:v>175</c:v>
                </c:pt>
                <c:pt idx="192">
                  <c:v>133</c:v>
                </c:pt>
                <c:pt idx="193">
                  <c:v>97</c:v>
                </c:pt>
                <c:pt idx="194">
                  <c:v>118</c:v>
                </c:pt>
                <c:pt idx="195">
                  <c:v>127</c:v>
                </c:pt>
                <c:pt idx="196">
                  <c:v>259</c:v>
                </c:pt>
                <c:pt idx="197">
                  <c:v>134</c:v>
                </c:pt>
                <c:pt idx="198">
                  <c:v>177</c:v>
                </c:pt>
                <c:pt idx="199">
                  <c:v>195</c:v>
                </c:pt>
                <c:pt idx="200">
                  <c:v>341</c:v>
                </c:pt>
                <c:pt idx="201">
                  <c:v>172</c:v>
                </c:pt>
                <c:pt idx="202">
                  <c:v>229</c:v>
                </c:pt>
                <c:pt idx="203">
                  <c:v>117</c:v>
                </c:pt>
                <c:pt idx="204">
                  <c:v>191</c:v>
                </c:pt>
                <c:pt idx="205">
                  <c:v>192</c:v>
                </c:pt>
                <c:pt idx="206">
                  <c:v>104</c:v>
                </c:pt>
                <c:pt idx="207">
                  <c:v>196</c:v>
                </c:pt>
                <c:pt idx="208">
                  <c:v>136</c:v>
                </c:pt>
                <c:pt idx="209">
                  <c:v>165</c:v>
                </c:pt>
                <c:pt idx="210">
                  <c:v>158</c:v>
                </c:pt>
                <c:pt idx="211">
                  <c:v>182</c:v>
                </c:pt>
                <c:pt idx="212">
                  <c:v>267</c:v>
                </c:pt>
                <c:pt idx="213">
                  <c:v>215</c:v>
                </c:pt>
                <c:pt idx="214">
                  <c:v>183</c:v>
                </c:pt>
                <c:pt idx="215">
                  <c:v>155</c:v>
                </c:pt>
                <c:pt idx="216">
                  <c:v>137</c:v>
                </c:pt>
                <c:pt idx="217">
                  <c:v>368</c:v>
                </c:pt>
                <c:pt idx="218">
                  <c:v>139</c:v>
                </c:pt>
                <c:pt idx="219">
                  <c:v>199</c:v>
                </c:pt>
                <c:pt idx="220">
                  <c:v>115</c:v>
                </c:pt>
                <c:pt idx="221">
                  <c:v>169</c:v>
                </c:pt>
                <c:pt idx="222">
                  <c:v>309</c:v>
                </c:pt>
                <c:pt idx="223">
                  <c:v>187</c:v>
                </c:pt>
                <c:pt idx="224">
                  <c:v>372</c:v>
                </c:pt>
                <c:pt idx="225">
                  <c:v>214</c:v>
                </c:pt>
                <c:pt idx="226">
                  <c:v>200</c:v>
                </c:pt>
                <c:pt idx="227">
                  <c:v>154</c:v>
                </c:pt>
                <c:pt idx="228">
                  <c:v>424</c:v>
                </c:pt>
                <c:pt idx="229">
                  <c:v>262</c:v>
                </c:pt>
                <c:pt idx="230">
                  <c:v>160</c:v>
                </c:pt>
                <c:pt idx="231">
                  <c:v>225</c:v>
                </c:pt>
                <c:pt idx="232">
                  <c:v>157</c:v>
                </c:pt>
                <c:pt idx="233">
                  <c:v>420</c:v>
                </c:pt>
                <c:pt idx="234">
                  <c:v>228</c:v>
                </c:pt>
                <c:pt idx="235">
                  <c:v>236</c:v>
                </c:pt>
                <c:pt idx="236">
                  <c:v>207</c:v>
                </c:pt>
                <c:pt idx="237">
                  <c:v>144</c:v>
                </c:pt>
                <c:pt idx="238">
                  <c:v>170</c:v>
                </c:pt>
                <c:pt idx="239">
                  <c:v>162</c:v>
                </c:pt>
                <c:pt idx="240">
                  <c:v>168</c:v>
                </c:pt>
                <c:pt idx="241">
                  <c:v>268</c:v>
                </c:pt>
                <c:pt idx="242">
                  <c:v>237</c:v>
                </c:pt>
                <c:pt idx="243">
                  <c:v>178</c:v>
                </c:pt>
                <c:pt idx="244">
                  <c:v>219</c:v>
                </c:pt>
                <c:pt idx="245">
                  <c:v>312</c:v>
                </c:pt>
                <c:pt idx="246">
                  <c:v>131</c:v>
                </c:pt>
                <c:pt idx="247">
                  <c:v>174</c:v>
                </c:pt>
                <c:pt idx="248">
                  <c:v>234</c:v>
                </c:pt>
                <c:pt idx="249">
                  <c:v>190</c:v>
                </c:pt>
                <c:pt idx="250">
                  <c:v>233</c:v>
                </c:pt>
                <c:pt idx="251">
                  <c:v>422</c:v>
                </c:pt>
                <c:pt idx="252">
                  <c:v>381</c:v>
                </c:pt>
                <c:pt idx="253">
                  <c:v>143</c:v>
                </c:pt>
                <c:pt idx="254">
                  <c:v>297</c:v>
                </c:pt>
                <c:pt idx="255">
                  <c:v>181</c:v>
                </c:pt>
                <c:pt idx="256">
                  <c:v>409</c:v>
                </c:pt>
                <c:pt idx="257">
                  <c:v>197</c:v>
                </c:pt>
                <c:pt idx="258">
                  <c:v>198</c:v>
                </c:pt>
                <c:pt idx="259">
                  <c:v>211</c:v>
                </c:pt>
                <c:pt idx="260">
                  <c:v>167</c:v>
                </c:pt>
                <c:pt idx="261">
                  <c:v>227</c:v>
                </c:pt>
                <c:pt idx="262">
                  <c:v>278</c:v>
                </c:pt>
                <c:pt idx="263">
                  <c:v>252</c:v>
                </c:pt>
                <c:pt idx="264">
                  <c:v>264</c:v>
                </c:pt>
                <c:pt idx="265">
                  <c:v>221</c:v>
                </c:pt>
                <c:pt idx="266">
                  <c:v>217</c:v>
                </c:pt>
                <c:pt idx="267">
                  <c:v>405</c:v>
                </c:pt>
                <c:pt idx="268">
                  <c:v>149</c:v>
                </c:pt>
                <c:pt idx="269">
                  <c:v>209</c:v>
                </c:pt>
                <c:pt idx="270">
                  <c:v>212</c:v>
                </c:pt>
                <c:pt idx="271">
                  <c:v>213</c:v>
                </c:pt>
                <c:pt idx="272">
                  <c:v>274</c:v>
                </c:pt>
                <c:pt idx="273">
                  <c:v>395</c:v>
                </c:pt>
                <c:pt idx="274">
                  <c:v>270</c:v>
                </c:pt>
                <c:pt idx="275">
                  <c:v>294</c:v>
                </c:pt>
                <c:pt idx="276">
                  <c:v>179</c:v>
                </c:pt>
                <c:pt idx="277">
                  <c:v>241</c:v>
                </c:pt>
                <c:pt idx="278">
                  <c:v>244</c:v>
                </c:pt>
                <c:pt idx="279">
                  <c:v>396</c:v>
                </c:pt>
                <c:pt idx="280">
                  <c:v>382</c:v>
                </c:pt>
                <c:pt idx="281">
                  <c:v>231</c:v>
                </c:pt>
                <c:pt idx="282">
                  <c:v>173</c:v>
                </c:pt>
                <c:pt idx="283">
                  <c:v>257</c:v>
                </c:pt>
                <c:pt idx="284">
                  <c:v>242</c:v>
                </c:pt>
                <c:pt idx="285">
                  <c:v>222</c:v>
                </c:pt>
                <c:pt idx="286">
                  <c:v>226</c:v>
                </c:pt>
                <c:pt idx="287">
                  <c:v>210</c:v>
                </c:pt>
                <c:pt idx="288">
                  <c:v>306</c:v>
                </c:pt>
                <c:pt idx="289">
                  <c:v>303</c:v>
                </c:pt>
                <c:pt idx="290">
                  <c:v>447</c:v>
                </c:pt>
                <c:pt idx="291">
                  <c:v>204</c:v>
                </c:pt>
                <c:pt idx="292">
                  <c:v>265</c:v>
                </c:pt>
                <c:pt idx="293">
                  <c:v>203</c:v>
                </c:pt>
                <c:pt idx="294">
                  <c:v>369</c:v>
                </c:pt>
                <c:pt idx="295">
                  <c:v>406</c:v>
                </c:pt>
                <c:pt idx="296">
                  <c:v>240</c:v>
                </c:pt>
                <c:pt idx="297">
                  <c:v>269</c:v>
                </c:pt>
                <c:pt idx="298">
                  <c:v>300</c:v>
                </c:pt>
                <c:pt idx="299">
                  <c:v>285</c:v>
                </c:pt>
                <c:pt idx="300">
                  <c:v>279</c:v>
                </c:pt>
                <c:pt idx="301">
                  <c:v>255</c:v>
                </c:pt>
                <c:pt idx="302">
                  <c:v>206</c:v>
                </c:pt>
                <c:pt idx="303">
                  <c:v>256</c:v>
                </c:pt>
                <c:pt idx="304">
                  <c:v>205</c:v>
                </c:pt>
                <c:pt idx="305">
                  <c:v>201</c:v>
                </c:pt>
                <c:pt idx="306">
                  <c:v>320</c:v>
                </c:pt>
                <c:pt idx="307">
                  <c:v>202</c:v>
                </c:pt>
                <c:pt idx="308">
                  <c:v>263</c:v>
                </c:pt>
                <c:pt idx="309">
                  <c:v>260</c:v>
                </c:pt>
                <c:pt idx="310">
                  <c:v>272</c:v>
                </c:pt>
                <c:pt idx="311">
                  <c:v>276</c:v>
                </c:pt>
                <c:pt idx="312">
                  <c:v>266</c:v>
                </c:pt>
                <c:pt idx="313">
                  <c:v>261</c:v>
                </c:pt>
                <c:pt idx="314">
                  <c:v>318</c:v>
                </c:pt>
                <c:pt idx="315">
                  <c:v>321</c:v>
                </c:pt>
                <c:pt idx="316">
                  <c:v>239</c:v>
                </c:pt>
                <c:pt idx="317">
                  <c:v>224</c:v>
                </c:pt>
                <c:pt idx="318">
                  <c:v>284</c:v>
                </c:pt>
                <c:pt idx="319">
                  <c:v>258</c:v>
                </c:pt>
                <c:pt idx="320">
                  <c:v>251</c:v>
                </c:pt>
                <c:pt idx="321">
                  <c:v>356</c:v>
                </c:pt>
                <c:pt idx="322">
                  <c:v>218</c:v>
                </c:pt>
                <c:pt idx="323">
                  <c:v>317</c:v>
                </c:pt>
                <c:pt idx="324">
                  <c:v>333</c:v>
                </c:pt>
                <c:pt idx="325">
                  <c:v>325</c:v>
                </c:pt>
                <c:pt idx="326">
                  <c:v>254</c:v>
                </c:pt>
                <c:pt idx="327">
                  <c:v>273</c:v>
                </c:pt>
                <c:pt idx="328">
                  <c:v>238</c:v>
                </c:pt>
                <c:pt idx="329">
                  <c:v>330</c:v>
                </c:pt>
                <c:pt idx="330">
                  <c:v>316</c:v>
                </c:pt>
                <c:pt idx="331">
                  <c:v>253</c:v>
                </c:pt>
                <c:pt idx="332">
                  <c:v>427</c:v>
                </c:pt>
                <c:pt idx="333">
                  <c:v>322</c:v>
                </c:pt>
                <c:pt idx="334">
                  <c:v>281</c:v>
                </c:pt>
                <c:pt idx="335">
                  <c:v>247</c:v>
                </c:pt>
                <c:pt idx="336">
                  <c:v>380</c:v>
                </c:pt>
                <c:pt idx="337">
                  <c:v>248</c:v>
                </c:pt>
                <c:pt idx="338">
                  <c:v>277</c:v>
                </c:pt>
                <c:pt idx="339">
                  <c:v>304</c:v>
                </c:pt>
                <c:pt idx="340">
                  <c:v>302</c:v>
                </c:pt>
                <c:pt idx="341">
                  <c:v>295</c:v>
                </c:pt>
                <c:pt idx="342">
                  <c:v>311</c:v>
                </c:pt>
                <c:pt idx="343">
                  <c:v>308</c:v>
                </c:pt>
                <c:pt idx="344">
                  <c:v>310</c:v>
                </c:pt>
                <c:pt idx="345">
                  <c:v>326</c:v>
                </c:pt>
                <c:pt idx="346">
                  <c:v>362</c:v>
                </c:pt>
                <c:pt idx="347">
                  <c:v>398</c:v>
                </c:pt>
                <c:pt idx="348">
                  <c:v>289</c:v>
                </c:pt>
                <c:pt idx="349">
                  <c:v>357</c:v>
                </c:pt>
                <c:pt idx="350">
                  <c:v>453</c:v>
                </c:pt>
                <c:pt idx="351">
                  <c:v>340</c:v>
                </c:pt>
                <c:pt idx="352">
                  <c:v>291</c:v>
                </c:pt>
                <c:pt idx="353">
                  <c:v>315</c:v>
                </c:pt>
                <c:pt idx="354">
                  <c:v>301</c:v>
                </c:pt>
                <c:pt idx="355">
                  <c:v>354</c:v>
                </c:pt>
                <c:pt idx="356">
                  <c:v>314</c:v>
                </c:pt>
                <c:pt idx="357">
                  <c:v>305</c:v>
                </c:pt>
                <c:pt idx="358">
                  <c:v>442</c:v>
                </c:pt>
                <c:pt idx="359">
                  <c:v>365</c:v>
                </c:pt>
                <c:pt idx="360">
                  <c:v>355</c:v>
                </c:pt>
                <c:pt idx="361">
                  <c:v>353</c:v>
                </c:pt>
                <c:pt idx="362">
                  <c:v>345</c:v>
                </c:pt>
                <c:pt idx="363">
                  <c:v>307</c:v>
                </c:pt>
                <c:pt idx="364">
                  <c:v>351</c:v>
                </c:pt>
                <c:pt idx="365">
                  <c:v>327</c:v>
                </c:pt>
                <c:pt idx="366">
                  <c:v>332</c:v>
                </c:pt>
                <c:pt idx="367">
                  <c:v>290</c:v>
                </c:pt>
                <c:pt idx="368">
                  <c:v>458</c:v>
                </c:pt>
                <c:pt idx="369">
                  <c:v>334</c:v>
                </c:pt>
                <c:pt idx="370">
                  <c:v>339</c:v>
                </c:pt>
                <c:pt idx="371">
                  <c:v>363</c:v>
                </c:pt>
                <c:pt idx="372">
                  <c:v>329</c:v>
                </c:pt>
                <c:pt idx="373">
                  <c:v>319</c:v>
                </c:pt>
                <c:pt idx="374">
                  <c:v>370</c:v>
                </c:pt>
                <c:pt idx="375">
                  <c:v>343</c:v>
                </c:pt>
                <c:pt idx="376">
                  <c:v>342</c:v>
                </c:pt>
                <c:pt idx="377">
                  <c:v>367</c:v>
                </c:pt>
                <c:pt idx="378">
                  <c:v>361</c:v>
                </c:pt>
                <c:pt idx="379">
                  <c:v>364</c:v>
                </c:pt>
                <c:pt idx="380">
                  <c:v>373</c:v>
                </c:pt>
                <c:pt idx="381">
                  <c:v>335</c:v>
                </c:pt>
                <c:pt idx="382">
                  <c:v>344</c:v>
                </c:pt>
                <c:pt idx="383">
                  <c:v>376</c:v>
                </c:pt>
                <c:pt idx="384">
                  <c:v>346</c:v>
                </c:pt>
                <c:pt idx="385">
                  <c:v>358</c:v>
                </c:pt>
                <c:pt idx="386">
                  <c:v>352</c:v>
                </c:pt>
                <c:pt idx="387">
                  <c:v>374</c:v>
                </c:pt>
                <c:pt idx="388">
                  <c:v>404</c:v>
                </c:pt>
                <c:pt idx="389">
                  <c:v>348</c:v>
                </c:pt>
                <c:pt idx="390">
                  <c:v>350</c:v>
                </c:pt>
                <c:pt idx="391">
                  <c:v>337</c:v>
                </c:pt>
                <c:pt idx="392">
                  <c:v>389</c:v>
                </c:pt>
                <c:pt idx="393">
                  <c:v>347</c:v>
                </c:pt>
                <c:pt idx="394">
                  <c:v>401</c:v>
                </c:pt>
                <c:pt idx="395">
                  <c:v>386</c:v>
                </c:pt>
                <c:pt idx="396">
                  <c:v>387</c:v>
                </c:pt>
                <c:pt idx="397">
                  <c:v>375</c:v>
                </c:pt>
                <c:pt idx="398">
                  <c:v>338</c:v>
                </c:pt>
                <c:pt idx="399">
                  <c:v>371</c:v>
                </c:pt>
                <c:pt idx="400">
                  <c:v>391</c:v>
                </c:pt>
                <c:pt idx="401">
                  <c:v>377</c:v>
                </c:pt>
                <c:pt idx="402">
                  <c:v>366</c:v>
                </c:pt>
                <c:pt idx="403">
                  <c:v>384</c:v>
                </c:pt>
                <c:pt idx="404">
                  <c:v>390</c:v>
                </c:pt>
                <c:pt idx="405">
                  <c:v>399</c:v>
                </c:pt>
                <c:pt idx="406">
                  <c:v>388</c:v>
                </c:pt>
                <c:pt idx="407">
                  <c:v>378</c:v>
                </c:pt>
                <c:pt idx="408">
                  <c:v>385</c:v>
                </c:pt>
                <c:pt idx="409">
                  <c:v>383</c:v>
                </c:pt>
                <c:pt idx="410">
                  <c:v>456</c:v>
                </c:pt>
                <c:pt idx="411">
                  <c:v>417</c:v>
                </c:pt>
                <c:pt idx="412">
                  <c:v>407</c:v>
                </c:pt>
                <c:pt idx="413">
                  <c:v>394</c:v>
                </c:pt>
                <c:pt idx="414">
                  <c:v>393</c:v>
                </c:pt>
                <c:pt idx="415">
                  <c:v>392</c:v>
                </c:pt>
                <c:pt idx="416">
                  <c:v>412</c:v>
                </c:pt>
                <c:pt idx="417">
                  <c:v>400</c:v>
                </c:pt>
                <c:pt idx="418">
                  <c:v>425</c:v>
                </c:pt>
                <c:pt idx="419">
                  <c:v>423</c:v>
                </c:pt>
                <c:pt idx="420">
                  <c:v>465</c:v>
                </c:pt>
                <c:pt idx="421">
                  <c:v>402</c:v>
                </c:pt>
                <c:pt idx="422">
                  <c:v>410</c:v>
                </c:pt>
                <c:pt idx="423">
                  <c:v>397</c:v>
                </c:pt>
                <c:pt idx="424">
                  <c:v>413</c:v>
                </c:pt>
                <c:pt idx="425">
                  <c:v>414</c:v>
                </c:pt>
                <c:pt idx="426">
                  <c:v>408</c:v>
                </c:pt>
                <c:pt idx="427">
                  <c:v>463</c:v>
                </c:pt>
                <c:pt idx="428">
                  <c:v>416</c:v>
                </c:pt>
                <c:pt idx="429">
                  <c:v>426</c:v>
                </c:pt>
                <c:pt idx="430">
                  <c:v>419</c:v>
                </c:pt>
                <c:pt idx="431">
                  <c:v>415</c:v>
                </c:pt>
                <c:pt idx="432">
                  <c:v>434</c:v>
                </c:pt>
                <c:pt idx="433">
                  <c:v>418</c:v>
                </c:pt>
                <c:pt idx="434">
                  <c:v>421</c:v>
                </c:pt>
                <c:pt idx="435">
                  <c:v>444</c:v>
                </c:pt>
                <c:pt idx="436">
                  <c:v>448</c:v>
                </c:pt>
                <c:pt idx="437">
                  <c:v>430</c:v>
                </c:pt>
                <c:pt idx="438">
                  <c:v>432</c:v>
                </c:pt>
                <c:pt idx="439">
                  <c:v>428</c:v>
                </c:pt>
                <c:pt idx="440">
                  <c:v>431</c:v>
                </c:pt>
                <c:pt idx="441">
                  <c:v>429</c:v>
                </c:pt>
                <c:pt idx="442">
                  <c:v>435</c:v>
                </c:pt>
                <c:pt idx="443">
                  <c:v>439</c:v>
                </c:pt>
                <c:pt idx="444">
                  <c:v>433</c:v>
                </c:pt>
                <c:pt idx="445">
                  <c:v>440</c:v>
                </c:pt>
                <c:pt idx="446">
                  <c:v>441</c:v>
                </c:pt>
                <c:pt idx="447">
                  <c:v>443</c:v>
                </c:pt>
                <c:pt idx="448">
                  <c:v>437</c:v>
                </c:pt>
                <c:pt idx="449">
                  <c:v>436</c:v>
                </c:pt>
                <c:pt idx="450">
                  <c:v>438</c:v>
                </c:pt>
                <c:pt idx="451">
                  <c:v>445</c:v>
                </c:pt>
                <c:pt idx="452">
                  <c:v>451</c:v>
                </c:pt>
                <c:pt idx="453">
                  <c:v>457</c:v>
                </c:pt>
                <c:pt idx="454">
                  <c:v>452</c:v>
                </c:pt>
                <c:pt idx="455">
                  <c:v>449</c:v>
                </c:pt>
                <c:pt idx="456">
                  <c:v>455</c:v>
                </c:pt>
                <c:pt idx="457">
                  <c:v>446</c:v>
                </c:pt>
                <c:pt idx="458">
                  <c:v>450</c:v>
                </c:pt>
                <c:pt idx="459">
                  <c:v>454</c:v>
                </c:pt>
                <c:pt idx="460">
                  <c:v>460</c:v>
                </c:pt>
                <c:pt idx="461">
                  <c:v>459</c:v>
                </c:pt>
                <c:pt idx="462">
                  <c:v>461</c:v>
                </c:pt>
                <c:pt idx="463">
                  <c:v>466</c:v>
                </c:pt>
                <c:pt idx="464">
                  <c:v>462</c:v>
                </c:pt>
                <c:pt idx="465">
                  <c:v>464</c:v>
                </c:pt>
                <c:pt idx="466">
                  <c:v>467</c:v>
                </c:pt>
                <c:pt idx="467">
                  <c:v>470</c:v>
                </c:pt>
                <c:pt idx="468">
                  <c:v>469</c:v>
                </c:pt>
                <c:pt idx="469">
                  <c:v>468</c:v>
                </c:pt>
                <c:pt idx="470">
                  <c:v>471</c:v>
                </c:pt>
                <c:pt idx="471">
                  <c:v>472</c:v>
                </c:pt>
              </c:numCache>
            </c:numRef>
          </c:yVal>
          <c:smooth val="0"/>
          <c:extLst>
            <c:ext xmlns:c16="http://schemas.microsoft.com/office/drawing/2014/chart" uri="{C3380CC4-5D6E-409C-BE32-E72D297353CC}">
              <c16:uniqueId val="{00000001-A88F-4B4D-9E53-47EE8D15EBB5}"/>
            </c:ext>
          </c:extLst>
        </c:ser>
        <c:dLbls>
          <c:showLegendKey val="0"/>
          <c:showVal val="0"/>
          <c:showCatName val="0"/>
          <c:showSerName val="0"/>
          <c:showPercent val="0"/>
          <c:showBubbleSize val="0"/>
        </c:dLbls>
        <c:axId val="526373503"/>
        <c:axId val="447471103"/>
      </c:scatterChart>
      <c:valAx>
        <c:axId val="526373503"/>
        <c:scaling>
          <c:orientation val="minMax"/>
        </c:scaling>
        <c:delete val="0"/>
        <c:axPos val="b"/>
        <c:majorGridlines>
          <c:spPr>
            <a:ln w="9525" cap="flat" cmpd="sng" algn="ctr">
              <a:solidFill>
                <a:schemeClr val="dk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r>
                  <a:rPr lang="en-US"/>
                  <a:t>Plan-contract</a:t>
                </a:r>
              </a:p>
            </c:rich>
          </c:tx>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rnd">
            <a:solidFill>
              <a:schemeClr val="dk1">
                <a:lumMod val="25000"/>
                <a:lumOff val="75000"/>
              </a:schemeClr>
            </a:solidFill>
            <a:round/>
          </a:ln>
          <a:effectLst/>
        </c:spPr>
        <c:txPr>
          <a:bodyPr rot="-60000000" spcFirstLastPara="1" vertOverflow="ellipsis" vert="horz" wrap="square" anchor="ctr" anchorCtr="1"/>
          <a:lstStyle/>
          <a:p>
            <a:pPr>
              <a:defRPr sz="900" b="0" i="0" u="none" strike="noStrike" kern="1200" spc="0" baseline="0">
                <a:solidFill>
                  <a:schemeClr val="dk1">
                    <a:lumMod val="65000"/>
                    <a:lumOff val="35000"/>
                  </a:schemeClr>
                </a:solidFill>
                <a:latin typeface="+mn-lt"/>
                <a:ea typeface="+mn-ea"/>
                <a:cs typeface="+mn-cs"/>
              </a:defRPr>
            </a:pPr>
            <a:endParaRPr lang="en-US"/>
          </a:p>
        </c:txPr>
        <c:crossAx val="447471103"/>
        <c:crosses val="autoZero"/>
        <c:crossBetween val="midCat"/>
      </c:valAx>
      <c:valAx>
        <c:axId val="447471103"/>
        <c:scaling>
          <c:orientation val="minMax"/>
        </c:scaling>
        <c:delete val="0"/>
        <c:axPos val="l"/>
        <c:majorGridlines>
          <c:spPr>
            <a:ln w="9525" cap="flat" cmpd="sng" algn="ctr">
              <a:solidFill>
                <a:schemeClr val="dk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r>
                  <a:rPr lang="en-US"/>
                  <a:t>Ranking</a:t>
                </a:r>
              </a:p>
            </c:rich>
          </c:tx>
          <c:layout>
            <c:manualLayout>
              <c:xMode val="edge"/>
              <c:yMode val="edge"/>
              <c:x val="1.4957264957264958E-2"/>
              <c:y val="0.30100082186696359"/>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rnd">
            <a:solidFill>
              <a:schemeClr val="dk1">
                <a:lumMod val="25000"/>
                <a:lumOff val="75000"/>
              </a:schemeClr>
            </a:solidFill>
            <a:round/>
          </a:ln>
          <a:effectLst/>
        </c:spPr>
        <c:txPr>
          <a:bodyPr rot="-60000000" spcFirstLastPara="1" vertOverflow="ellipsis" vert="horz" wrap="square" anchor="ctr" anchorCtr="1"/>
          <a:lstStyle/>
          <a:p>
            <a:pPr>
              <a:defRPr sz="900" b="0" i="0" u="none" strike="noStrike" kern="1200" spc="0" baseline="0">
                <a:solidFill>
                  <a:schemeClr val="dk1">
                    <a:lumMod val="65000"/>
                    <a:lumOff val="35000"/>
                  </a:schemeClr>
                </a:solidFill>
                <a:latin typeface="+mn-lt"/>
                <a:ea typeface="+mn-ea"/>
                <a:cs typeface="+mn-cs"/>
              </a:defRPr>
            </a:pPr>
            <a:endParaRPr lang="en-US"/>
          </a:p>
        </c:txPr>
        <c:crossAx val="526373503"/>
        <c:crosses val="autoZero"/>
        <c:crossBetween val="midCat"/>
        <c:majorUnit val="100"/>
      </c:valAx>
      <c:spPr>
        <a:gradFill>
          <a:gsLst>
            <a:gs pos="100000">
              <a:schemeClr val="lt1">
                <a:lumMod val="95000"/>
              </a:schemeClr>
            </a:gs>
            <a:gs pos="0">
              <a:schemeClr val="lt1">
                <a:alpha val="0"/>
              </a:schemeClr>
            </a:gs>
          </a:gsLst>
          <a:lin ang="5400000" scaled="0"/>
        </a:gradFill>
        <a:ln>
          <a:noFill/>
        </a:ln>
        <a:effectLst/>
      </c:spPr>
    </c:plotArea>
    <c:legend>
      <c:legendPos val="r"/>
      <c:layout>
        <c:manualLayout>
          <c:xMode val="edge"/>
          <c:yMode val="edge"/>
          <c:x val="0.69279544383875091"/>
          <c:y val="0.67946805232341911"/>
          <c:w val="0.24737549633218928"/>
          <c:h val="0.13327854220242669"/>
        </c:manualLayout>
      </c:layout>
      <c:overlay val="0"/>
      <c:spPr>
        <a:noFill/>
        <a:ln>
          <a:noFill/>
        </a:ln>
        <a:effectLst/>
      </c:spPr>
      <c:txPr>
        <a:bodyPr rot="0" spcFirstLastPara="1" vertOverflow="ellipsis" vert="horz" wrap="square" anchor="ctr" anchorCtr="1"/>
        <a:lstStyle/>
        <a:p>
          <a:pPr>
            <a:defRPr sz="900" b="0" i="0" u="none" strike="noStrike" kern="1200" spc="0" baseline="0">
              <a:solidFill>
                <a:schemeClr val="dk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36627633084326"/>
          <c:y val="5.4726368159203981E-2"/>
          <c:w val="0.85821757857190928"/>
          <c:h val="0.73602773533905264"/>
        </c:manualLayout>
      </c:layout>
      <c:scatterChart>
        <c:scatterStyle val="lineMarker"/>
        <c:varyColors val="0"/>
        <c:ser>
          <c:idx val="0"/>
          <c:order val="0"/>
          <c:tx>
            <c:strRef>
              <c:f>'Statins Data'!$B$1</c:f>
              <c:strCache>
                <c:ptCount val="1"/>
                <c:pt idx="0">
                  <c:v>Unadjusted</c:v>
                </c:pt>
              </c:strCache>
            </c:strRef>
          </c:tx>
          <c:spPr>
            <a:ln w="25400" cap="flat" cmpd="sng" algn="ctr">
              <a:noFill/>
              <a:prstDash val="sysDot"/>
              <a:round/>
            </a:ln>
            <a:effectLst>
              <a:outerShdw blurRad="40000" dist="20000" dir="5400000" rotWithShape="0">
                <a:srgbClr val="000000">
                  <a:alpha val="38000"/>
                </a:srgbClr>
              </a:outerShdw>
            </a:effectLst>
          </c:spPr>
          <c:marker>
            <c:symbol val="circle"/>
            <c:size val="5"/>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chemeClr>
                </a:solidFill>
                <a:round/>
              </a:ln>
              <a:effectLst>
                <a:outerShdw blurRad="40000" dist="20000" dir="5400000" rotWithShape="0">
                  <a:srgbClr val="000000">
                    <a:alpha val="38000"/>
                  </a:srgbClr>
                </a:outerShdw>
              </a:effectLst>
            </c:spPr>
          </c:marker>
          <c:xVal>
            <c:numRef>
              <c:f>'Statins Data'!$A$2:$A$481</c:f>
              <c:numCache>
                <c:formatCode>General</c:formatCode>
                <c:ptCount val="48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pt idx="100">
                  <c:v>101</c:v>
                </c:pt>
                <c:pt idx="101">
                  <c:v>102</c:v>
                </c:pt>
                <c:pt idx="102">
                  <c:v>103</c:v>
                </c:pt>
                <c:pt idx="103">
                  <c:v>104</c:v>
                </c:pt>
                <c:pt idx="104">
                  <c:v>105</c:v>
                </c:pt>
                <c:pt idx="105">
                  <c:v>106</c:v>
                </c:pt>
                <c:pt idx="106">
                  <c:v>107</c:v>
                </c:pt>
                <c:pt idx="107">
                  <c:v>108</c:v>
                </c:pt>
                <c:pt idx="108">
                  <c:v>109</c:v>
                </c:pt>
                <c:pt idx="109">
                  <c:v>110</c:v>
                </c:pt>
                <c:pt idx="110">
                  <c:v>111</c:v>
                </c:pt>
                <c:pt idx="111">
                  <c:v>112</c:v>
                </c:pt>
                <c:pt idx="112">
                  <c:v>113</c:v>
                </c:pt>
                <c:pt idx="113">
                  <c:v>114</c:v>
                </c:pt>
                <c:pt idx="114">
                  <c:v>115</c:v>
                </c:pt>
                <c:pt idx="115">
                  <c:v>116</c:v>
                </c:pt>
                <c:pt idx="116">
                  <c:v>117</c:v>
                </c:pt>
                <c:pt idx="117">
                  <c:v>118</c:v>
                </c:pt>
                <c:pt idx="118">
                  <c:v>119</c:v>
                </c:pt>
                <c:pt idx="119">
                  <c:v>120</c:v>
                </c:pt>
                <c:pt idx="120">
                  <c:v>121</c:v>
                </c:pt>
                <c:pt idx="121">
                  <c:v>122</c:v>
                </c:pt>
                <c:pt idx="122">
                  <c:v>123</c:v>
                </c:pt>
                <c:pt idx="123">
                  <c:v>124</c:v>
                </c:pt>
                <c:pt idx="124">
                  <c:v>125</c:v>
                </c:pt>
                <c:pt idx="125">
                  <c:v>126</c:v>
                </c:pt>
                <c:pt idx="126">
                  <c:v>127</c:v>
                </c:pt>
                <c:pt idx="127">
                  <c:v>128</c:v>
                </c:pt>
                <c:pt idx="128">
                  <c:v>129</c:v>
                </c:pt>
                <c:pt idx="129">
                  <c:v>130</c:v>
                </c:pt>
                <c:pt idx="130">
                  <c:v>131</c:v>
                </c:pt>
                <c:pt idx="131">
                  <c:v>132</c:v>
                </c:pt>
                <c:pt idx="132">
                  <c:v>133</c:v>
                </c:pt>
                <c:pt idx="133">
                  <c:v>134</c:v>
                </c:pt>
                <c:pt idx="134">
                  <c:v>135</c:v>
                </c:pt>
                <c:pt idx="135">
                  <c:v>136</c:v>
                </c:pt>
                <c:pt idx="136">
                  <c:v>137</c:v>
                </c:pt>
                <c:pt idx="137">
                  <c:v>138</c:v>
                </c:pt>
                <c:pt idx="138">
                  <c:v>139</c:v>
                </c:pt>
                <c:pt idx="139">
                  <c:v>140</c:v>
                </c:pt>
                <c:pt idx="140">
                  <c:v>141</c:v>
                </c:pt>
                <c:pt idx="141">
                  <c:v>142</c:v>
                </c:pt>
                <c:pt idx="142">
                  <c:v>143</c:v>
                </c:pt>
                <c:pt idx="143">
                  <c:v>144</c:v>
                </c:pt>
                <c:pt idx="144">
                  <c:v>145</c:v>
                </c:pt>
                <c:pt idx="145">
                  <c:v>146</c:v>
                </c:pt>
                <c:pt idx="146">
                  <c:v>147</c:v>
                </c:pt>
                <c:pt idx="147">
                  <c:v>148</c:v>
                </c:pt>
                <c:pt idx="148">
                  <c:v>149</c:v>
                </c:pt>
                <c:pt idx="149">
                  <c:v>150</c:v>
                </c:pt>
                <c:pt idx="150">
                  <c:v>151</c:v>
                </c:pt>
                <c:pt idx="151">
                  <c:v>152</c:v>
                </c:pt>
                <c:pt idx="152">
                  <c:v>153</c:v>
                </c:pt>
                <c:pt idx="153">
                  <c:v>154</c:v>
                </c:pt>
                <c:pt idx="154">
                  <c:v>155</c:v>
                </c:pt>
                <c:pt idx="155">
                  <c:v>156</c:v>
                </c:pt>
                <c:pt idx="156">
                  <c:v>157</c:v>
                </c:pt>
                <c:pt idx="157">
                  <c:v>158</c:v>
                </c:pt>
                <c:pt idx="158">
                  <c:v>159</c:v>
                </c:pt>
                <c:pt idx="159">
                  <c:v>160</c:v>
                </c:pt>
                <c:pt idx="160">
                  <c:v>161</c:v>
                </c:pt>
                <c:pt idx="161">
                  <c:v>162</c:v>
                </c:pt>
                <c:pt idx="162">
                  <c:v>163</c:v>
                </c:pt>
                <c:pt idx="163">
                  <c:v>164</c:v>
                </c:pt>
                <c:pt idx="164">
                  <c:v>165</c:v>
                </c:pt>
                <c:pt idx="165">
                  <c:v>166</c:v>
                </c:pt>
                <c:pt idx="166">
                  <c:v>167</c:v>
                </c:pt>
                <c:pt idx="167">
                  <c:v>168</c:v>
                </c:pt>
                <c:pt idx="168">
                  <c:v>169</c:v>
                </c:pt>
                <c:pt idx="169">
                  <c:v>170</c:v>
                </c:pt>
                <c:pt idx="170">
                  <c:v>171</c:v>
                </c:pt>
                <c:pt idx="171">
                  <c:v>172</c:v>
                </c:pt>
                <c:pt idx="172">
                  <c:v>173</c:v>
                </c:pt>
                <c:pt idx="173">
                  <c:v>174</c:v>
                </c:pt>
                <c:pt idx="174">
                  <c:v>175</c:v>
                </c:pt>
                <c:pt idx="175">
                  <c:v>176</c:v>
                </c:pt>
                <c:pt idx="176">
                  <c:v>177</c:v>
                </c:pt>
                <c:pt idx="177">
                  <c:v>178</c:v>
                </c:pt>
                <c:pt idx="178">
                  <c:v>179</c:v>
                </c:pt>
                <c:pt idx="179">
                  <c:v>180</c:v>
                </c:pt>
                <c:pt idx="180">
                  <c:v>181</c:v>
                </c:pt>
                <c:pt idx="181">
                  <c:v>182</c:v>
                </c:pt>
                <c:pt idx="182">
                  <c:v>183</c:v>
                </c:pt>
                <c:pt idx="183">
                  <c:v>184</c:v>
                </c:pt>
                <c:pt idx="184">
                  <c:v>185</c:v>
                </c:pt>
                <c:pt idx="185">
                  <c:v>186</c:v>
                </c:pt>
                <c:pt idx="186">
                  <c:v>187</c:v>
                </c:pt>
                <c:pt idx="187">
                  <c:v>188</c:v>
                </c:pt>
                <c:pt idx="188">
                  <c:v>189</c:v>
                </c:pt>
                <c:pt idx="189">
                  <c:v>190</c:v>
                </c:pt>
                <c:pt idx="190">
                  <c:v>191</c:v>
                </c:pt>
                <c:pt idx="191">
                  <c:v>192</c:v>
                </c:pt>
                <c:pt idx="192">
                  <c:v>193</c:v>
                </c:pt>
                <c:pt idx="193">
                  <c:v>194</c:v>
                </c:pt>
                <c:pt idx="194">
                  <c:v>195</c:v>
                </c:pt>
                <c:pt idx="195">
                  <c:v>196</c:v>
                </c:pt>
                <c:pt idx="196">
                  <c:v>197</c:v>
                </c:pt>
                <c:pt idx="197">
                  <c:v>198</c:v>
                </c:pt>
                <c:pt idx="198">
                  <c:v>199</c:v>
                </c:pt>
                <c:pt idx="199">
                  <c:v>200</c:v>
                </c:pt>
                <c:pt idx="200">
                  <c:v>201</c:v>
                </c:pt>
                <c:pt idx="201">
                  <c:v>202</c:v>
                </c:pt>
                <c:pt idx="202">
                  <c:v>203</c:v>
                </c:pt>
                <c:pt idx="203">
                  <c:v>204</c:v>
                </c:pt>
                <c:pt idx="204">
                  <c:v>205</c:v>
                </c:pt>
                <c:pt idx="205">
                  <c:v>206</c:v>
                </c:pt>
                <c:pt idx="206">
                  <c:v>207</c:v>
                </c:pt>
                <c:pt idx="207">
                  <c:v>208</c:v>
                </c:pt>
                <c:pt idx="208">
                  <c:v>209</c:v>
                </c:pt>
                <c:pt idx="209">
                  <c:v>210</c:v>
                </c:pt>
                <c:pt idx="210">
                  <c:v>211</c:v>
                </c:pt>
                <c:pt idx="211">
                  <c:v>212</c:v>
                </c:pt>
                <c:pt idx="212">
                  <c:v>213</c:v>
                </c:pt>
                <c:pt idx="213">
                  <c:v>214</c:v>
                </c:pt>
                <c:pt idx="214">
                  <c:v>215</c:v>
                </c:pt>
                <c:pt idx="215">
                  <c:v>216</c:v>
                </c:pt>
                <c:pt idx="216">
                  <c:v>217</c:v>
                </c:pt>
                <c:pt idx="217">
                  <c:v>218</c:v>
                </c:pt>
                <c:pt idx="218">
                  <c:v>219</c:v>
                </c:pt>
                <c:pt idx="219">
                  <c:v>220</c:v>
                </c:pt>
                <c:pt idx="220">
                  <c:v>221</c:v>
                </c:pt>
                <c:pt idx="221">
                  <c:v>222</c:v>
                </c:pt>
                <c:pt idx="222">
                  <c:v>223</c:v>
                </c:pt>
                <c:pt idx="223">
                  <c:v>224</c:v>
                </c:pt>
                <c:pt idx="224">
                  <c:v>225</c:v>
                </c:pt>
                <c:pt idx="225">
                  <c:v>226</c:v>
                </c:pt>
                <c:pt idx="226">
                  <c:v>227</c:v>
                </c:pt>
                <c:pt idx="227">
                  <c:v>228</c:v>
                </c:pt>
                <c:pt idx="228">
                  <c:v>229</c:v>
                </c:pt>
                <c:pt idx="229">
                  <c:v>230</c:v>
                </c:pt>
                <c:pt idx="230">
                  <c:v>231</c:v>
                </c:pt>
                <c:pt idx="231">
                  <c:v>232</c:v>
                </c:pt>
                <c:pt idx="232">
                  <c:v>233</c:v>
                </c:pt>
                <c:pt idx="233">
                  <c:v>234</c:v>
                </c:pt>
                <c:pt idx="234">
                  <c:v>235</c:v>
                </c:pt>
                <c:pt idx="235">
                  <c:v>236</c:v>
                </c:pt>
                <c:pt idx="236">
                  <c:v>237</c:v>
                </c:pt>
                <c:pt idx="237">
                  <c:v>238</c:v>
                </c:pt>
                <c:pt idx="238">
                  <c:v>239</c:v>
                </c:pt>
                <c:pt idx="239">
                  <c:v>240</c:v>
                </c:pt>
                <c:pt idx="240">
                  <c:v>241</c:v>
                </c:pt>
                <c:pt idx="241">
                  <c:v>242</c:v>
                </c:pt>
                <c:pt idx="242">
                  <c:v>243</c:v>
                </c:pt>
                <c:pt idx="243">
                  <c:v>244</c:v>
                </c:pt>
                <c:pt idx="244">
                  <c:v>245</c:v>
                </c:pt>
                <c:pt idx="245">
                  <c:v>246</c:v>
                </c:pt>
                <c:pt idx="246">
                  <c:v>247</c:v>
                </c:pt>
                <c:pt idx="247">
                  <c:v>248</c:v>
                </c:pt>
                <c:pt idx="248">
                  <c:v>249</c:v>
                </c:pt>
                <c:pt idx="249">
                  <c:v>250</c:v>
                </c:pt>
                <c:pt idx="250">
                  <c:v>251</c:v>
                </c:pt>
                <c:pt idx="251">
                  <c:v>252</c:v>
                </c:pt>
                <c:pt idx="252">
                  <c:v>253</c:v>
                </c:pt>
                <c:pt idx="253">
                  <c:v>254</c:v>
                </c:pt>
                <c:pt idx="254">
                  <c:v>255</c:v>
                </c:pt>
                <c:pt idx="255">
                  <c:v>256</c:v>
                </c:pt>
                <c:pt idx="256">
                  <c:v>257</c:v>
                </c:pt>
                <c:pt idx="257">
                  <c:v>258</c:v>
                </c:pt>
                <c:pt idx="258">
                  <c:v>259</c:v>
                </c:pt>
                <c:pt idx="259">
                  <c:v>260</c:v>
                </c:pt>
                <c:pt idx="260">
                  <c:v>261</c:v>
                </c:pt>
                <c:pt idx="261">
                  <c:v>262</c:v>
                </c:pt>
                <c:pt idx="262">
                  <c:v>263</c:v>
                </c:pt>
                <c:pt idx="263">
                  <c:v>264</c:v>
                </c:pt>
                <c:pt idx="264">
                  <c:v>265</c:v>
                </c:pt>
                <c:pt idx="265">
                  <c:v>266</c:v>
                </c:pt>
                <c:pt idx="266">
                  <c:v>267</c:v>
                </c:pt>
                <c:pt idx="267">
                  <c:v>268</c:v>
                </c:pt>
                <c:pt idx="268">
                  <c:v>269</c:v>
                </c:pt>
                <c:pt idx="269">
                  <c:v>270</c:v>
                </c:pt>
                <c:pt idx="270">
                  <c:v>271</c:v>
                </c:pt>
                <c:pt idx="271">
                  <c:v>272</c:v>
                </c:pt>
                <c:pt idx="272">
                  <c:v>273</c:v>
                </c:pt>
                <c:pt idx="273">
                  <c:v>274</c:v>
                </c:pt>
                <c:pt idx="274">
                  <c:v>275</c:v>
                </c:pt>
                <c:pt idx="275">
                  <c:v>276</c:v>
                </c:pt>
                <c:pt idx="276">
                  <c:v>277</c:v>
                </c:pt>
                <c:pt idx="277">
                  <c:v>278</c:v>
                </c:pt>
                <c:pt idx="278">
                  <c:v>279</c:v>
                </c:pt>
                <c:pt idx="279">
                  <c:v>280</c:v>
                </c:pt>
                <c:pt idx="280">
                  <c:v>281</c:v>
                </c:pt>
                <c:pt idx="281">
                  <c:v>282</c:v>
                </c:pt>
                <c:pt idx="282">
                  <c:v>283</c:v>
                </c:pt>
                <c:pt idx="283">
                  <c:v>284</c:v>
                </c:pt>
                <c:pt idx="284">
                  <c:v>285</c:v>
                </c:pt>
                <c:pt idx="285">
                  <c:v>286</c:v>
                </c:pt>
                <c:pt idx="286">
                  <c:v>287</c:v>
                </c:pt>
                <c:pt idx="287">
                  <c:v>288</c:v>
                </c:pt>
                <c:pt idx="288">
                  <c:v>289</c:v>
                </c:pt>
                <c:pt idx="289">
                  <c:v>290</c:v>
                </c:pt>
                <c:pt idx="290">
                  <c:v>291</c:v>
                </c:pt>
                <c:pt idx="291">
                  <c:v>292</c:v>
                </c:pt>
                <c:pt idx="292">
                  <c:v>293</c:v>
                </c:pt>
                <c:pt idx="293">
                  <c:v>294</c:v>
                </c:pt>
                <c:pt idx="294">
                  <c:v>295</c:v>
                </c:pt>
                <c:pt idx="295">
                  <c:v>296</c:v>
                </c:pt>
                <c:pt idx="296">
                  <c:v>297</c:v>
                </c:pt>
                <c:pt idx="297">
                  <c:v>298</c:v>
                </c:pt>
                <c:pt idx="298">
                  <c:v>299</c:v>
                </c:pt>
                <c:pt idx="299">
                  <c:v>300</c:v>
                </c:pt>
                <c:pt idx="300">
                  <c:v>301</c:v>
                </c:pt>
                <c:pt idx="301">
                  <c:v>302</c:v>
                </c:pt>
                <c:pt idx="302">
                  <c:v>303</c:v>
                </c:pt>
                <c:pt idx="303">
                  <c:v>304</c:v>
                </c:pt>
                <c:pt idx="304">
                  <c:v>305</c:v>
                </c:pt>
                <c:pt idx="305">
                  <c:v>306</c:v>
                </c:pt>
                <c:pt idx="306">
                  <c:v>307</c:v>
                </c:pt>
                <c:pt idx="307">
                  <c:v>308</c:v>
                </c:pt>
                <c:pt idx="308">
                  <c:v>309</c:v>
                </c:pt>
                <c:pt idx="309">
                  <c:v>310</c:v>
                </c:pt>
                <c:pt idx="310">
                  <c:v>311</c:v>
                </c:pt>
                <c:pt idx="311">
                  <c:v>312</c:v>
                </c:pt>
                <c:pt idx="312">
                  <c:v>313</c:v>
                </c:pt>
                <c:pt idx="313">
                  <c:v>314</c:v>
                </c:pt>
                <c:pt idx="314">
                  <c:v>315</c:v>
                </c:pt>
                <c:pt idx="315">
                  <c:v>316</c:v>
                </c:pt>
                <c:pt idx="316">
                  <c:v>317</c:v>
                </c:pt>
                <c:pt idx="317">
                  <c:v>318</c:v>
                </c:pt>
                <c:pt idx="318">
                  <c:v>319</c:v>
                </c:pt>
                <c:pt idx="319">
                  <c:v>320</c:v>
                </c:pt>
                <c:pt idx="320">
                  <c:v>321</c:v>
                </c:pt>
                <c:pt idx="321">
                  <c:v>322</c:v>
                </c:pt>
                <c:pt idx="322">
                  <c:v>323</c:v>
                </c:pt>
                <c:pt idx="323">
                  <c:v>324</c:v>
                </c:pt>
                <c:pt idx="324">
                  <c:v>325</c:v>
                </c:pt>
                <c:pt idx="325">
                  <c:v>326</c:v>
                </c:pt>
                <c:pt idx="326">
                  <c:v>327</c:v>
                </c:pt>
                <c:pt idx="327">
                  <c:v>328</c:v>
                </c:pt>
                <c:pt idx="328">
                  <c:v>329</c:v>
                </c:pt>
                <c:pt idx="329">
                  <c:v>330</c:v>
                </c:pt>
                <c:pt idx="330">
                  <c:v>331</c:v>
                </c:pt>
                <c:pt idx="331">
                  <c:v>332</c:v>
                </c:pt>
                <c:pt idx="332">
                  <c:v>333</c:v>
                </c:pt>
                <c:pt idx="333">
                  <c:v>334</c:v>
                </c:pt>
                <c:pt idx="334">
                  <c:v>335</c:v>
                </c:pt>
                <c:pt idx="335">
                  <c:v>336</c:v>
                </c:pt>
                <c:pt idx="336">
                  <c:v>337</c:v>
                </c:pt>
                <c:pt idx="337">
                  <c:v>338</c:v>
                </c:pt>
                <c:pt idx="338">
                  <c:v>339</c:v>
                </c:pt>
                <c:pt idx="339">
                  <c:v>340</c:v>
                </c:pt>
                <c:pt idx="340">
                  <c:v>341</c:v>
                </c:pt>
                <c:pt idx="341">
                  <c:v>342</c:v>
                </c:pt>
                <c:pt idx="342">
                  <c:v>343</c:v>
                </c:pt>
                <c:pt idx="343">
                  <c:v>344</c:v>
                </c:pt>
                <c:pt idx="344">
                  <c:v>345</c:v>
                </c:pt>
                <c:pt idx="345">
                  <c:v>346</c:v>
                </c:pt>
                <c:pt idx="346">
                  <c:v>347</c:v>
                </c:pt>
                <c:pt idx="347">
                  <c:v>348</c:v>
                </c:pt>
                <c:pt idx="348">
                  <c:v>349</c:v>
                </c:pt>
                <c:pt idx="349">
                  <c:v>350</c:v>
                </c:pt>
                <c:pt idx="350">
                  <c:v>351</c:v>
                </c:pt>
                <c:pt idx="351">
                  <c:v>352</c:v>
                </c:pt>
                <c:pt idx="352">
                  <c:v>353</c:v>
                </c:pt>
                <c:pt idx="353">
                  <c:v>354</c:v>
                </c:pt>
                <c:pt idx="354">
                  <c:v>355</c:v>
                </c:pt>
                <c:pt idx="355">
                  <c:v>356</c:v>
                </c:pt>
                <c:pt idx="356">
                  <c:v>357</c:v>
                </c:pt>
                <c:pt idx="357">
                  <c:v>358</c:v>
                </c:pt>
                <c:pt idx="358">
                  <c:v>359</c:v>
                </c:pt>
                <c:pt idx="359">
                  <c:v>360</c:v>
                </c:pt>
                <c:pt idx="360">
                  <c:v>361</c:v>
                </c:pt>
                <c:pt idx="361">
                  <c:v>362</c:v>
                </c:pt>
                <c:pt idx="362">
                  <c:v>363</c:v>
                </c:pt>
                <c:pt idx="363">
                  <c:v>364</c:v>
                </c:pt>
                <c:pt idx="364">
                  <c:v>365</c:v>
                </c:pt>
                <c:pt idx="365">
                  <c:v>366</c:v>
                </c:pt>
                <c:pt idx="366">
                  <c:v>367</c:v>
                </c:pt>
                <c:pt idx="367">
                  <c:v>368</c:v>
                </c:pt>
                <c:pt idx="368">
                  <c:v>369</c:v>
                </c:pt>
                <c:pt idx="369">
                  <c:v>370</c:v>
                </c:pt>
                <c:pt idx="370">
                  <c:v>371</c:v>
                </c:pt>
                <c:pt idx="371">
                  <c:v>372</c:v>
                </c:pt>
                <c:pt idx="372">
                  <c:v>373</c:v>
                </c:pt>
                <c:pt idx="373">
                  <c:v>374</c:v>
                </c:pt>
                <c:pt idx="374">
                  <c:v>375</c:v>
                </c:pt>
                <c:pt idx="375">
                  <c:v>376</c:v>
                </c:pt>
                <c:pt idx="376">
                  <c:v>377</c:v>
                </c:pt>
                <c:pt idx="377">
                  <c:v>378</c:v>
                </c:pt>
                <c:pt idx="378">
                  <c:v>379</c:v>
                </c:pt>
                <c:pt idx="379">
                  <c:v>380</c:v>
                </c:pt>
                <c:pt idx="380">
                  <c:v>381</c:v>
                </c:pt>
                <c:pt idx="381">
                  <c:v>382</c:v>
                </c:pt>
                <c:pt idx="382">
                  <c:v>383</c:v>
                </c:pt>
                <c:pt idx="383">
                  <c:v>384</c:v>
                </c:pt>
                <c:pt idx="384">
                  <c:v>385</c:v>
                </c:pt>
                <c:pt idx="385">
                  <c:v>386</c:v>
                </c:pt>
                <c:pt idx="386">
                  <c:v>387</c:v>
                </c:pt>
                <c:pt idx="387">
                  <c:v>388</c:v>
                </c:pt>
                <c:pt idx="388">
                  <c:v>389</c:v>
                </c:pt>
                <c:pt idx="389">
                  <c:v>390</c:v>
                </c:pt>
                <c:pt idx="390">
                  <c:v>391</c:v>
                </c:pt>
                <c:pt idx="391">
                  <c:v>392</c:v>
                </c:pt>
                <c:pt idx="392">
                  <c:v>393</c:v>
                </c:pt>
                <c:pt idx="393">
                  <c:v>394</c:v>
                </c:pt>
                <c:pt idx="394">
                  <c:v>395</c:v>
                </c:pt>
                <c:pt idx="395">
                  <c:v>396</c:v>
                </c:pt>
                <c:pt idx="396">
                  <c:v>397</c:v>
                </c:pt>
                <c:pt idx="397">
                  <c:v>398</c:v>
                </c:pt>
                <c:pt idx="398">
                  <c:v>399</c:v>
                </c:pt>
                <c:pt idx="399">
                  <c:v>400</c:v>
                </c:pt>
                <c:pt idx="400">
                  <c:v>401</c:v>
                </c:pt>
                <c:pt idx="401">
                  <c:v>402</c:v>
                </c:pt>
                <c:pt idx="402">
                  <c:v>403</c:v>
                </c:pt>
                <c:pt idx="403">
                  <c:v>404</c:v>
                </c:pt>
                <c:pt idx="404">
                  <c:v>405</c:v>
                </c:pt>
                <c:pt idx="405">
                  <c:v>406</c:v>
                </c:pt>
                <c:pt idx="406">
                  <c:v>407</c:v>
                </c:pt>
                <c:pt idx="407">
                  <c:v>408</c:v>
                </c:pt>
                <c:pt idx="408">
                  <c:v>409</c:v>
                </c:pt>
                <c:pt idx="409">
                  <c:v>410</c:v>
                </c:pt>
                <c:pt idx="410">
                  <c:v>411</c:v>
                </c:pt>
                <c:pt idx="411">
                  <c:v>412</c:v>
                </c:pt>
                <c:pt idx="412">
                  <c:v>413</c:v>
                </c:pt>
                <c:pt idx="413">
                  <c:v>414</c:v>
                </c:pt>
                <c:pt idx="414">
                  <c:v>415</c:v>
                </c:pt>
                <c:pt idx="415">
                  <c:v>416</c:v>
                </c:pt>
                <c:pt idx="416">
                  <c:v>417</c:v>
                </c:pt>
                <c:pt idx="417">
                  <c:v>418</c:v>
                </c:pt>
                <c:pt idx="418">
                  <c:v>419</c:v>
                </c:pt>
                <c:pt idx="419">
                  <c:v>420</c:v>
                </c:pt>
                <c:pt idx="420">
                  <c:v>421</c:v>
                </c:pt>
                <c:pt idx="421">
                  <c:v>422</c:v>
                </c:pt>
                <c:pt idx="422">
                  <c:v>423</c:v>
                </c:pt>
                <c:pt idx="423">
                  <c:v>424</c:v>
                </c:pt>
                <c:pt idx="424">
                  <c:v>425</c:v>
                </c:pt>
                <c:pt idx="425">
                  <c:v>426</c:v>
                </c:pt>
                <c:pt idx="426">
                  <c:v>427</c:v>
                </c:pt>
                <c:pt idx="427">
                  <c:v>428</c:v>
                </c:pt>
                <c:pt idx="428">
                  <c:v>429</c:v>
                </c:pt>
                <c:pt idx="429">
                  <c:v>430</c:v>
                </c:pt>
                <c:pt idx="430">
                  <c:v>431</c:v>
                </c:pt>
                <c:pt idx="431">
                  <c:v>432</c:v>
                </c:pt>
                <c:pt idx="432">
                  <c:v>433</c:v>
                </c:pt>
                <c:pt idx="433">
                  <c:v>434</c:v>
                </c:pt>
                <c:pt idx="434">
                  <c:v>435</c:v>
                </c:pt>
                <c:pt idx="435">
                  <c:v>436</c:v>
                </c:pt>
                <c:pt idx="436">
                  <c:v>437</c:v>
                </c:pt>
                <c:pt idx="437">
                  <c:v>438</c:v>
                </c:pt>
                <c:pt idx="438">
                  <c:v>439</c:v>
                </c:pt>
                <c:pt idx="439">
                  <c:v>440</c:v>
                </c:pt>
                <c:pt idx="440">
                  <c:v>441</c:v>
                </c:pt>
                <c:pt idx="441">
                  <c:v>442</c:v>
                </c:pt>
                <c:pt idx="442">
                  <c:v>443</c:v>
                </c:pt>
                <c:pt idx="443">
                  <c:v>444</c:v>
                </c:pt>
                <c:pt idx="444">
                  <c:v>445</c:v>
                </c:pt>
                <c:pt idx="445">
                  <c:v>446</c:v>
                </c:pt>
                <c:pt idx="446">
                  <c:v>447</c:v>
                </c:pt>
                <c:pt idx="447">
                  <c:v>448</c:v>
                </c:pt>
                <c:pt idx="448">
                  <c:v>449</c:v>
                </c:pt>
                <c:pt idx="449">
                  <c:v>450</c:v>
                </c:pt>
                <c:pt idx="450">
                  <c:v>451</c:v>
                </c:pt>
                <c:pt idx="451">
                  <c:v>452</c:v>
                </c:pt>
                <c:pt idx="452">
                  <c:v>453</c:v>
                </c:pt>
                <c:pt idx="453">
                  <c:v>454</c:v>
                </c:pt>
                <c:pt idx="454">
                  <c:v>455</c:v>
                </c:pt>
                <c:pt idx="455">
                  <c:v>456</c:v>
                </c:pt>
                <c:pt idx="456">
                  <c:v>457</c:v>
                </c:pt>
                <c:pt idx="457">
                  <c:v>458</c:v>
                </c:pt>
                <c:pt idx="458">
                  <c:v>459</c:v>
                </c:pt>
                <c:pt idx="459">
                  <c:v>460</c:v>
                </c:pt>
                <c:pt idx="460">
                  <c:v>461</c:v>
                </c:pt>
                <c:pt idx="461">
                  <c:v>462</c:v>
                </c:pt>
                <c:pt idx="462">
                  <c:v>463</c:v>
                </c:pt>
                <c:pt idx="463">
                  <c:v>464</c:v>
                </c:pt>
                <c:pt idx="464">
                  <c:v>465</c:v>
                </c:pt>
                <c:pt idx="465">
                  <c:v>466</c:v>
                </c:pt>
                <c:pt idx="466">
                  <c:v>467</c:v>
                </c:pt>
                <c:pt idx="467">
                  <c:v>468</c:v>
                </c:pt>
                <c:pt idx="468">
                  <c:v>469</c:v>
                </c:pt>
                <c:pt idx="469">
                  <c:v>470</c:v>
                </c:pt>
                <c:pt idx="470">
                  <c:v>471</c:v>
                </c:pt>
                <c:pt idx="471">
                  <c:v>472</c:v>
                </c:pt>
                <c:pt idx="472">
                  <c:v>473</c:v>
                </c:pt>
                <c:pt idx="473">
                  <c:v>474</c:v>
                </c:pt>
                <c:pt idx="474">
                  <c:v>475</c:v>
                </c:pt>
                <c:pt idx="475">
                  <c:v>476</c:v>
                </c:pt>
                <c:pt idx="476">
                  <c:v>477</c:v>
                </c:pt>
                <c:pt idx="477">
                  <c:v>478</c:v>
                </c:pt>
                <c:pt idx="478">
                  <c:v>479</c:v>
                </c:pt>
                <c:pt idx="479">
                  <c:v>480</c:v>
                </c:pt>
              </c:numCache>
            </c:numRef>
          </c:xVal>
          <c:yVal>
            <c:numRef>
              <c:f>'Statins Data'!$B$2:$B$481</c:f>
              <c:numCache>
                <c:formatCode>General</c:formatCode>
                <c:ptCount val="480"/>
                <c:pt idx="0">
                  <c:v>1</c:v>
                </c:pt>
                <c:pt idx="1">
                  <c:v>2</c:v>
                </c:pt>
                <c:pt idx="2">
                  <c:v>3</c:v>
                </c:pt>
                <c:pt idx="3">
                  <c:v>4.5</c:v>
                </c:pt>
                <c:pt idx="4">
                  <c:v>4.5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33.5</c:v>
                </c:pt>
                <c:pt idx="33">
                  <c:v>33.5</c:v>
                </c:pt>
                <c:pt idx="34">
                  <c:v>35</c:v>
                </c:pt>
                <c:pt idx="35">
                  <c:v>36</c:v>
                </c:pt>
                <c:pt idx="36">
                  <c:v>37</c:v>
                </c:pt>
                <c:pt idx="37">
                  <c:v>38</c:v>
                </c:pt>
                <c:pt idx="38">
                  <c:v>39</c:v>
                </c:pt>
                <c:pt idx="39">
                  <c:v>40</c:v>
                </c:pt>
                <c:pt idx="40">
                  <c:v>41</c:v>
                </c:pt>
                <c:pt idx="41">
                  <c:v>42</c:v>
                </c:pt>
                <c:pt idx="42">
                  <c:v>43.5</c:v>
                </c:pt>
                <c:pt idx="43">
                  <c:v>43.5</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59.5</c:v>
                </c:pt>
                <c:pt idx="59">
                  <c:v>59.5</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74.5</c:v>
                </c:pt>
                <c:pt idx="74">
                  <c:v>74.5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97.5</c:v>
                </c:pt>
                <c:pt idx="97">
                  <c:v>97.5</c:v>
                </c:pt>
                <c:pt idx="98">
                  <c:v>99</c:v>
                </c:pt>
                <c:pt idx="99">
                  <c:v>100</c:v>
                </c:pt>
                <c:pt idx="100">
                  <c:v>101</c:v>
                </c:pt>
                <c:pt idx="101">
                  <c:v>102</c:v>
                </c:pt>
                <c:pt idx="102">
                  <c:v>103</c:v>
                </c:pt>
                <c:pt idx="103">
                  <c:v>104</c:v>
                </c:pt>
                <c:pt idx="104">
                  <c:v>105</c:v>
                </c:pt>
                <c:pt idx="105">
                  <c:v>106</c:v>
                </c:pt>
                <c:pt idx="106">
                  <c:v>107</c:v>
                </c:pt>
                <c:pt idx="107">
                  <c:v>108</c:v>
                </c:pt>
                <c:pt idx="108">
                  <c:v>109</c:v>
                </c:pt>
                <c:pt idx="109">
                  <c:v>110</c:v>
                </c:pt>
                <c:pt idx="110">
                  <c:v>111</c:v>
                </c:pt>
                <c:pt idx="111">
                  <c:v>112.5</c:v>
                </c:pt>
                <c:pt idx="112">
                  <c:v>112.5</c:v>
                </c:pt>
                <c:pt idx="113">
                  <c:v>114</c:v>
                </c:pt>
                <c:pt idx="114">
                  <c:v>115</c:v>
                </c:pt>
                <c:pt idx="115">
                  <c:v>116</c:v>
                </c:pt>
                <c:pt idx="116">
                  <c:v>117</c:v>
                </c:pt>
                <c:pt idx="117">
                  <c:v>118</c:v>
                </c:pt>
                <c:pt idx="118">
                  <c:v>120.5</c:v>
                </c:pt>
                <c:pt idx="119">
                  <c:v>120.5</c:v>
                </c:pt>
                <c:pt idx="120">
                  <c:v>120.5</c:v>
                </c:pt>
                <c:pt idx="121">
                  <c:v>120.5</c:v>
                </c:pt>
                <c:pt idx="122">
                  <c:v>123</c:v>
                </c:pt>
                <c:pt idx="123">
                  <c:v>124</c:v>
                </c:pt>
                <c:pt idx="124">
                  <c:v>125</c:v>
                </c:pt>
                <c:pt idx="125">
                  <c:v>126</c:v>
                </c:pt>
                <c:pt idx="126">
                  <c:v>127</c:v>
                </c:pt>
                <c:pt idx="127">
                  <c:v>128</c:v>
                </c:pt>
                <c:pt idx="128">
                  <c:v>129</c:v>
                </c:pt>
                <c:pt idx="129">
                  <c:v>130</c:v>
                </c:pt>
                <c:pt idx="130">
                  <c:v>131</c:v>
                </c:pt>
                <c:pt idx="131">
                  <c:v>132</c:v>
                </c:pt>
                <c:pt idx="132">
                  <c:v>133</c:v>
                </c:pt>
                <c:pt idx="133">
                  <c:v>134</c:v>
                </c:pt>
                <c:pt idx="134">
                  <c:v>135</c:v>
                </c:pt>
                <c:pt idx="135">
                  <c:v>136</c:v>
                </c:pt>
                <c:pt idx="136">
                  <c:v>137</c:v>
                </c:pt>
                <c:pt idx="137">
                  <c:v>138</c:v>
                </c:pt>
                <c:pt idx="138">
                  <c:v>139</c:v>
                </c:pt>
                <c:pt idx="139">
                  <c:v>140</c:v>
                </c:pt>
                <c:pt idx="140">
                  <c:v>141</c:v>
                </c:pt>
                <c:pt idx="141">
                  <c:v>142</c:v>
                </c:pt>
                <c:pt idx="142">
                  <c:v>143</c:v>
                </c:pt>
                <c:pt idx="143">
                  <c:v>144</c:v>
                </c:pt>
                <c:pt idx="144">
                  <c:v>145</c:v>
                </c:pt>
                <c:pt idx="145">
                  <c:v>146</c:v>
                </c:pt>
                <c:pt idx="146">
                  <c:v>147</c:v>
                </c:pt>
                <c:pt idx="147">
                  <c:v>148</c:v>
                </c:pt>
                <c:pt idx="148">
                  <c:v>149</c:v>
                </c:pt>
                <c:pt idx="149">
                  <c:v>150</c:v>
                </c:pt>
                <c:pt idx="150">
                  <c:v>151</c:v>
                </c:pt>
                <c:pt idx="151">
                  <c:v>152.5</c:v>
                </c:pt>
                <c:pt idx="152">
                  <c:v>152.5</c:v>
                </c:pt>
                <c:pt idx="153">
                  <c:v>154</c:v>
                </c:pt>
                <c:pt idx="154">
                  <c:v>155</c:v>
                </c:pt>
                <c:pt idx="155">
                  <c:v>156</c:v>
                </c:pt>
                <c:pt idx="156">
                  <c:v>157</c:v>
                </c:pt>
                <c:pt idx="157">
                  <c:v>158</c:v>
                </c:pt>
                <c:pt idx="158">
                  <c:v>159</c:v>
                </c:pt>
                <c:pt idx="159">
                  <c:v>160</c:v>
                </c:pt>
                <c:pt idx="160">
                  <c:v>161</c:v>
                </c:pt>
                <c:pt idx="161">
                  <c:v>162</c:v>
                </c:pt>
                <c:pt idx="162">
                  <c:v>163</c:v>
                </c:pt>
                <c:pt idx="163">
                  <c:v>164</c:v>
                </c:pt>
                <c:pt idx="164">
                  <c:v>165</c:v>
                </c:pt>
                <c:pt idx="165">
                  <c:v>166</c:v>
                </c:pt>
                <c:pt idx="166">
                  <c:v>167</c:v>
                </c:pt>
                <c:pt idx="167">
                  <c:v>168</c:v>
                </c:pt>
                <c:pt idx="168">
                  <c:v>169</c:v>
                </c:pt>
                <c:pt idx="169">
                  <c:v>170</c:v>
                </c:pt>
                <c:pt idx="170">
                  <c:v>171</c:v>
                </c:pt>
                <c:pt idx="171">
                  <c:v>172</c:v>
                </c:pt>
                <c:pt idx="172">
                  <c:v>173</c:v>
                </c:pt>
                <c:pt idx="173">
                  <c:v>174</c:v>
                </c:pt>
                <c:pt idx="174">
                  <c:v>175</c:v>
                </c:pt>
                <c:pt idx="175">
                  <c:v>176</c:v>
                </c:pt>
                <c:pt idx="176">
                  <c:v>177</c:v>
                </c:pt>
                <c:pt idx="177">
                  <c:v>178</c:v>
                </c:pt>
                <c:pt idx="178">
                  <c:v>179</c:v>
                </c:pt>
                <c:pt idx="179">
                  <c:v>180</c:v>
                </c:pt>
                <c:pt idx="180">
                  <c:v>181</c:v>
                </c:pt>
                <c:pt idx="181">
                  <c:v>182</c:v>
                </c:pt>
                <c:pt idx="182">
                  <c:v>183</c:v>
                </c:pt>
                <c:pt idx="183">
                  <c:v>184</c:v>
                </c:pt>
                <c:pt idx="184">
                  <c:v>186</c:v>
                </c:pt>
                <c:pt idx="185">
                  <c:v>186</c:v>
                </c:pt>
                <c:pt idx="186">
                  <c:v>186</c:v>
                </c:pt>
                <c:pt idx="187">
                  <c:v>188</c:v>
                </c:pt>
                <c:pt idx="188">
                  <c:v>189</c:v>
                </c:pt>
                <c:pt idx="189">
                  <c:v>190</c:v>
                </c:pt>
                <c:pt idx="190">
                  <c:v>191</c:v>
                </c:pt>
                <c:pt idx="191">
                  <c:v>192</c:v>
                </c:pt>
                <c:pt idx="192">
                  <c:v>193</c:v>
                </c:pt>
                <c:pt idx="193">
                  <c:v>194</c:v>
                </c:pt>
                <c:pt idx="194">
                  <c:v>195</c:v>
                </c:pt>
                <c:pt idx="195">
                  <c:v>196</c:v>
                </c:pt>
                <c:pt idx="196">
                  <c:v>197</c:v>
                </c:pt>
                <c:pt idx="197">
                  <c:v>198</c:v>
                </c:pt>
                <c:pt idx="198">
                  <c:v>199</c:v>
                </c:pt>
                <c:pt idx="199">
                  <c:v>200.5</c:v>
                </c:pt>
                <c:pt idx="200">
                  <c:v>200.5</c:v>
                </c:pt>
                <c:pt idx="201">
                  <c:v>202</c:v>
                </c:pt>
                <c:pt idx="202">
                  <c:v>203</c:v>
                </c:pt>
                <c:pt idx="203">
                  <c:v>204</c:v>
                </c:pt>
                <c:pt idx="204">
                  <c:v>205</c:v>
                </c:pt>
                <c:pt idx="205">
                  <c:v>206</c:v>
                </c:pt>
                <c:pt idx="206">
                  <c:v>207</c:v>
                </c:pt>
                <c:pt idx="207">
                  <c:v>208</c:v>
                </c:pt>
                <c:pt idx="208">
                  <c:v>209</c:v>
                </c:pt>
                <c:pt idx="209">
                  <c:v>210</c:v>
                </c:pt>
                <c:pt idx="210">
                  <c:v>211</c:v>
                </c:pt>
                <c:pt idx="211">
                  <c:v>212</c:v>
                </c:pt>
                <c:pt idx="212">
                  <c:v>213</c:v>
                </c:pt>
                <c:pt idx="213">
                  <c:v>214</c:v>
                </c:pt>
                <c:pt idx="214">
                  <c:v>215</c:v>
                </c:pt>
                <c:pt idx="215">
                  <c:v>216</c:v>
                </c:pt>
                <c:pt idx="216">
                  <c:v>217</c:v>
                </c:pt>
                <c:pt idx="217">
                  <c:v>218</c:v>
                </c:pt>
                <c:pt idx="218">
                  <c:v>219</c:v>
                </c:pt>
                <c:pt idx="219">
                  <c:v>220</c:v>
                </c:pt>
                <c:pt idx="220">
                  <c:v>221</c:v>
                </c:pt>
                <c:pt idx="221">
                  <c:v>222</c:v>
                </c:pt>
                <c:pt idx="222">
                  <c:v>223</c:v>
                </c:pt>
                <c:pt idx="223">
                  <c:v>224</c:v>
                </c:pt>
                <c:pt idx="224">
                  <c:v>225</c:v>
                </c:pt>
                <c:pt idx="225">
                  <c:v>226</c:v>
                </c:pt>
                <c:pt idx="226">
                  <c:v>227</c:v>
                </c:pt>
                <c:pt idx="227">
                  <c:v>228</c:v>
                </c:pt>
                <c:pt idx="228">
                  <c:v>229</c:v>
                </c:pt>
                <c:pt idx="229">
                  <c:v>230</c:v>
                </c:pt>
                <c:pt idx="230">
                  <c:v>231</c:v>
                </c:pt>
                <c:pt idx="231">
                  <c:v>232.5</c:v>
                </c:pt>
                <c:pt idx="232">
                  <c:v>232.5</c:v>
                </c:pt>
                <c:pt idx="233">
                  <c:v>234</c:v>
                </c:pt>
                <c:pt idx="234">
                  <c:v>235</c:v>
                </c:pt>
                <c:pt idx="235">
                  <c:v>236</c:v>
                </c:pt>
                <c:pt idx="236">
                  <c:v>237</c:v>
                </c:pt>
                <c:pt idx="237">
                  <c:v>238</c:v>
                </c:pt>
                <c:pt idx="238">
                  <c:v>239</c:v>
                </c:pt>
                <c:pt idx="239">
                  <c:v>240</c:v>
                </c:pt>
                <c:pt idx="240">
                  <c:v>241</c:v>
                </c:pt>
                <c:pt idx="241">
                  <c:v>242</c:v>
                </c:pt>
                <c:pt idx="242">
                  <c:v>243</c:v>
                </c:pt>
                <c:pt idx="243">
                  <c:v>244</c:v>
                </c:pt>
                <c:pt idx="244">
                  <c:v>245</c:v>
                </c:pt>
                <c:pt idx="245">
                  <c:v>246</c:v>
                </c:pt>
                <c:pt idx="246">
                  <c:v>248.5</c:v>
                </c:pt>
                <c:pt idx="247">
                  <c:v>248.5</c:v>
                </c:pt>
                <c:pt idx="248">
                  <c:v>248.5</c:v>
                </c:pt>
                <c:pt idx="249">
                  <c:v>248.5</c:v>
                </c:pt>
                <c:pt idx="250">
                  <c:v>251</c:v>
                </c:pt>
                <c:pt idx="251">
                  <c:v>252</c:v>
                </c:pt>
                <c:pt idx="252">
                  <c:v>253</c:v>
                </c:pt>
                <c:pt idx="253">
                  <c:v>254</c:v>
                </c:pt>
                <c:pt idx="254">
                  <c:v>255</c:v>
                </c:pt>
                <c:pt idx="255">
                  <c:v>256</c:v>
                </c:pt>
                <c:pt idx="256">
                  <c:v>257</c:v>
                </c:pt>
                <c:pt idx="257">
                  <c:v>258</c:v>
                </c:pt>
                <c:pt idx="258">
                  <c:v>259</c:v>
                </c:pt>
                <c:pt idx="259">
                  <c:v>260</c:v>
                </c:pt>
                <c:pt idx="260">
                  <c:v>261</c:v>
                </c:pt>
                <c:pt idx="261">
                  <c:v>262</c:v>
                </c:pt>
                <c:pt idx="262">
                  <c:v>263.5</c:v>
                </c:pt>
                <c:pt idx="263">
                  <c:v>263.5</c:v>
                </c:pt>
                <c:pt idx="264">
                  <c:v>265</c:v>
                </c:pt>
                <c:pt idx="265">
                  <c:v>266</c:v>
                </c:pt>
                <c:pt idx="266">
                  <c:v>267</c:v>
                </c:pt>
                <c:pt idx="267">
                  <c:v>268</c:v>
                </c:pt>
                <c:pt idx="268">
                  <c:v>269</c:v>
                </c:pt>
                <c:pt idx="269">
                  <c:v>270</c:v>
                </c:pt>
                <c:pt idx="270">
                  <c:v>271.5</c:v>
                </c:pt>
                <c:pt idx="271">
                  <c:v>271.5</c:v>
                </c:pt>
                <c:pt idx="272">
                  <c:v>273</c:v>
                </c:pt>
                <c:pt idx="273">
                  <c:v>274</c:v>
                </c:pt>
                <c:pt idx="274">
                  <c:v>275</c:v>
                </c:pt>
                <c:pt idx="275">
                  <c:v>276</c:v>
                </c:pt>
                <c:pt idx="276">
                  <c:v>277</c:v>
                </c:pt>
                <c:pt idx="277">
                  <c:v>278</c:v>
                </c:pt>
                <c:pt idx="278">
                  <c:v>279</c:v>
                </c:pt>
                <c:pt idx="279">
                  <c:v>280</c:v>
                </c:pt>
                <c:pt idx="280">
                  <c:v>281</c:v>
                </c:pt>
                <c:pt idx="281">
                  <c:v>282</c:v>
                </c:pt>
                <c:pt idx="282">
                  <c:v>283</c:v>
                </c:pt>
                <c:pt idx="283">
                  <c:v>284</c:v>
                </c:pt>
                <c:pt idx="284">
                  <c:v>285</c:v>
                </c:pt>
                <c:pt idx="285">
                  <c:v>286.5</c:v>
                </c:pt>
                <c:pt idx="286">
                  <c:v>286.5</c:v>
                </c:pt>
                <c:pt idx="287">
                  <c:v>288</c:v>
                </c:pt>
                <c:pt idx="288">
                  <c:v>289</c:v>
                </c:pt>
                <c:pt idx="289">
                  <c:v>290</c:v>
                </c:pt>
                <c:pt idx="290">
                  <c:v>291</c:v>
                </c:pt>
                <c:pt idx="291">
                  <c:v>292</c:v>
                </c:pt>
                <c:pt idx="292">
                  <c:v>293</c:v>
                </c:pt>
                <c:pt idx="293">
                  <c:v>294</c:v>
                </c:pt>
                <c:pt idx="294">
                  <c:v>295</c:v>
                </c:pt>
                <c:pt idx="295">
                  <c:v>296.5</c:v>
                </c:pt>
                <c:pt idx="296">
                  <c:v>296.5</c:v>
                </c:pt>
                <c:pt idx="297">
                  <c:v>298</c:v>
                </c:pt>
                <c:pt idx="298">
                  <c:v>299</c:v>
                </c:pt>
                <c:pt idx="299">
                  <c:v>300</c:v>
                </c:pt>
                <c:pt idx="300">
                  <c:v>301</c:v>
                </c:pt>
                <c:pt idx="301">
                  <c:v>302</c:v>
                </c:pt>
                <c:pt idx="302">
                  <c:v>303</c:v>
                </c:pt>
                <c:pt idx="303">
                  <c:v>304</c:v>
                </c:pt>
                <c:pt idx="304">
                  <c:v>305</c:v>
                </c:pt>
                <c:pt idx="305">
                  <c:v>306</c:v>
                </c:pt>
                <c:pt idx="306">
                  <c:v>307</c:v>
                </c:pt>
                <c:pt idx="307">
                  <c:v>308</c:v>
                </c:pt>
                <c:pt idx="308">
                  <c:v>309</c:v>
                </c:pt>
                <c:pt idx="309">
                  <c:v>310</c:v>
                </c:pt>
                <c:pt idx="310">
                  <c:v>311</c:v>
                </c:pt>
                <c:pt idx="311">
                  <c:v>312</c:v>
                </c:pt>
                <c:pt idx="312">
                  <c:v>313</c:v>
                </c:pt>
                <c:pt idx="313">
                  <c:v>314</c:v>
                </c:pt>
                <c:pt idx="314">
                  <c:v>315</c:v>
                </c:pt>
                <c:pt idx="315">
                  <c:v>316</c:v>
                </c:pt>
                <c:pt idx="316">
                  <c:v>317</c:v>
                </c:pt>
                <c:pt idx="317">
                  <c:v>318</c:v>
                </c:pt>
                <c:pt idx="318">
                  <c:v>319</c:v>
                </c:pt>
                <c:pt idx="319">
                  <c:v>320</c:v>
                </c:pt>
                <c:pt idx="320">
                  <c:v>321</c:v>
                </c:pt>
                <c:pt idx="321">
                  <c:v>322</c:v>
                </c:pt>
                <c:pt idx="322">
                  <c:v>323</c:v>
                </c:pt>
                <c:pt idx="323">
                  <c:v>324</c:v>
                </c:pt>
                <c:pt idx="324">
                  <c:v>325</c:v>
                </c:pt>
                <c:pt idx="325">
                  <c:v>326</c:v>
                </c:pt>
                <c:pt idx="326">
                  <c:v>327</c:v>
                </c:pt>
                <c:pt idx="327">
                  <c:v>328</c:v>
                </c:pt>
                <c:pt idx="328">
                  <c:v>329</c:v>
                </c:pt>
                <c:pt idx="329">
                  <c:v>330</c:v>
                </c:pt>
                <c:pt idx="330">
                  <c:v>331</c:v>
                </c:pt>
                <c:pt idx="331">
                  <c:v>332</c:v>
                </c:pt>
                <c:pt idx="332">
                  <c:v>333</c:v>
                </c:pt>
                <c:pt idx="333">
                  <c:v>334</c:v>
                </c:pt>
                <c:pt idx="334">
                  <c:v>335</c:v>
                </c:pt>
                <c:pt idx="335">
                  <c:v>336</c:v>
                </c:pt>
                <c:pt idx="336">
                  <c:v>337</c:v>
                </c:pt>
                <c:pt idx="337">
                  <c:v>338</c:v>
                </c:pt>
                <c:pt idx="338">
                  <c:v>339.5</c:v>
                </c:pt>
                <c:pt idx="339">
                  <c:v>339.5</c:v>
                </c:pt>
                <c:pt idx="340">
                  <c:v>341</c:v>
                </c:pt>
                <c:pt idx="341">
                  <c:v>342</c:v>
                </c:pt>
                <c:pt idx="342">
                  <c:v>343</c:v>
                </c:pt>
                <c:pt idx="343">
                  <c:v>344</c:v>
                </c:pt>
                <c:pt idx="344">
                  <c:v>345</c:v>
                </c:pt>
                <c:pt idx="345">
                  <c:v>346</c:v>
                </c:pt>
                <c:pt idx="346">
                  <c:v>347</c:v>
                </c:pt>
                <c:pt idx="347">
                  <c:v>348</c:v>
                </c:pt>
                <c:pt idx="348">
                  <c:v>349</c:v>
                </c:pt>
                <c:pt idx="349">
                  <c:v>350</c:v>
                </c:pt>
                <c:pt idx="350">
                  <c:v>351</c:v>
                </c:pt>
                <c:pt idx="351">
                  <c:v>352</c:v>
                </c:pt>
                <c:pt idx="352">
                  <c:v>353</c:v>
                </c:pt>
                <c:pt idx="353">
                  <c:v>354</c:v>
                </c:pt>
                <c:pt idx="354">
                  <c:v>355</c:v>
                </c:pt>
                <c:pt idx="355">
                  <c:v>356</c:v>
                </c:pt>
                <c:pt idx="356">
                  <c:v>357</c:v>
                </c:pt>
                <c:pt idx="357">
                  <c:v>358</c:v>
                </c:pt>
                <c:pt idx="358">
                  <c:v>359.5</c:v>
                </c:pt>
                <c:pt idx="359">
                  <c:v>359.5</c:v>
                </c:pt>
                <c:pt idx="360">
                  <c:v>361</c:v>
                </c:pt>
                <c:pt idx="361">
                  <c:v>362</c:v>
                </c:pt>
                <c:pt idx="362">
                  <c:v>363</c:v>
                </c:pt>
                <c:pt idx="363">
                  <c:v>364</c:v>
                </c:pt>
                <c:pt idx="364">
                  <c:v>365</c:v>
                </c:pt>
                <c:pt idx="365">
                  <c:v>366</c:v>
                </c:pt>
                <c:pt idx="366">
                  <c:v>367</c:v>
                </c:pt>
                <c:pt idx="367">
                  <c:v>368</c:v>
                </c:pt>
                <c:pt idx="368">
                  <c:v>369</c:v>
                </c:pt>
                <c:pt idx="369">
                  <c:v>370</c:v>
                </c:pt>
                <c:pt idx="370">
                  <c:v>371</c:v>
                </c:pt>
                <c:pt idx="371">
                  <c:v>372</c:v>
                </c:pt>
                <c:pt idx="372">
                  <c:v>373</c:v>
                </c:pt>
                <c:pt idx="373">
                  <c:v>374</c:v>
                </c:pt>
                <c:pt idx="374">
                  <c:v>375</c:v>
                </c:pt>
                <c:pt idx="375">
                  <c:v>376</c:v>
                </c:pt>
                <c:pt idx="376">
                  <c:v>377</c:v>
                </c:pt>
                <c:pt idx="377">
                  <c:v>378</c:v>
                </c:pt>
                <c:pt idx="378">
                  <c:v>379</c:v>
                </c:pt>
                <c:pt idx="379">
                  <c:v>380</c:v>
                </c:pt>
                <c:pt idx="380">
                  <c:v>381</c:v>
                </c:pt>
                <c:pt idx="381">
                  <c:v>382</c:v>
                </c:pt>
                <c:pt idx="382">
                  <c:v>383</c:v>
                </c:pt>
                <c:pt idx="383">
                  <c:v>384</c:v>
                </c:pt>
                <c:pt idx="384">
                  <c:v>385</c:v>
                </c:pt>
                <c:pt idx="385">
                  <c:v>386</c:v>
                </c:pt>
                <c:pt idx="386">
                  <c:v>387</c:v>
                </c:pt>
                <c:pt idx="387">
                  <c:v>388</c:v>
                </c:pt>
                <c:pt idx="388">
                  <c:v>389</c:v>
                </c:pt>
                <c:pt idx="389">
                  <c:v>390</c:v>
                </c:pt>
                <c:pt idx="390">
                  <c:v>391</c:v>
                </c:pt>
                <c:pt idx="391">
                  <c:v>392</c:v>
                </c:pt>
                <c:pt idx="392">
                  <c:v>393</c:v>
                </c:pt>
                <c:pt idx="393">
                  <c:v>394</c:v>
                </c:pt>
                <c:pt idx="394">
                  <c:v>395</c:v>
                </c:pt>
                <c:pt idx="395">
                  <c:v>396</c:v>
                </c:pt>
                <c:pt idx="396">
                  <c:v>397</c:v>
                </c:pt>
                <c:pt idx="397">
                  <c:v>398</c:v>
                </c:pt>
                <c:pt idx="398">
                  <c:v>399</c:v>
                </c:pt>
                <c:pt idx="399">
                  <c:v>400</c:v>
                </c:pt>
                <c:pt idx="400">
                  <c:v>401</c:v>
                </c:pt>
                <c:pt idx="401">
                  <c:v>402</c:v>
                </c:pt>
                <c:pt idx="402">
                  <c:v>403</c:v>
                </c:pt>
                <c:pt idx="403">
                  <c:v>404</c:v>
                </c:pt>
                <c:pt idx="404">
                  <c:v>405</c:v>
                </c:pt>
                <c:pt idx="405">
                  <c:v>406</c:v>
                </c:pt>
                <c:pt idx="406">
                  <c:v>407</c:v>
                </c:pt>
                <c:pt idx="407">
                  <c:v>408</c:v>
                </c:pt>
                <c:pt idx="408">
                  <c:v>409</c:v>
                </c:pt>
                <c:pt idx="409">
                  <c:v>410</c:v>
                </c:pt>
                <c:pt idx="410">
                  <c:v>411</c:v>
                </c:pt>
                <c:pt idx="411">
                  <c:v>412</c:v>
                </c:pt>
                <c:pt idx="412">
                  <c:v>413</c:v>
                </c:pt>
                <c:pt idx="413">
                  <c:v>414</c:v>
                </c:pt>
                <c:pt idx="414">
                  <c:v>415</c:v>
                </c:pt>
                <c:pt idx="415">
                  <c:v>416</c:v>
                </c:pt>
                <c:pt idx="416">
                  <c:v>417</c:v>
                </c:pt>
                <c:pt idx="417">
                  <c:v>418</c:v>
                </c:pt>
                <c:pt idx="418">
                  <c:v>419</c:v>
                </c:pt>
                <c:pt idx="419">
                  <c:v>420</c:v>
                </c:pt>
                <c:pt idx="420">
                  <c:v>421</c:v>
                </c:pt>
                <c:pt idx="421">
                  <c:v>422</c:v>
                </c:pt>
                <c:pt idx="422">
                  <c:v>423.5</c:v>
                </c:pt>
                <c:pt idx="423">
                  <c:v>423.5</c:v>
                </c:pt>
                <c:pt idx="424">
                  <c:v>425</c:v>
                </c:pt>
                <c:pt idx="425">
                  <c:v>426</c:v>
                </c:pt>
                <c:pt idx="426">
                  <c:v>427</c:v>
                </c:pt>
                <c:pt idx="427">
                  <c:v>428</c:v>
                </c:pt>
                <c:pt idx="428">
                  <c:v>429</c:v>
                </c:pt>
                <c:pt idx="429">
                  <c:v>430</c:v>
                </c:pt>
                <c:pt idx="430">
                  <c:v>431</c:v>
                </c:pt>
                <c:pt idx="431">
                  <c:v>432</c:v>
                </c:pt>
                <c:pt idx="432">
                  <c:v>433</c:v>
                </c:pt>
                <c:pt idx="433">
                  <c:v>434</c:v>
                </c:pt>
                <c:pt idx="434">
                  <c:v>435</c:v>
                </c:pt>
                <c:pt idx="435">
                  <c:v>436</c:v>
                </c:pt>
                <c:pt idx="436">
                  <c:v>437</c:v>
                </c:pt>
                <c:pt idx="437">
                  <c:v>438</c:v>
                </c:pt>
                <c:pt idx="438">
                  <c:v>439</c:v>
                </c:pt>
                <c:pt idx="439">
                  <c:v>440</c:v>
                </c:pt>
                <c:pt idx="440">
                  <c:v>441</c:v>
                </c:pt>
                <c:pt idx="441">
                  <c:v>442.5</c:v>
                </c:pt>
                <c:pt idx="442">
                  <c:v>442.5</c:v>
                </c:pt>
                <c:pt idx="443">
                  <c:v>444</c:v>
                </c:pt>
                <c:pt idx="444">
                  <c:v>445</c:v>
                </c:pt>
                <c:pt idx="445">
                  <c:v>446</c:v>
                </c:pt>
                <c:pt idx="446">
                  <c:v>447</c:v>
                </c:pt>
                <c:pt idx="447">
                  <c:v>448</c:v>
                </c:pt>
                <c:pt idx="448">
                  <c:v>449</c:v>
                </c:pt>
                <c:pt idx="449">
                  <c:v>450</c:v>
                </c:pt>
                <c:pt idx="450">
                  <c:v>451</c:v>
                </c:pt>
                <c:pt idx="451">
                  <c:v>452</c:v>
                </c:pt>
                <c:pt idx="452">
                  <c:v>453</c:v>
                </c:pt>
                <c:pt idx="453">
                  <c:v>454</c:v>
                </c:pt>
                <c:pt idx="454">
                  <c:v>455</c:v>
                </c:pt>
                <c:pt idx="455">
                  <c:v>456</c:v>
                </c:pt>
                <c:pt idx="456">
                  <c:v>457</c:v>
                </c:pt>
                <c:pt idx="457">
                  <c:v>458</c:v>
                </c:pt>
                <c:pt idx="458">
                  <c:v>459</c:v>
                </c:pt>
                <c:pt idx="459">
                  <c:v>460</c:v>
                </c:pt>
                <c:pt idx="460">
                  <c:v>461</c:v>
                </c:pt>
                <c:pt idx="461">
                  <c:v>462</c:v>
                </c:pt>
                <c:pt idx="462">
                  <c:v>463</c:v>
                </c:pt>
                <c:pt idx="463">
                  <c:v>464</c:v>
                </c:pt>
                <c:pt idx="464">
                  <c:v>465</c:v>
                </c:pt>
                <c:pt idx="465">
                  <c:v>466</c:v>
                </c:pt>
                <c:pt idx="466">
                  <c:v>467</c:v>
                </c:pt>
                <c:pt idx="467">
                  <c:v>468</c:v>
                </c:pt>
                <c:pt idx="468">
                  <c:v>469</c:v>
                </c:pt>
                <c:pt idx="469">
                  <c:v>470.5</c:v>
                </c:pt>
                <c:pt idx="470">
                  <c:v>470.5</c:v>
                </c:pt>
                <c:pt idx="471">
                  <c:v>472</c:v>
                </c:pt>
                <c:pt idx="472">
                  <c:v>473</c:v>
                </c:pt>
                <c:pt idx="473">
                  <c:v>474</c:v>
                </c:pt>
                <c:pt idx="474">
                  <c:v>475</c:v>
                </c:pt>
                <c:pt idx="475">
                  <c:v>476</c:v>
                </c:pt>
                <c:pt idx="476">
                  <c:v>477</c:v>
                </c:pt>
                <c:pt idx="477">
                  <c:v>478</c:v>
                </c:pt>
                <c:pt idx="478">
                  <c:v>479</c:v>
                </c:pt>
                <c:pt idx="479">
                  <c:v>480</c:v>
                </c:pt>
              </c:numCache>
            </c:numRef>
          </c:yVal>
          <c:smooth val="0"/>
          <c:extLst>
            <c:ext xmlns:c16="http://schemas.microsoft.com/office/drawing/2014/chart" uri="{C3380CC4-5D6E-409C-BE32-E72D297353CC}">
              <c16:uniqueId val="{00000000-3ECB-4DAE-B275-72F66B75D7C1}"/>
            </c:ext>
          </c:extLst>
        </c:ser>
        <c:ser>
          <c:idx val="1"/>
          <c:order val="1"/>
          <c:tx>
            <c:strRef>
              <c:f>'Statins Data'!$C$1</c:f>
              <c:strCache>
                <c:ptCount val="1"/>
                <c:pt idx="0">
                  <c:v>Risk-adjusted</c:v>
                </c:pt>
              </c:strCache>
            </c:strRef>
          </c:tx>
          <c:spPr>
            <a:ln w="25400" cap="flat" cmpd="sng" algn="ctr">
              <a:noFill/>
              <a:prstDash val="sysDot"/>
              <a:round/>
            </a:ln>
            <a:effectLst>
              <a:outerShdw blurRad="40000" dist="20000" dir="5400000" rotWithShape="0">
                <a:srgbClr val="000000">
                  <a:alpha val="38000"/>
                </a:srgbClr>
              </a:outerShdw>
            </a:effectLst>
          </c:spPr>
          <c:marker>
            <c:symbol val="circle"/>
            <c:size val="5"/>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chemeClr>
                </a:solidFill>
                <a:round/>
              </a:ln>
              <a:effectLst>
                <a:outerShdw blurRad="40000" dist="20000" dir="5400000" rotWithShape="0">
                  <a:srgbClr val="000000">
                    <a:alpha val="38000"/>
                  </a:srgbClr>
                </a:outerShdw>
              </a:effectLst>
            </c:spPr>
          </c:marker>
          <c:xVal>
            <c:numRef>
              <c:f>'Statins Data'!$A$2:$A$481</c:f>
              <c:numCache>
                <c:formatCode>General</c:formatCode>
                <c:ptCount val="48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pt idx="100">
                  <c:v>101</c:v>
                </c:pt>
                <c:pt idx="101">
                  <c:v>102</c:v>
                </c:pt>
                <c:pt idx="102">
                  <c:v>103</c:v>
                </c:pt>
                <c:pt idx="103">
                  <c:v>104</c:v>
                </c:pt>
                <c:pt idx="104">
                  <c:v>105</c:v>
                </c:pt>
                <c:pt idx="105">
                  <c:v>106</c:v>
                </c:pt>
                <c:pt idx="106">
                  <c:v>107</c:v>
                </c:pt>
                <c:pt idx="107">
                  <c:v>108</c:v>
                </c:pt>
                <c:pt idx="108">
                  <c:v>109</c:v>
                </c:pt>
                <c:pt idx="109">
                  <c:v>110</c:v>
                </c:pt>
                <c:pt idx="110">
                  <c:v>111</c:v>
                </c:pt>
                <c:pt idx="111">
                  <c:v>112</c:v>
                </c:pt>
                <c:pt idx="112">
                  <c:v>113</c:v>
                </c:pt>
                <c:pt idx="113">
                  <c:v>114</c:v>
                </c:pt>
                <c:pt idx="114">
                  <c:v>115</c:v>
                </c:pt>
                <c:pt idx="115">
                  <c:v>116</c:v>
                </c:pt>
                <c:pt idx="116">
                  <c:v>117</c:v>
                </c:pt>
                <c:pt idx="117">
                  <c:v>118</c:v>
                </c:pt>
                <c:pt idx="118">
                  <c:v>119</c:v>
                </c:pt>
                <c:pt idx="119">
                  <c:v>120</c:v>
                </c:pt>
                <c:pt idx="120">
                  <c:v>121</c:v>
                </c:pt>
                <c:pt idx="121">
                  <c:v>122</c:v>
                </c:pt>
                <c:pt idx="122">
                  <c:v>123</c:v>
                </c:pt>
                <c:pt idx="123">
                  <c:v>124</c:v>
                </c:pt>
                <c:pt idx="124">
                  <c:v>125</c:v>
                </c:pt>
                <c:pt idx="125">
                  <c:v>126</c:v>
                </c:pt>
                <c:pt idx="126">
                  <c:v>127</c:v>
                </c:pt>
                <c:pt idx="127">
                  <c:v>128</c:v>
                </c:pt>
                <c:pt idx="128">
                  <c:v>129</c:v>
                </c:pt>
                <c:pt idx="129">
                  <c:v>130</c:v>
                </c:pt>
                <c:pt idx="130">
                  <c:v>131</c:v>
                </c:pt>
                <c:pt idx="131">
                  <c:v>132</c:v>
                </c:pt>
                <c:pt idx="132">
                  <c:v>133</c:v>
                </c:pt>
                <c:pt idx="133">
                  <c:v>134</c:v>
                </c:pt>
                <c:pt idx="134">
                  <c:v>135</c:v>
                </c:pt>
                <c:pt idx="135">
                  <c:v>136</c:v>
                </c:pt>
                <c:pt idx="136">
                  <c:v>137</c:v>
                </c:pt>
                <c:pt idx="137">
                  <c:v>138</c:v>
                </c:pt>
                <c:pt idx="138">
                  <c:v>139</c:v>
                </c:pt>
                <c:pt idx="139">
                  <c:v>140</c:v>
                </c:pt>
                <c:pt idx="140">
                  <c:v>141</c:v>
                </c:pt>
                <c:pt idx="141">
                  <c:v>142</c:v>
                </c:pt>
                <c:pt idx="142">
                  <c:v>143</c:v>
                </c:pt>
                <c:pt idx="143">
                  <c:v>144</c:v>
                </c:pt>
                <c:pt idx="144">
                  <c:v>145</c:v>
                </c:pt>
                <c:pt idx="145">
                  <c:v>146</c:v>
                </c:pt>
                <c:pt idx="146">
                  <c:v>147</c:v>
                </c:pt>
                <c:pt idx="147">
                  <c:v>148</c:v>
                </c:pt>
                <c:pt idx="148">
                  <c:v>149</c:v>
                </c:pt>
                <c:pt idx="149">
                  <c:v>150</c:v>
                </c:pt>
                <c:pt idx="150">
                  <c:v>151</c:v>
                </c:pt>
                <c:pt idx="151">
                  <c:v>152</c:v>
                </c:pt>
                <c:pt idx="152">
                  <c:v>153</c:v>
                </c:pt>
                <c:pt idx="153">
                  <c:v>154</c:v>
                </c:pt>
                <c:pt idx="154">
                  <c:v>155</c:v>
                </c:pt>
                <c:pt idx="155">
                  <c:v>156</c:v>
                </c:pt>
                <c:pt idx="156">
                  <c:v>157</c:v>
                </c:pt>
                <c:pt idx="157">
                  <c:v>158</c:v>
                </c:pt>
                <c:pt idx="158">
                  <c:v>159</c:v>
                </c:pt>
                <c:pt idx="159">
                  <c:v>160</c:v>
                </c:pt>
                <c:pt idx="160">
                  <c:v>161</c:v>
                </c:pt>
                <c:pt idx="161">
                  <c:v>162</c:v>
                </c:pt>
                <c:pt idx="162">
                  <c:v>163</c:v>
                </c:pt>
                <c:pt idx="163">
                  <c:v>164</c:v>
                </c:pt>
                <c:pt idx="164">
                  <c:v>165</c:v>
                </c:pt>
                <c:pt idx="165">
                  <c:v>166</c:v>
                </c:pt>
                <c:pt idx="166">
                  <c:v>167</c:v>
                </c:pt>
                <c:pt idx="167">
                  <c:v>168</c:v>
                </c:pt>
                <c:pt idx="168">
                  <c:v>169</c:v>
                </c:pt>
                <c:pt idx="169">
                  <c:v>170</c:v>
                </c:pt>
                <c:pt idx="170">
                  <c:v>171</c:v>
                </c:pt>
                <c:pt idx="171">
                  <c:v>172</c:v>
                </c:pt>
                <c:pt idx="172">
                  <c:v>173</c:v>
                </c:pt>
                <c:pt idx="173">
                  <c:v>174</c:v>
                </c:pt>
                <c:pt idx="174">
                  <c:v>175</c:v>
                </c:pt>
                <c:pt idx="175">
                  <c:v>176</c:v>
                </c:pt>
                <c:pt idx="176">
                  <c:v>177</c:v>
                </c:pt>
                <c:pt idx="177">
                  <c:v>178</c:v>
                </c:pt>
                <c:pt idx="178">
                  <c:v>179</c:v>
                </c:pt>
                <c:pt idx="179">
                  <c:v>180</c:v>
                </c:pt>
                <c:pt idx="180">
                  <c:v>181</c:v>
                </c:pt>
                <c:pt idx="181">
                  <c:v>182</c:v>
                </c:pt>
                <c:pt idx="182">
                  <c:v>183</c:v>
                </c:pt>
                <c:pt idx="183">
                  <c:v>184</c:v>
                </c:pt>
                <c:pt idx="184">
                  <c:v>185</c:v>
                </c:pt>
                <c:pt idx="185">
                  <c:v>186</c:v>
                </c:pt>
                <c:pt idx="186">
                  <c:v>187</c:v>
                </c:pt>
                <c:pt idx="187">
                  <c:v>188</c:v>
                </c:pt>
                <c:pt idx="188">
                  <c:v>189</c:v>
                </c:pt>
                <c:pt idx="189">
                  <c:v>190</c:v>
                </c:pt>
                <c:pt idx="190">
                  <c:v>191</c:v>
                </c:pt>
                <c:pt idx="191">
                  <c:v>192</c:v>
                </c:pt>
                <c:pt idx="192">
                  <c:v>193</c:v>
                </c:pt>
                <c:pt idx="193">
                  <c:v>194</c:v>
                </c:pt>
                <c:pt idx="194">
                  <c:v>195</c:v>
                </c:pt>
                <c:pt idx="195">
                  <c:v>196</c:v>
                </c:pt>
                <c:pt idx="196">
                  <c:v>197</c:v>
                </c:pt>
                <c:pt idx="197">
                  <c:v>198</c:v>
                </c:pt>
                <c:pt idx="198">
                  <c:v>199</c:v>
                </c:pt>
                <c:pt idx="199">
                  <c:v>200</c:v>
                </c:pt>
                <c:pt idx="200">
                  <c:v>201</c:v>
                </c:pt>
                <c:pt idx="201">
                  <c:v>202</c:v>
                </c:pt>
                <c:pt idx="202">
                  <c:v>203</c:v>
                </c:pt>
                <c:pt idx="203">
                  <c:v>204</c:v>
                </c:pt>
                <c:pt idx="204">
                  <c:v>205</c:v>
                </c:pt>
                <c:pt idx="205">
                  <c:v>206</c:v>
                </c:pt>
                <c:pt idx="206">
                  <c:v>207</c:v>
                </c:pt>
                <c:pt idx="207">
                  <c:v>208</c:v>
                </c:pt>
                <c:pt idx="208">
                  <c:v>209</c:v>
                </c:pt>
                <c:pt idx="209">
                  <c:v>210</c:v>
                </c:pt>
                <c:pt idx="210">
                  <c:v>211</c:v>
                </c:pt>
                <c:pt idx="211">
                  <c:v>212</c:v>
                </c:pt>
                <c:pt idx="212">
                  <c:v>213</c:v>
                </c:pt>
                <c:pt idx="213">
                  <c:v>214</c:v>
                </c:pt>
                <c:pt idx="214">
                  <c:v>215</c:v>
                </c:pt>
                <c:pt idx="215">
                  <c:v>216</c:v>
                </c:pt>
                <c:pt idx="216">
                  <c:v>217</c:v>
                </c:pt>
                <c:pt idx="217">
                  <c:v>218</c:v>
                </c:pt>
                <c:pt idx="218">
                  <c:v>219</c:v>
                </c:pt>
                <c:pt idx="219">
                  <c:v>220</c:v>
                </c:pt>
                <c:pt idx="220">
                  <c:v>221</c:v>
                </c:pt>
                <c:pt idx="221">
                  <c:v>222</c:v>
                </c:pt>
                <c:pt idx="222">
                  <c:v>223</c:v>
                </c:pt>
                <c:pt idx="223">
                  <c:v>224</c:v>
                </c:pt>
                <c:pt idx="224">
                  <c:v>225</c:v>
                </c:pt>
                <c:pt idx="225">
                  <c:v>226</c:v>
                </c:pt>
                <c:pt idx="226">
                  <c:v>227</c:v>
                </c:pt>
                <c:pt idx="227">
                  <c:v>228</c:v>
                </c:pt>
                <c:pt idx="228">
                  <c:v>229</c:v>
                </c:pt>
                <c:pt idx="229">
                  <c:v>230</c:v>
                </c:pt>
                <c:pt idx="230">
                  <c:v>231</c:v>
                </c:pt>
                <c:pt idx="231">
                  <c:v>232</c:v>
                </c:pt>
                <c:pt idx="232">
                  <c:v>233</c:v>
                </c:pt>
                <c:pt idx="233">
                  <c:v>234</c:v>
                </c:pt>
                <c:pt idx="234">
                  <c:v>235</c:v>
                </c:pt>
                <c:pt idx="235">
                  <c:v>236</c:v>
                </c:pt>
                <c:pt idx="236">
                  <c:v>237</c:v>
                </c:pt>
                <c:pt idx="237">
                  <c:v>238</c:v>
                </c:pt>
                <c:pt idx="238">
                  <c:v>239</c:v>
                </c:pt>
                <c:pt idx="239">
                  <c:v>240</c:v>
                </c:pt>
                <c:pt idx="240">
                  <c:v>241</c:v>
                </c:pt>
                <c:pt idx="241">
                  <c:v>242</c:v>
                </c:pt>
                <c:pt idx="242">
                  <c:v>243</c:v>
                </c:pt>
                <c:pt idx="243">
                  <c:v>244</c:v>
                </c:pt>
                <c:pt idx="244">
                  <c:v>245</c:v>
                </c:pt>
                <c:pt idx="245">
                  <c:v>246</c:v>
                </c:pt>
                <c:pt idx="246">
                  <c:v>247</c:v>
                </c:pt>
                <c:pt idx="247">
                  <c:v>248</c:v>
                </c:pt>
                <c:pt idx="248">
                  <c:v>249</c:v>
                </c:pt>
                <c:pt idx="249">
                  <c:v>250</c:v>
                </c:pt>
                <c:pt idx="250">
                  <c:v>251</c:v>
                </c:pt>
                <c:pt idx="251">
                  <c:v>252</c:v>
                </c:pt>
                <c:pt idx="252">
                  <c:v>253</c:v>
                </c:pt>
                <c:pt idx="253">
                  <c:v>254</c:v>
                </c:pt>
                <c:pt idx="254">
                  <c:v>255</c:v>
                </c:pt>
                <c:pt idx="255">
                  <c:v>256</c:v>
                </c:pt>
                <c:pt idx="256">
                  <c:v>257</c:v>
                </c:pt>
                <c:pt idx="257">
                  <c:v>258</c:v>
                </c:pt>
                <c:pt idx="258">
                  <c:v>259</c:v>
                </c:pt>
                <c:pt idx="259">
                  <c:v>260</c:v>
                </c:pt>
                <c:pt idx="260">
                  <c:v>261</c:v>
                </c:pt>
                <c:pt idx="261">
                  <c:v>262</c:v>
                </c:pt>
                <c:pt idx="262">
                  <c:v>263</c:v>
                </c:pt>
                <c:pt idx="263">
                  <c:v>264</c:v>
                </c:pt>
                <c:pt idx="264">
                  <c:v>265</c:v>
                </c:pt>
                <c:pt idx="265">
                  <c:v>266</c:v>
                </c:pt>
                <c:pt idx="266">
                  <c:v>267</c:v>
                </c:pt>
                <c:pt idx="267">
                  <c:v>268</c:v>
                </c:pt>
                <c:pt idx="268">
                  <c:v>269</c:v>
                </c:pt>
                <c:pt idx="269">
                  <c:v>270</c:v>
                </c:pt>
                <c:pt idx="270">
                  <c:v>271</c:v>
                </c:pt>
                <c:pt idx="271">
                  <c:v>272</c:v>
                </c:pt>
                <c:pt idx="272">
                  <c:v>273</c:v>
                </c:pt>
                <c:pt idx="273">
                  <c:v>274</c:v>
                </c:pt>
                <c:pt idx="274">
                  <c:v>275</c:v>
                </c:pt>
                <c:pt idx="275">
                  <c:v>276</c:v>
                </c:pt>
                <c:pt idx="276">
                  <c:v>277</c:v>
                </c:pt>
                <c:pt idx="277">
                  <c:v>278</c:v>
                </c:pt>
                <c:pt idx="278">
                  <c:v>279</c:v>
                </c:pt>
                <c:pt idx="279">
                  <c:v>280</c:v>
                </c:pt>
                <c:pt idx="280">
                  <c:v>281</c:v>
                </c:pt>
                <c:pt idx="281">
                  <c:v>282</c:v>
                </c:pt>
                <c:pt idx="282">
                  <c:v>283</c:v>
                </c:pt>
                <c:pt idx="283">
                  <c:v>284</c:v>
                </c:pt>
                <c:pt idx="284">
                  <c:v>285</c:v>
                </c:pt>
                <c:pt idx="285">
                  <c:v>286</c:v>
                </c:pt>
                <c:pt idx="286">
                  <c:v>287</c:v>
                </c:pt>
                <c:pt idx="287">
                  <c:v>288</c:v>
                </c:pt>
                <c:pt idx="288">
                  <c:v>289</c:v>
                </c:pt>
                <c:pt idx="289">
                  <c:v>290</c:v>
                </c:pt>
                <c:pt idx="290">
                  <c:v>291</c:v>
                </c:pt>
                <c:pt idx="291">
                  <c:v>292</c:v>
                </c:pt>
                <c:pt idx="292">
                  <c:v>293</c:v>
                </c:pt>
                <c:pt idx="293">
                  <c:v>294</c:v>
                </c:pt>
                <c:pt idx="294">
                  <c:v>295</c:v>
                </c:pt>
                <c:pt idx="295">
                  <c:v>296</c:v>
                </c:pt>
                <c:pt idx="296">
                  <c:v>297</c:v>
                </c:pt>
                <c:pt idx="297">
                  <c:v>298</c:v>
                </c:pt>
                <c:pt idx="298">
                  <c:v>299</c:v>
                </c:pt>
                <c:pt idx="299">
                  <c:v>300</c:v>
                </c:pt>
                <c:pt idx="300">
                  <c:v>301</c:v>
                </c:pt>
                <c:pt idx="301">
                  <c:v>302</c:v>
                </c:pt>
                <c:pt idx="302">
                  <c:v>303</c:v>
                </c:pt>
                <c:pt idx="303">
                  <c:v>304</c:v>
                </c:pt>
                <c:pt idx="304">
                  <c:v>305</c:v>
                </c:pt>
                <c:pt idx="305">
                  <c:v>306</c:v>
                </c:pt>
                <c:pt idx="306">
                  <c:v>307</c:v>
                </c:pt>
                <c:pt idx="307">
                  <c:v>308</c:v>
                </c:pt>
                <c:pt idx="308">
                  <c:v>309</c:v>
                </c:pt>
                <c:pt idx="309">
                  <c:v>310</c:v>
                </c:pt>
                <c:pt idx="310">
                  <c:v>311</c:v>
                </c:pt>
                <c:pt idx="311">
                  <c:v>312</c:v>
                </c:pt>
                <c:pt idx="312">
                  <c:v>313</c:v>
                </c:pt>
                <c:pt idx="313">
                  <c:v>314</c:v>
                </c:pt>
                <c:pt idx="314">
                  <c:v>315</c:v>
                </c:pt>
                <c:pt idx="315">
                  <c:v>316</c:v>
                </c:pt>
                <c:pt idx="316">
                  <c:v>317</c:v>
                </c:pt>
                <c:pt idx="317">
                  <c:v>318</c:v>
                </c:pt>
                <c:pt idx="318">
                  <c:v>319</c:v>
                </c:pt>
                <c:pt idx="319">
                  <c:v>320</c:v>
                </c:pt>
                <c:pt idx="320">
                  <c:v>321</c:v>
                </c:pt>
                <c:pt idx="321">
                  <c:v>322</c:v>
                </c:pt>
                <c:pt idx="322">
                  <c:v>323</c:v>
                </c:pt>
                <c:pt idx="323">
                  <c:v>324</c:v>
                </c:pt>
                <c:pt idx="324">
                  <c:v>325</c:v>
                </c:pt>
                <c:pt idx="325">
                  <c:v>326</c:v>
                </c:pt>
                <c:pt idx="326">
                  <c:v>327</c:v>
                </c:pt>
                <c:pt idx="327">
                  <c:v>328</c:v>
                </c:pt>
                <c:pt idx="328">
                  <c:v>329</c:v>
                </c:pt>
                <c:pt idx="329">
                  <c:v>330</c:v>
                </c:pt>
                <c:pt idx="330">
                  <c:v>331</c:v>
                </c:pt>
                <c:pt idx="331">
                  <c:v>332</c:v>
                </c:pt>
                <c:pt idx="332">
                  <c:v>333</c:v>
                </c:pt>
                <c:pt idx="333">
                  <c:v>334</c:v>
                </c:pt>
                <c:pt idx="334">
                  <c:v>335</c:v>
                </c:pt>
                <c:pt idx="335">
                  <c:v>336</c:v>
                </c:pt>
                <c:pt idx="336">
                  <c:v>337</c:v>
                </c:pt>
                <c:pt idx="337">
                  <c:v>338</c:v>
                </c:pt>
                <c:pt idx="338">
                  <c:v>339</c:v>
                </c:pt>
                <c:pt idx="339">
                  <c:v>340</c:v>
                </c:pt>
                <c:pt idx="340">
                  <c:v>341</c:v>
                </c:pt>
                <c:pt idx="341">
                  <c:v>342</c:v>
                </c:pt>
                <c:pt idx="342">
                  <c:v>343</c:v>
                </c:pt>
                <c:pt idx="343">
                  <c:v>344</c:v>
                </c:pt>
                <c:pt idx="344">
                  <c:v>345</c:v>
                </c:pt>
                <c:pt idx="345">
                  <c:v>346</c:v>
                </c:pt>
                <c:pt idx="346">
                  <c:v>347</c:v>
                </c:pt>
                <c:pt idx="347">
                  <c:v>348</c:v>
                </c:pt>
                <c:pt idx="348">
                  <c:v>349</c:v>
                </c:pt>
                <c:pt idx="349">
                  <c:v>350</c:v>
                </c:pt>
                <c:pt idx="350">
                  <c:v>351</c:v>
                </c:pt>
                <c:pt idx="351">
                  <c:v>352</c:v>
                </c:pt>
                <c:pt idx="352">
                  <c:v>353</c:v>
                </c:pt>
                <c:pt idx="353">
                  <c:v>354</c:v>
                </c:pt>
                <c:pt idx="354">
                  <c:v>355</c:v>
                </c:pt>
                <c:pt idx="355">
                  <c:v>356</c:v>
                </c:pt>
                <c:pt idx="356">
                  <c:v>357</c:v>
                </c:pt>
                <c:pt idx="357">
                  <c:v>358</c:v>
                </c:pt>
                <c:pt idx="358">
                  <c:v>359</c:v>
                </c:pt>
                <c:pt idx="359">
                  <c:v>360</c:v>
                </c:pt>
                <c:pt idx="360">
                  <c:v>361</c:v>
                </c:pt>
                <c:pt idx="361">
                  <c:v>362</c:v>
                </c:pt>
                <c:pt idx="362">
                  <c:v>363</c:v>
                </c:pt>
                <c:pt idx="363">
                  <c:v>364</c:v>
                </c:pt>
                <c:pt idx="364">
                  <c:v>365</c:v>
                </c:pt>
                <c:pt idx="365">
                  <c:v>366</c:v>
                </c:pt>
                <c:pt idx="366">
                  <c:v>367</c:v>
                </c:pt>
                <c:pt idx="367">
                  <c:v>368</c:v>
                </c:pt>
                <c:pt idx="368">
                  <c:v>369</c:v>
                </c:pt>
                <c:pt idx="369">
                  <c:v>370</c:v>
                </c:pt>
                <c:pt idx="370">
                  <c:v>371</c:v>
                </c:pt>
                <c:pt idx="371">
                  <c:v>372</c:v>
                </c:pt>
                <c:pt idx="372">
                  <c:v>373</c:v>
                </c:pt>
                <c:pt idx="373">
                  <c:v>374</c:v>
                </c:pt>
                <c:pt idx="374">
                  <c:v>375</c:v>
                </c:pt>
                <c:pt idx="375">
                  <c:v>376</c:v>
                </c:pt>
                <c:pt idx="376">
                  <c:v>377</c:v>
                </c:pt>
                <c:pt idx="377">
                  <c:v>378</c:v>
                </c:pt>
                <c:pt idx="378">
                  <c:v>379</c:v>
                </c:pt>
                <c:pt idx="379">
                  <c:v>380</c:v>
                </c:pt>
                <c:pt idx="380">
                  <c:v>381</c:v>
                </c:pt>
                <c:pt idx="381">
                  <c:v>382</c:v>
                </c:pt>
                <c:pt idx="382">
                  <c:v>383</c:v>
                </c:pt>
                <c:pt idx="383">
                  <c:v>384</c:v>
                </c:pt>
                <c:pt idx="384">
                  <c:v>385</c:v>
                </c:pt>
                <c:pt idx="385">
                  <c:v>386</c:v>
                </c:pt>
                <c:pt idx="386">
                  <c:v>387</c:v>
                </c:pt>
                <c:pt idx="387">
                  <c:v>388</c:v>
                </c:pt>
                <c:pt idx="388">
                  <c:v>389</c:v>
                </c:pt>
                <c:pt idx="389">
                  <c:v>390</c:v>
                </c:pt>
                <c:pt idx="390">
                  <c:v>391</c:v>
                </c:pt>
                <c:pt idx="391">
                  <c:v>392</c:v>
                </c:pt>
                <c:pt idx="392">
                  <c:v>393</c:v>
                </c:pt>
                <c:pt idx="393">
                  <c:v>394</c:v>
                </c:pt>
                <c:pt idx="394">
                  <c:v>395</c:v>
                </c:pt>
                <c:pt idx="395">
                  <c:v>396</c:v>
                </c:pt>
                <c:pt idx="396">
                  <c:v>397</c:v>
                </c:pt>
                <c:pt idx="397">
                  <c:v>398</c:v>
                </c:pt>
                <c:pt idx="398">
                  <c:v>399</c:v>
                </c:pt>
                <c:pt idx="399">
                  <c:v>400</c:v>
                </c:pt>
                <c:pt idx="400">
                  <c:v>401</c:v>
                </c:pt>
                <c:pt idx="401">
                  <c:v>402</c:v>
                </c:pt>
                <c:pt idx="402">
                  <c:v>403</c:v>
                </c:pt>
                <c:pt idx="403">
                  <c:v>404</c:v>
                </c:pt>
                <c:pt idx="404">
                  <c:v>405</c:v>
                </c:pt>
                <c:pt idx="405">
                  <c:v>406</c:v>
                </c:pt>
                <c:pt idx="406">
                  <c:v>407</c:v>
                </c:pt>
                <c:pt idx="407">
                  <c:v>408</c:v>
                </c:pt>
                <c:pt idx="408">
                  <c:v>409</c:v>
                </c:pt>
                <c:pt idx="409">
                  <c:v>410</c:v>
                </c:pt>
                <c:pt idx="410">
                  <c:v>411</c:v>
                </c:pt>
                <c:pt idx="411">
                  <c:v>412</c:v>
                </c:pt>
                <c:pt idx="412">
                  <c:v>413</c:v>
                </c:pt>
                <c:pt idx="413">
                  <c:v>414</c:v>
                </c:pt>
                <c:pt idx="414">
                  <c:v>415</c:v>
                </c:pt>
                <c:pt idx="415">
                  <c:v>416</c:v>
                </c:pt>
                <c:pt idx="416">
                  <c:v>417</c:v>
                </c:pt>
                <c:pt idx="417">
                  <c:v>418</c:v>
                </c:pt>
                <c:pt idx="418">
                  <c:v>419</c:v>
                </c:pt>
                <c:pt idx="419">
                  <c:v>420</c:v>
                </c:pt>
                <c:pt idx="420">
                  <c:v>421</c:v>
                </c:pt>
                <c:pt idx="421">
                  <c:v>422</c:v>
                </c:pt>
                <c:pt idx="422">
                  <c:v>423</c:v>
                </c:pt>
                <c:pt idx="423">
                  <c:v>424</c:v>
                </c:pt>
                <c:pt idx="424">
                  <c:v>425</c:v>
                </c:pt>
                <c:pt idx="425">
                  <c:v>426</c:v>
                </c:pt>
                <c:pt idx="426">
                  <c:v>427</c:v>
                </c:pt>
                <c:pt idx="427">
                  <c:v>428</c:v>
                </c:pt>
                <c:pt idx="428">
                  <c:v>429</c:v>
                </c:pt>
                <c:pt idx="429">
                  <c:v>430</c:v>
                </c:pt>
                <c:pt idx="430">
                  <c:v>431</c:v>
                </c:pt>
                <c:pt idx="431">
                  <c:v>432</c:v>
                </c:pt>
                <c:pt idx="432">
                  <c:v>433</c:v>
                </c:pt>
                <c:pt idx="433">
                  <c:v>434</c:v>
                </c:pt>
                <c:pt idx="434">
                  <c:v>435</c:v>
                </c:pt>
                <c:pt idx="435">
                  <c:v>436</c:v>
                </c:pt>
                <c:pt idx="436">
                  <c:v>437</c:v>
                </c:pt>
                <c:pt idx="437">
                  <c:v>438</c:v>
                </c:pt>
                <c:pt idx="438">
                  <c:v>439</c:v>
                </c:pt>
                <c:pt idx="439">
                  <c:v>440</c:v>
                </c:pt>
                <c:pt idx="440">
                  <c:v>441</c:v>
                </c:pt>
                <c:pt idx="441">
                  <c:v>442</c:v>
                </c:pt>
                <c:pt idx="442">
                  <c:v>443</c:v>
                </c:pt>
                <c:pt idx="443">
                  <c:v>444</c:v>
                </c:pt>
                <c:pt idx="444">
                  <c:v>445</c:v>
                </c:pt>
                <c:pt idx="445">
                  <c:v>446</c:v>
                </c:pt>
                <c:pt idx="446">
                  <c:v>447</c:v>
                </c:pt>
                <c:pt idx="447">
                  <c:v>448</c:v>
                </c:pt>
                <c:pt idx="448">
                  <c:v>449</c:v>
                </c:pt>
                <c:pt idx="449">
                  <c:v>450</c:v>
                </c:pt>
                <c:pt idx="450">
                  <c:v>451</c:v>
                </c:pt>
                <c:pt idx="451">
                  <c:v>452</c:v>
                </c:pt>
                <c:pt idx="452">
                  <c:v>453</c:v>
                </c:pt>
                <c:pt idx="453">
                  <c:v>454</c:v>
                </c:pt>
                <c:pt idx="454">
                  <c:v>455</c:v>
                </c:pt>
                <c:pt idx="455">
                  <c:v>456</c:v>
                </c:pt>
                <c:pt idx="456">
                  <c:v>457</c:v>
                </c:pt>
                <c:pt idx="457">
                  <c:v>458</c:v>
                </c:pt>
                <c:pt idx="458">
                  <c:v>459</c:v>
                </c:pt>
                <c:pt idx="459">
                  <c:v>460</c:v>
                </c:pt>
                <c:pt idx="460">
                  <c:v>461</c:v>
                </c:pt>
                <c:pt idx="461">
                  <c:v>462</c:v>
                </c:pt>
                <c:pt idx="462">
                  <c:v>463</c:v>
                </c:pt>
                <c:pt idx="463">
                  <c:v>464</c:v>
                </c:pt>
                <c:pt idx="464">
                  <c:v>465</c:v>
                </c:pt>
                <c:pt idx="465">
                  <c:v>466</c:v>
                </c:pt>
                <c:pt idx="466">
                  <c:v>467</c:v>
                </c:pt>
                <c:pt idx="467">
                  <c:v>468</c:v>
                </c:pt>
                <c:pt idx="468">
                  <c:v>469</c:v>
                </c:pt>
                <c:pt idx="469">
                  <c:v>470</c:v>
                </c:pt>
                <c:pt idx="470">
                  <c:v>471</c:v>
                </c:pt>
                <c:pt idx="471">
                  <c:v>472</c:v>
                </c:pt>
                <c:pt idx="472">
                  <c:v>473</c:v>
                </c:pt>
                <c:pt idx="473">
                  <c:v>474</c:v>
                </c:pt>
                <c:pt idx="474">
                  <c:v>475</c:v>
                </c:pt>
                <c:pt idx="475">
                  <c:v>476</c:v>
                </c:pt>
                <c:pt idx="476">
                  <c:v>477</c:v>
                </c:pt>
                <c:pt idx="477">
                  <c:v>478</c:v>
                </c:pt>
                <c:pt idx="478">
                  <c:v>479</c:v>
                </c:pt>
                <c:pt idx="479">
                  <c:v>480</c:v>
                </c:pt>
              </c:numCache>
            </c:numRef>
          </c:xVal>
          <c:yVal>
            <c:numRef>
              <c:f>'Statins Data'!$C$2:$C$481</c:f>
              <c:numCache>
                <c:formatCode>General</c:formatCode>
                <c:ptCount val="480"/>
                <c:pt idx="0">
                  <c:v>1</c:v>
                </c:pt>
                <c:pt idx="1">
                  <c:v>2</c:v>
                </c:pt>
                <c:pt idx="2">
                  <c:v>3</c:v>
                </c:pt>
                <c:pt idx="3">
                  <c:v>9</c:v>
                </c:pt>
                <c:pt idx="4">
                  <c:v>5</c:v>
                </c:pt>
                <c:pt idx="5">
                  <c:v>13</c:v>
                </c:pt>
                <c:pt idx="6">
                  <c:v>10</c:v>
                </c:pt>
                <c:pt idx="7">
                  <c:v>4</c:v>
                </c:pt>
                <c:pt idx="8">
                  <c:v>15</c:v>
                </c:pt>
                <c:pt idx="9">
                  <c:v>6</c:v>
                </c:pt>
                <c:pt idx="10">
                  <c:v>7</c:v>
                </c:pt>
                <c:pt idx="11">
                  <c:v>16</c:v>
                </c:pt>
                <c:pt idx="12">
                  <c:v>8</c:v>
                </c:pt>
                <c:pt idx="13">
                  <c:v>23</c:v>
                </c:pt>
                <c:pt idx="14">
                  <c:v>50</c:v>
                </c:pt>
                <c:pt idx="15">
                  <c:v>22</c:v>
                </c:pt>
                <c:pt idx="16">
                  <c:v>21</c:v>
                </c:pt>
                <c:pt idx="17">
                  <c:v>12</c:v>
                </c:pt>
                <c:pt idx="18">
                  <c:v>25</c:v>
                </c:pt>
                <c:pt idx="19">
                  <c:v>42</c:v>
                </c:pt>
                <c:pt idx="20">
                  <c:v>32</c:v>
                </c:pt>
                <c:pt idx="21">
                  <c:v>11</c:v>
                </c:pt>
                <c:pt idx="22">
                  <c:v>46</c:v>
                </c:pt>
                <c:pt idx="23">
                  <c:v>34</c:v>
                </c:pt>
                <c:pt idx="24">
                  <c:v>14</c:v>
                </c:pt>
                <c:pt idx="25">
                  <c:v>18</c:v>
                </c:pt>
                <c:pt idx="26">
                  <c:v>37</c:v>
                </c:pt>
                <c:pt idx="27">
                  <c:v>48</c:v>
                </c:pt>
                <c:pt idx="28">
                  <c:v>78</c:v>
                </c:pt>
                <c:pt idx="29">
                  <c:v>17</c:v>
                </c:pt>
                <c:pt idx="30">
                  <c:v>19</c:v>
                </c:pt>
                <c:pt idx="31">
                  <c:v>30</c:v>
                </c:pt>
                <c:pt idx="32">
                  <c:v>71</c:v>
                </c:pt>
                <c:pt idx="33">
                  <c:v>84</c:v>
                </c:pt>
                <c:pt idx="34">
                  <c:v>66</c:v>
                </c:pt>
                <c:pt idx="35">
                  <c:v>53</c:v>
                </c:pt>
                <c:pt idx="36">
                  <c:v>72</c:v>
                </c:pt>
                <c:pt idx="37">
                  <c:v>81</c:v>
                </c:pt>
                <c:pt idx="38">
                  <c:v>89</c:v>
                </c:pt>
                <c:pt idx="39">
                  <c:v>40</c:v>
                </c:pt>
                <c:pt idx="40">
                  <c:v>27</c:v>
                </c:pt>
                <c:pt idx="41">
                  <c:v>65</c:v>
                </c:pt>
                <c:pt idx="42">
                  <c:v>29</c:v>
                </c:pt>
                <c:pt idx="43">
                  <c:v>28</c:v>
                </c:pt>
                <c:pt idx="44">
                  <c:v>55</c:v>
                </c:pt>
                <c:pt idx="45">
                  <c:v>68</c:v>
                </c:pt>
                <c:pt idx="46">
                  <c:v>130</c:v>
                </c:pt>
                <c:pt idx="47">
                  <c:v>57</c:v>
                </c:pt>
                <c:pt idx="48">
                  <c:v>76</c:v>
                </c:pt>
                <c:pt idx="49">
                  <c:v>100</c:v>
                </c:pt>
                <c:pt idx="50">
                  <c:v>220</c:v>
                </c:pt>
                <c:pt idx="51">
                  <c:v>20</c:v>
                </c:pt>
                <c:pt idx="52">
                  <c:v>73</c:v>
                </c:pt>
                <c:pt idx="53">
                  <c:v>24</c:v>
                </c:pt>
                <c:pt idx="54">
                  <c:v>64</c:v>
                </c:pt>
                <c:pt idx="55">
                  <c:v>49</c:v>
                </c:pt>
                <c:pt idx="56">
                  <c:v>26</c:v>
                </c:pt>
                <c:pt idx="57">
                  <c:v>110</c:v>
                </c:pt>
                <c:pt idx="58">
                  <c:v>124</c:v>
                </c:pt>
                <c:pt idx="59">
                  <c:v>80</c:v>
                </c:pt>
                <c:pt idx="60">
                  <c:v>31</c:v>
                </c:pt>
                <c:pt idx="61">
                  <c:v>113</c:v>
                </c:pt>
                <c:pt idx="62">
                  <c:v>51</c:v>
                </c:pt>
                <c:pt idx="63">
                  <c:v>44</c:v>
                </c:pt>
                <c:pt idx="64">
                  <c:v>33</c:v>
                </c:pt>
                <c:pt idx="65">
                  <c:v>35</c:v>
                </c:pt>
                <c:pt idx="66">
                  <c:v>87</c:v>
                </c:pt>
                <c:pt idx="67">
                  <c:v>85</c:v>
                </c:pt>
                <c:pt idx="68">
                  <c:v>138</c:v>
                </c:pt>
                <c:pt idx="69">
                  <c:v>107</c:v>
                </c:pt>
                <c:pt idx="70">
                  <c:v>121</c:v>
                </c:pt>
                <c:pt idx="71">
                  <c:v>166</c:v>
                </c:pt>
                <c:pt idx="72">
                  <c:v>154</c:v>
                </c:pt>
                <c:pt idx="73">
                  <c:v>159</c:v>
                </c:pt>
                <c:pt idx="74">
                  <c:v>129</c:v>
                </c:pt>
                <c:pt idx="75">
                  <c:v>187</c:v>
                </c:pt>
                <c:pt idx="76">
                  <c:v>41</c:v>
                </c:pt>
                <c:pt idx="77">
                  <c:v>39</c:v>
                </c:pt>
                <c:pt idx="78">
                  <c:v>56</c:v>
                </c:pt>
                <c:pt idx="79">
                  <c:v>127</c:v>
                </c:pt>
                <c:pt idx="80">
                  <c:v>111</c:v>
                </c:pt>
                <c:pt idx="81">
                  <c:v>115</c:v>
                </c:pt>
                <c:pt idx="82">
                  <c:v>204</c:v>
                </c:pt>
                <c:pt idx="83">
                  <c:v>38</c:v>
                </c:pt>
                <c:pt idx="84">
                  <c:v>147</c:v>
                </c:pt>
                <c:pt idx="85">
                  <c:v>96</c:v>
                </c:pt>
                <c:pt idx="86">
                  <c:v>36</c:v>
                </c:pt>
                <c:pt idx="87">
                  <c:v>194</c:v>
                </c:pt>
                <c:pt idx="88">
                  <c:v>218</c:v>
                </c:pt>
                <c:pt idx="89">
                  <c:v>91</c:v>
                </c:pt>
                <c:pt idx="90">
                  <c:v>63</c:v>
                </c:pt>
                <c:pt idx="91">
                  <c:v>142</c:v>
                </c:pt>
                <c:pt idx="92">
                  <c:v>149</c:v>
                </c:pt>
                <c:pt idx="93">
                  <c:v>203</c:v>
                </c:pt>
                <c:pt idx="94">
                  <c:v>60</c:v>
                </c:pt>
                <c:pt idx="95">
                  <c:v>47</c:v>
                </c:pt>
                <c:pt idx="96">
                  <c:v>43</c:v>
                </c:pt>
                <c:pt idx="97">
                  <c:v>45</c:v>
                </c:pt>
                <c:pt idx="98">
                  <c:v>207</c:v>
                </c:pt>
                <c:pt idx="99">
                  <c:v>116</c:v>
                </c:pt>
                <c:pt idx="100">
                  <c:v>59</c:v>
                </c:pt>
                <c:pt idx="101">
                  <c:v>266</c:v>
                </c:pt>
                <c:pt idx="102">
                  <c:v>77</c:v>
                </c:pt>
                <c:pt idx="103">
                  <c:v>114</c:v>
                </c:pt>
                <c:pt idx="104">
                  <c:v>183</c:v>
                </c:pt>
                <c:pt idx="105">
                  <c:v>54</c:v>
                </c:pt>
                <c:pt idx="106">
                  <c:v>108</c:v>
                </c:pt>
                <c:pt idx="107">
                  <c:v>67</c:v>
                </c:pt>
                <c:pt idx="108">
                  <c:v>164</c:v>
                </c:pt>
                <c:pt idx="109">
                  <c:v>58</c:v>
                </c:pt>
                <c:pt idx="110">
                  <c:v>135</c:v>
                </c:pt>
                <c:pt idx="111">
                  <c:v>98</c:v>
                </c:pt>
                <c:pt idx="112">
                  <c:v>74</c:v>
                </c:pt>
                <c:pt idx="113">
                  <c:v>195</c:v>
                </c:pt>
                <c:pt idx="114">
                  <c:v>161</c:v>
                </c:pt>
                <c:pt idx="115">
                  <c:v>79</c:v>
                </c:pt>
                <c:pt idx="116">
                  <c:v>86</c:v>
                </c:pt>
                <c:pt idx="117">
                  <c:v>232</c:v>
                </c:pt>
                <c:pt idx="118">
                  <c:v>200</c:v>
                </c:pt>
                <c:pt idx="119">
                  <c:v>117</c:v>
                </c:pt>
                <c:pt idx="120">
                  <c:v>237</c:v>
                </c:pt>
                <c:pt idx="121">
                  <c:v>52</c:v>
                </c:pt>
                <c:pt idx="122">
                  <c:v>250</c:v>
                </c:pt>
                <c:pt idx="123">
                  <c:v>210</c:v>
                </c:pt>
                <c:pt idx="124">
                  <c:v>140</c:v>
                </c:pt>
                <c:pt idx="125">
                  <c:v>99</c:v>
                </c:pt>
                <c:pt idx="126">
                  <c:v>62</c:v>
                </c:pt>
                <c:pt idx="127">
                  <c:v>325</c:v>
                </c:pt>
                <c:pt idx="128">
                  <c:v>92</c:v>
                </c:pt>
                <c:pt idx="129">
                  <c:v>88</c:v>
                </c:pt>
                <c:pt idx="130">
                  <c:v>133</c:v>
                </c:pt>
                <c:pt idx="131">
                  <c:v>69</c:v>
                </c:pt>
                <c:pt idx="132">
                  <c:v>93</c:v>
                </c:pt>
                <c:pt idx="133">
                  <c:v>287</c:v>
                </c:pt>
                <c:pt idx="134">
                  <c:v>191</c:v>
                </c:pt>
                <c:pt idx="135">
                  <c:v>97</c:v>
                </c:pt>
                <c:pt idx="136">
                  <c:v>192</c:v>
                </c:pt>
                <c:pt idx="137">
                  <c:v>158</c:v>
                </c:pt>
                <c:pt idx="138">
                  <c:v>199</c:v>
                </c:pt>
                <c:pt idx="139">
                  <c:v>82</c:v>
                </c:pt>
                <c:pt idx="140">
                  <c:v>209</c:v>
                </c:pt>
                <c:pt idx="141">
                  <c:v>75</c:v>
                </c:pt>
                <c:pt idx="142">
                  <c:v>176</c:v>
                </c:pt>
                <c:pt idx="143">
                  <c:v>126</c:v>
                </c:pt>
                <c:pt idx="144">
                  <c:v>70</c:v>
                </c:pt>
                <c:pt idx="145">
                  <c:v>61</c:v>
                </c:pt>
                <c:pt idx="146">
                  <c:v>189</c:v>
                </c:pt>
                <c:pt idx="147">
                  <c:v>257</c:v>
                </c:pt>
                <c:pt idx="148">
                  <c:v>128</c:v>
                </c:pt>
                <c:pt idx="149">
                  <c:v>134</c:v>
                </c:pt>
                <c:pt idx="150">
                  <c:v>122</c:v>
                </c:pt>
                <c:pt idx="151">
                  <c:v>94</c:v>
                </c:pt>
                <c:pt idx="152">
                  <c:v>83</c:v>
                </c:pt>
                <c:pt idx="153">
                  <c:v>152</c:v>
                </c:pt>
                <c:pt idx="154">
                  <c:v>109</c:v>
                </c:pt>
                <c:pt idx="155">
                  <c:v>90</c:v>
                </c:pt>
                <c:pt idx="156">
                  <c:v>239</c:v>
                </c:pt>
                <c:pt idx="157">
                  <c:v>123</c:v>
                </c:pt>
                <c:pt idx="158">
                  <c:v>95</c:v>
                </c:pt>
                <c:pt idx="159">
                  <c:v>120</c:v>
                </c:pt>
                <c:pt idx="160">
                  <c:v>153</c:v>
                </c:pt>
                <c:pt idx="161">
                  <c:v>104</c:v>
                </c:pt>
                <c:pt idx="162">
                  <c:v>105</c:v>
                </c:pt>
                <c:pt idx="163">
                  <c:v>214</c:v>
                </c:pt>
                <c:pt idx="164">
                  <c:v>286</c:v>
                </c:pt>
                <c:pt idx="165">
                  <c:v>334</c:v>
                </c:pt>
                <c:pt idx="166">
                  <c:v>274</c:v>
                </c:pt>
                <c:pt idx="167">
                  <c:v>119</c:v>
                </c:pt>
                <c:pt idx="168">
                  <c:v>254</c:v>
                </c:pt>
                <c:pt idx="169">
                  <c:v>332</c:v>
                </c:pt>
                <c:pt idx="170">
                  <c:v>151</c:v>
                </c:pt>
                <c:pt idx="171">
                  <c:v>244</c:v>
                </c:pt>
                <c:pt idx="172">
                  <c:v>102</c:v>
                </c:pt>
                <c:pt idx="173">
                  <c:v>271</c:v>
                </c:pt>
                <c:pt idx="174">
                  <c:v>173</c:v>
                </c:pt>
                <c:pt idx="175">
                  <c:v>367</c:v>
                </c:pt>
                <c:pt idx="176">
                  <c:v>335</c:v>
                </c:pt>
                <c:pt idx="177">
                  <c:v>356</c:v>
                </c:pt>
                <c:pt idx="178">
                  <c:v>106</c:v>
                </c:pt>
                <c:pt idx="179">
                  <c:v>196</c:v>
                </c:pt>
                <c:pt idx="180">
                  <c:v>261</c:v>
                </c:pt>
                <c:pt idx="181">
                  <c:v>131</c:v>
                </c:pt>
                <c:pt idx="182">
                  <c:v>235</c:v>
                </c:pt>
                <c:pt idx="183">
                  <c:v>247</c:v>
                </c:pt>
                <c:pt idx="184">
                  <c:v>321</c:v>
                </c:pt>
                <c:pt idx="185">
                  <c:v>371</c:v>
                </c:pt>
                <c:pt idx="186">
                  <c:v>190</c:v>
                </c:pt>
                <c:pt idx="187">
                  <c:v>297</c:v>
                </c:pt>
                <c:pt idx="188">
                  <c:v>144</c:v>
                </c:pt>
                <c:pt idx="189">
                  <c:v>112</c:v>
                </c:pt>
                <c:pt idx="190">
                  <c:v>150</c:v>
                </c:pt>
                <c:pt idx="191">
                  <c:v>103</c:v>
                </c:pt>
                <c:pt idx="192">
                  <c:v>101</c:v>
                </c:pt>
                <c:pt idx="193">
                  <c:v>155</c:v>
                </c:pt>
                <c:pt idx="194">
                  <c:v>184</c:v>
                </c:pt>
                <c:pt idx="195">
                  <c:v>139</c:v>
                </c:pt>
                <c:pt idx="196">
                  <c:v>160</c:v>
                </c:pt>
                <c:pt idx="197">
                  <c:v>118</c:v>
                </c:pt>
                <c:pt idx="198">
                  <c:v>143</c:v>
                </c:pt>
                <c:pt idx="199">
                  <c:v>231</c:v>
                </c:pt>
                <c:pt idx="200">
                  <c:v>171</c:v>
                </c:pt>
                <c:pt idx="201">
                  <c:v>141</c:v>
                </c:pt>
                <c:pt idx="202">
                  <c:v>137</c:v>
                </c:pt>
                <c:pt idx="203">
                  <c:v>148</c:v>
                </c:pt>
                <c:pt idx="204">
                  <c:v>379</c:v>
                </c:pt>
                <c:pt idx="205">
                  <c:v>289</c:v>
                </c:pt>
                <c:pt idx="206">
                  <c:v>216</c:v>
                </c:pt>
                <c:pt idx="207">
                  <c:v>132</c:v>
                </c:pt>
                <c:pt idx="208">
                  <c:v>175</c:v>
                </c:pt>
                <c:pt idx="209">
                  <c:v>145</c:v>
                </c:pt>
                <c:pt idx="210">
                  <c:v>178</c:v>
                </c:pt>
                <c:pt idx="211">
                  <c:v>221</c:v>
                </c:pt>
                <c:pt idx="212">
                  <c:v>186</c:v>
                </c:pt>
                <c:pt idx="213">
                  <c:v>157</c:v>
                </c:pt>
                <c:pt idx="214">
                  <c:v>162</c:v>
                </c:pt>
                <c:pt idx="215">
                  <c:v>233</c:v>
                </c:pt>
                <c:pt idx="216">
                  <c:v>136</c:v>
                </c:pt>
                <c:pt idx="217">
                  <c:v>125</c:v>
                </c:pt>
                <c:pt idx="218">
                  <c:v>410</c:v>
                </c:pt>
                <c:pt idx="219">
                  <c:v>222</c:v>
                </c:pt>
                <c:pt idx="220">
                  <c:v>168</c:v>
                </c:pt>
                <c:pt idx="221">
                  <c:v>188</c:v>
                </c:pt>
                <c:pt idx="222">
                  <c:v>365</c:v>
                </c:pt>
                <c:pt idx="223">
                  <c:v>146</c:v>
                </c:pt>
                <c:pt idx="224">
                  <c:v>179</c:v>
                </c:pt>
                <c:pt idx="225">
                  <c:v>170</c:v>
                </c:pt>
                <c:pt idx="226">
                  <c:v>217</c:v>
                </c:pt>
                <c:pt idx="227">
                  <c:v>165</c:v>
                </c:pt>
                <c:pt idx="228">
                  <c:v>359</c:v>
                </c:pt>
                <c:pt idx="229">
                  <c:v>174</c:v>
                </c:pt>
                <c:pt idx="230">
                  <c:v>167</c:v>
                </c:pt>
                <c:pt idx="231">
                  <c:v>198</c:v>
                </c:pt>
                <c:pt idx="232">
                  <c:v>156</c:v>
                </c:pt>
                <c:pt idx="233">
                  <c:v>305</c:v>
                </c:pt>
                <c:pt idx="234">
                  <c:v>206</c:v>
                </c:pt>
                <c:pt idx="235">
                  <c:v>172</c:v>
                </c:pt>
                <c:pt idx="236">
                  <c:v>185</c:v>
                </c:pt>
                <c:pt idx="237">
                  <c:v>163</c:v>
                </c:pt>
                <c:pt idx="238">
                  <c:v>227</c:v>
                </c:pt>
                <c:pt idx="239">
                  <c:v>251</c:v>
                </c:pt>
                <c:pt idx="240">
                  <c:v>226</c:v>
                </c:pt>
                <c:pt idx="241">
                  <c:v>240</c:v>
                </c:pt>
                <c:pt idx="242">
                  <c:v>331</c:v>
                </c:pt>
                <c:pt idx="243">
                  <c:v>404</c:v>
                </c:pt>
                <c:pt idx="244">
                  <c:v>258</c:v>
                </c:pt>
                <c:pt idx="245">
                  <c:v>399</c:v>
                </c:pt>
                <c:pt idx="246">
                  <c:v>211</c:v>
                </c:pt>
                <c:pt idx="247">
                  <c:v>229</c:v>
                </c:pt>
                <c:pt idx="248">
                  <c:v>205</c:v>
                </c:pt>
                <c:pt idx="249">
                  <c:v>169</c:v>
                </c:pt>
                <c:pt idx="250">
                  <c:v>401</c:v>
                </c:pt>
                <c:pt idx="251">
                  <c:v>193</c:v>
                </c:pt>
                <c:pt idx="252">
                  <c:v>181</c:v>
                </c:pt>
                <c:pt idx="253">
                  <c:v>201</c:v>
                </c:pt>
                <c:pt idx="254">
                  <c:v>177</c:v>
                </c:pt>
                <c:pt idx="255">
                  <c:v>224</c:v>
                </c:pt>
                <c:pt idx="256">
                  <c:v>343</c:v>
                </c:pt>
                <c:pt idx="257">
                  <c:v>208</c:v>
                </c:pt>
                <c:pt idx="258">
                  <c:v>265</c:v>
                </c:pt>
                <c:pt idx="259">
                  <c:v>308</c:v>
                </c:pt>
                <c:pt idx="260">
                  <c:v>213</c:v>
                </c:pt>
                <c:pt idx="261">
                  <c:v>270</c:v>
                </c:pt>
                <c:pt idx="262">
                  <c:v>242</c:v>
                </c:pt>
                <c:pt idx="263">
                  <c:v>243</c:v>
                </c:pt>
                <c:pt idx="264">
                  <c:v>282</c:v>
                </c:pt>
                <c:pt idx="265">
                  <c:v>275</c:v>
                </c:pt>
                <c:pt idx="266">
                  <c:v>262</c:v>
                </c:pt>
                <c:pt idx="267">
                  <c:v>182</c:v>
                </c:pt>
                <c:pt idx="268">
                  <c:v>292</c:v>
                </c:pt>
                <c:pt idx="269">
                  <c:v>268</c:v>
                </c:pt>
                <c:pt idx="270">
                  <c:v>355</c:v>
                </c:pt>
                <c:pt idx="271">
                  <c:v>256</c:v>
                </c:pt>
                <c:pt idx="272">
                  <c:v>225</c:v>
                </c:pt>
                <c:pt idx="273">
                  <c:v>212</c:v>
                </c:pt>
                <c:pt idx="274">
                  <c:v>432</c:v>
                </c:pt>
                <c:pt idx="275">
                  <c:v>230</c:v>
                </c:pt>
                <c:pt idx="276">
                  <c:v>180</c:v>
                </c:pt>
                <c:pt idx="277">
                  <c:v>223</c:v>
                </c:pt>
                <c:pt idx="278">
                  <c:v>269</c:v>
                </c:pt>
                <c:pt idx="279">
                  <c:v>238</c:v>
                </c:pt>
                <c:pt idx="280">
                  <c:v>202</c:v>
                </c:pt>
                <c:pt idx="281">
                  <c:v>260</c:v>
                </c:pt>
                <c:pt idx="282">
                  <c:v>293</c:v>
                </c:pt>
                <c:pt idx="283">
                  <c:v>407</c:v>
                </c:pt>
                <c:pt idx="284">
                  <c:v>312</c:v>
                </c:pt>
                <c:pt idx="285">
                  <c:v>255</c:v>
                </c:pt>
                <c:pt idx="286">
                  <c:v>197</c:v>
                </c:pt>
                <c:pt idx="287">
                  <c:v>295</c:v>
                </c:pt>
                <c:pt idx="288">
                  <c:v>215</c:v>
                </c:pt>
                <c:pt idx="289">
                  <c:v>253</c:v>
                </c:pt>
                <c:pt idx="290">
                  <c:v>273</c:v>
                </c:pt>
                <c:pt idx="291">
                  <c:v>281</c:v>
                </c:pt>
                <c:pt idx="292">
                  <c:v>259</c:v>
                </c:pt>
                <c:pt idx="293">
                  <c:v>234</c:v>
                </c:pt>
                <c:pt idx="294">
                  <c:v>264</c:v>
                </c:pt>
                <c:pt idx="295">
                  <c:v>391</c:v>
                </c:pt>
                <c:pt idx="296">
                  <c:v>310</c:v>
                </c:pt>
                <c:pt idx="297">
                  <c:v>333</c:v>
                </c:pt>
                <c:pt idx="298">
                  <c:v>284</c:v>
                </c:pt>
                <c:pt idx="299">
                  <c:v>263</c:v>
                </c:pt>
                <c:pt idx="300">
                  <c:v>395</c:v>
                </c:pt>
                <c:pt idx="301">
                  <c:v>307</c:v>
                </c:pt>
                <c:pt idx="302">
                  <c:v>228</c:v>
                </c:pt>
                <c:pt idx="303">
                  <c:v>236</c:v>
                </c:pt>
                <c:pt idx="304">
                  <c:v>245</c:v>
                </c:pt>
                <c:pt idx="305">
                  <c:v>304</c:v>
                </c:pt>
                <c:pt idx="306">
                  <c:v>418</c:v>
                </c:pt>
                <c:pt idx="307">
                  <c:v>267</c:v>
                </c:pt>
                <c:pt idx="308">
                  <c:v>306</c:v>
                </c:pt>
                <c:pt idx="309">
                  <c:v>320</c:v>
                </c:pt>
                <c:pt idx="310">
                  <c:v>246</c:v>
                </c:pt>
                <c:pt idx="311">
                  <c:v>392</c:v>
                </c:pt>
                <c:pt idx="312">
                  <c:v>252</c:v>
                </c:pt>
                <c:pt idx="313">
                  <c:v>219</c:v>
                </c:pt>
                <c:pt idx="314">
                  <c:v>248</c:v>
                </c:pt>
                <c:pt idx="315">
                  <c:v>291</c:v>
                </c:pt>
                <c:pt idx="316">
                  <c:v>277</c:v>
                </c:pt>
                <c:pt idx="317">
                  <c:v>299</c:v>
                </c:pt>
                <c:pt idx="318">
                  <c:v>318</c:v>
                </c:pt>
                <c:pt idx="319">
                  <c:v>276</c:v>
                </c:pt>
                <c:pt idx="320">
                  <c:v>280</c:v>
                </c:pt>
                <c:pt idx="321">
                  <c:v>241</c:v>
                </c:pt>
                <c:pt idx="322">
                  <c:v>279</c:v>
                </c:pt>
                <c:pt idx="323">
                  <c:v>249</c:v>
                </c:pt>
                <c:pt idx="324">
                  <c:v>342</c:v>
                </c:pt>
                <c:pt idx="325">
                  <c:v>319</c:v>
                </c:pt>
                <c:pt idx="326">
                  <c:v>328</c:v>
                </c:pt>
                <c:pt idx="327">
                  <c:v>327</c:v>
                </c:pt>
                <c:pt idx="328">
                  <c:v>315</c:v>
                </c:pt>
                <c:pt idx="329">
                  <c:v>302</c:v>
                </c:pt>
                <c:pt idx="330">
                  <c:v>285</c:v>
                </c:pt>
                <c:pt idx="331">
                  <c:v>314</c:v>
                </c:pt>
                <c:pt idx="332">
                  <c:v>301</c:v>
                </c:pt>
                <c:pt idx="333">
                  <c:v>294</c:v>
                </c:pt>
                <c:pt idx="334">
                  <c:v>288</c:v>
                </c:pt>
                <c:pt idx="335">
                  <c:v>296</c:v>
                </c:pt>
                <c:pt idx="336">
                  <c:v>272</c:v>
                </c:pt>
                <c:pt idx="337">
                  <c:v>303</c:v>
                </c:pt>
                <c:pt idx="338">
                  <c:v>300</c:v>
                </c:pt>
                <c:pt idx="339">
                  <c:v>338</c:v>
                </c:pt>
                <c:pt idx="340">
                  <c:v>298</c:v>
                </c:pt>
                <c:pt idx="341">
                  <c:v>278</c:v>
                </c:pt>
                <c:pt idx="342">
                  <c:v>309</c:v>
                </c:pt>
                <c:pt idx="343">
                  <c:v>311</c:v>
                </c:pt>
                <c:pt idx="344">
                  <c:v>336</c:v>
                </c:pt>
                <c:pt idx="345">
                  <c:v>316</c:v>
                </c:pt>
                <c:pt idx="346">
                  <c:v>290</c:v>
                </c:pt>
                <c:pt idx="347">
                  <c:v>372</c:v>
                </c:pt>
                <c:pt idx="348">
                  <c:v>341</c:v>
                </c:pt>
                <c:pt idx="349">
                  <c:v>283</c:v>
                </c:pt>
                <c:pt idx="350">
                  <c:v>445</c:v>
                </c:pt>
                <c:pt idx="351">
                  <c:v>346</c:v>
                </c:pt>
                <c:pt idx="352">
                  <c:v>369</c:v>
                </c:pt>
                <c:pt idx="353">
                  <c:v>330</c:v>
                </c:pt>
                <c:pt idx="354">
                  <c:v>358</c:v>
                </c:pt>
                <c:pt idx="355">
                  <c:v>457</c:v>
                </c:pt>
                <c:pt idx="356">
                  <c:v>378</c:v>
                </c:pt>
                <c:pt idx="357">
                  <c:v>324</c:v>
                </c:pt>
                <c:pt idx="358">
                  <c:v>323</c:v>
                </c:pt>
                <c:pt idx="359">
                  <c:v>347</c:v>
                </c:pt>
                <c:pt idx="360">
                  <c:v>326</c:v>
                </c:pt>
                <c:pt idx="361">
                  <c:v>313</c:v>
                </c:pt>
                <c:pt idx="362">
                  <c:v>317</c:v>
                </c:pt>
                <c:pt idx="363">
                  <c:v>339</c:v>
                </c:pt>
                <c:pt idx="364">
                  <c:v>352</c:v>
                </c:pt>
                <c:pt idx="365">
                  <c:v>363</c:v>
                </c:pt>
                <c:pt idx="366">
                  <c:v>322</c:v>
                </c:pt>
                <c:pt idx="367">
                  <c:v>348</c:v>
                </c:pt>
                <c:pt idx="368">
                  <c:v>329</c:v>
                </c:pt>
                <c:pt idx="369">
                  <c:v>340</c:v>
                </c:pt>
                <c:pt idx="370">
                  <c:v>345</c:v>
                </c:pt>
                <c:pt idx="371">
                  <c:v>337</c:v>
                </c:pt>
                <c:pt idx="372">
                  <c:v>400</c:v>
                </c:pt>
                <c:pt idx="373">
                  <c:v>353</c:v>
                </c:pt>
                <c:pt idx="374">
                  <c:v>373</c:v>
                </c:pt>
                <c:pt idx="375">
                  <c:v>386</c:v>
                </c:pt>
                <c:pt idx="376">
                  <c:v>344</c:v>
                </c:pt>
                <c:pt idx="377">
                  <c:v>389</c:v>
                </c:pt>
                <c:pt idx="378">
                  <c:v>361</c:v>
                </c:pt>
                <c:pt idx="379">
                  <c:v>362</c:v>
                </c:pt>
                <c:pt idx="380">
                  <c:v>360</c:v>
                </c:pt>
                <c:pt idx="381">
                  <c:v>366</c:v>
                </c:pt>
                <c:pt idx="382">
                  <c:v>417</c:v>
                </c:pt>
                <c:pt idx="383">
                  <c:v>370</c:v>
                </c:pt>
                <c:pt idx="384">
                  <c:v>388</c:v>
                </c:pt>
                <c:pt idx="385">
                  <c:v>368</c:v>
                </c:pt>
                <c:pt idx="386">
                  <c:v>377</c:v>
                </c:pt>
                <c:pt idx="387">
                  <c:v>375</c:v>
                </c:pt>
                <c:pt idx="388">
                  <c:v>351</c:v>
                </c:pt>
                <c:pt idx="389">
                  <c:v>376</c:v>
                </c:pt>
                <c:pt idx="390">
                  <c:v>350</c:v>
                </c:pt>
                <c:pt idx="391">
                  <c:v>357</c:v>
                </c:pt>
                <c:pt idx="392">
                  <c:v>349</c:v>
                </c:pt>
                <c:pt idx="393">
                  <c:v>443</c:v>
                </c:pt>
                <c:pt idx="394">
                  <c:v>383</c:v>
                </c:pt>
                <c:pt idx="395">
                  <c:v>354</c:v>
                </c:pt>
                <c:pt idx="396">
                  <c:v>397</c:v>
                </c:pt>
                <c:pt idx="397">
                  <c:v>381</c:v>
                </c:pt>
                <c:pt idx="398">
                  <c:v>364</c:v>
                </c:pt>
                <c:pt idx="399">
                  <c:v>403</c:v>
                </c:pt>
                <c:pt idx="400">
                  <c:v>382</c:v>
                </c:pt>
                <c:pt idx="401">
                  <c:v>385</c:v>
                </c:pt>
                <c:pt idx="402">
                  <c:v>412</c:v>
                </c:pt>
                <c:pt idx="403">
                  <c:v>393</c:v>
                </c:pt>
                <c:pt idx="404">
                  <c:v>406</c:v>
                </c:pt>
                <c:pt idx="405">
                  <c:v>414</c:v>
                </c:pt>
                <c:pt idx="406">
                  <c:v>420</c:v>
                </c:pt>
                <c:pt idx="407">
                  <c:v>390</c:v>
                </c:pt>
                <c:pt idx="408">
                  <c:v>380</c:v>
                </c:pt>
                <c:pt idx="409">
                  <c:v>451</c:v>
                </c:pt>
                <c:pt idx="410">
                  <c:v>413</c:v>
                </c:pt>
                <c:pt idx="411">
                  <c:v>374</c:v>
                </c:pt>
                <c:pt idx="412">
                  <c:v>394</c:v>
                </c:pt>
                <c:pt idx="413">
                  <c:v>416</c:v>
                </c:pt>
                <c:pt idx="414">
                  <c:v>384</c:v>
                </c:pt>
                <c:pt idx="415">
                  <c:v>398</c:v>
                </c:pt>
                <c:pt idx="416">
                  <c:v>411</c:v>
                </c:pt>
                <c:pt idx="417">
                  <c:v>387</c:v>
                </c:pt>
                <c:pt idx="418">
                  <c:v>396</c:v>
                </c:pt>
                <c:pt idx="419">
                  <c:v>409</c:v>
                </c:pt>
                <c:pt idx="420">
                  <c:v>422</c:v>
                </c:pt>
                <c:pt idx="421">
                  <c:v>427</c:v>
                </c:pt>
                <c:pt idx="422">
                  <c:v>429</c:v>
                </c:pt>
                <c:pt idx="423">
                  <c:v>402</c:v>
                </c:pt>
                <c:pt idx="424">
                  <c:v>408</c:v>
                </c:pt>
                <c:pt idx="425">
                  <c:v>424</c:v>
                </c:pt>
                <c:pt idx="426">
                  <c:v>421</c:v>
                </c:pt>
                <c:pt idx="427">
                  <c:v>426</c:v>
                </c:pt>
                <c:pt idx="428">
                  <c:v>415</c:v>
                </c:pt>
                <c:pt idx="429">
                  <c:v>436</c:v>
                </c:pt>
                <c:pt idx="430">
                  <c:v>425</c:v>
                </c:pt>
                <c:pt idx="431">
                  <c:v>419</c:v>
                </c:pt>
                <c:pt idx="432">
                  <c:v>430</c:v>
                </c:pt>
                <c:pt idx="433">
                  <c:v>433</c:v>
                </c:pt>
                <c:pt idx="434">
                  <c:v>423</c:v>
                </c:pt>
                <c:pt idx="435">
                  <c:v>405</c:v>
                </c:pt>
                <c:pt idx="436">
                  <c:v>435</c:v>
                </c:pt>
                <c:pt idx="437">
                  <c:v>447</c:v>
                </c:pt>
                <c:pt idx="438">
                  <c:v>428</c:v>
                </c:pt>
                <c:pt idx="439">
                  <c:v>434</c:v>
                </c:pt>
                <c:pt idx="440">
                  <c:v>431</c:v>
                </c:pt>
                <c:pt idx="441">
                  <c:v>469</c:v>
                </c:pt>
                <c:pt idx="442">
                  <c:v>437</c:v>
                </c:pt>
                <c:pt idx="443">
                  <c:v>449</c:v>
                </c:pt>
                <c:pt idx="444">
                  <c:v>448</c:v>
                </c:pt>
                <c:pt idx="445">
                  <c:v>438</c:v>
                </c:pt>
                <c:pt idx="446">
                  <c:v>450</c:v>
                </c:pt>
                <c:pt idx="447">
                  <c:v>442</c:v>
                </c:pt>
                <c:pt idx="448">
                  <c:v>453</c:v>
                </c:pt>
                <c:pt idx="449">
                  <c:v>439</c:v>
                </c:pt>
                <c:pt idx="450">
                  <c:v>446</c:v>
                </c:pt>
                <c:pt idx="451">
                  <c:v>444</c:v>
                </c:pt>
                <c:pt idx="452">
                  <c:v>441</c:v>
                </c:pt>
                <c:pt idx="453">
                  <c:v>440</c:v>
                </c:pt>
                <c:pt idx="454">
                  <c:v>470</c:v>
                </c:pt>
                <c:pt idx="455">
                  <c:v>452</c:v>
                </c:pt>
                <c:pt idx="456">
                  <c:v>454</c:v>
                </c:pt>
                <c:pt idx="457">
                  <c:v>455</c:v>
                </c:pt>
                <c:pt idx="458">
                  <c:v>462</c:v>
                </c:pt>
                <c:pt idx="459">
                  <c:v>459</c:v>
                </c:pt>
                <c:pt idx="460">
                  <c:v>471</c:v>
                </c:pt>
                <c:pt idx="461">
                  <c:v>456</c:v>
                </c:pt>
                <c:pt idx="462">
                  <c:v>465</c:v>
                </c:pt>
                <c:pt idx="463">
                  <c:v>458</c:v>
                </c:pt>
                <c:pt idx="464">
                  <c:v>461</c:v>
                </c:pt>
                <c:pt idx="465">
                  <c:v>464</c:v>
                </c:pt>
                <c:pt idx="466">
                  <c:v>466</c:v>
                </c:pt>
                <c:pt idx="467">
                  <c:v>460</c:v>
                </c:pt>
                <c:pt idx="468">
                  <c:v>463</c:v>
                </c:pt>
                <c:pt idx="469">
                  <c:v>475</c:v>
                </c:pt>
                <c:pt idx="470">
                  <c:v>468</c:v>
                </c:pt>
                <c:pt idx="471">
                  <c:v>467</c:v>
                </c:pt>
                <c:pt idx="472">
                  <c:v>472</c:v>
                </c:pt>
                <c:pt idx="473">
                  <c:v>474</c:v>
                </c:pt>
                <c:pt idx="474">
                  <c:v>473</c:v>
                </c:pt>
                <c:pt idx="475">
                  <c:v>476</c:v>
                </c:pt>
                <c:pt idx="476">
                  <c:v>477</c:v>
                </c:pt>
                <c:pt idx="477">
                  <c:v>479</c:v>
                </c:pt>
                <c:pt idx="478">
                  <c:v>478</c:v>
                </c:pt>
                <c:pt idx="479">
                  <c:v>480</c:v>
                </c:pt>
              </c:numCache>
            </c:numRef>
          </c:yVal>
          <c:smooth val="0"/>
          <c:extLst>
            <c:ext xmlns:c16="http://schemas.microsoft.com/office/drawing/2014/chart" uri="{C3380CC4-5D6E-409C-BE32-E72D297353CC}">
              <c16:uniqueId val="{00000001-3ECB-4DAE-B275-72F66B75D7C1}"/>
            </c:ext>
          </c:extLst>
        </c:ser>
        <c:dLbls>
          <c:showLegendKey val="0"/>
          <c:showVal val="0"/>
          <c:showCatName val="0"/>
          <c:showSerName val="0"/>
          <c:showPercent val="0"/>
          <c:showBubbleSize val="0"/>
        </c:dLbls>
        <c:axId val="439232575"/>
        <c:axId val="573943167"/>
      </c:scatterChart>
      <c:valAx>
        <c:axId val="439232575"/>
        <c:scaling>
          <c:orientation val="minMax"/>
          <c:max val="500"/>
        </c:scaling>
        <c:delete val="0"/>
        <c:axPos val="b"/>
        <c:majorGridlines>
          <c:spPr>
            <a:ln w="9525" cap="flat" cmpd="sng" algn="ctr">
              <a:solidFill>
                <a:schemeClr val="dk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r>
                  <a:rPr lang="en-US"/>
                  <a:t>Plan-contract</a:t>
                </a:r>
              </a:p>
            </c:rich>
          </c:tx>
          <c:layout>
            <c:manualLayout>
              <c:xMode val="edge"/>
              <c:yMode val="edge"/>
              <c:x val="0.47215189447472922"/>
              <c:y val="0.8990523759156970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rnd">
            <a:solidFill>
              <a:schemeClr val="dk1">
                <a:lumMod val="25000"/>
                <a:lumOff val="75000"/>
              </a:schemeClr>
            </a:solidFill>
            <a:round/>
          </a:ln>
          <a:effectLst/>
        </c:spPr>
        <c:txPr>
          <a:bodyPr rot="-60000000" spcFirstLastPara="1" vertOverflow="ellipsis" vert="horz" wrap="square" anchor="ctr" anchorCtr="1"/>
          <a:lstStyle/>
          <a:p>
            <a:pPr>
              <a:defRPr sz="900" b="0" i="0" u="none" strike="noStrike" kern="1200" spc="0" baseline="0">
                <a:solidFill>
                  <a:schemeClr val="dk1">
                    <a:lumMod val="65000"/>
                    <a:lumOff val="35000"/>
                  </a:schemeClr>
                </a:solidFill>
                <a:latin typeface="+mn-lt"/>
                <a:ea typeface="+mn-ea"/>
                <a:cs typeface="+mn-cs"/>
              </a:defRPr>
            </a:pPr>
            <a:endParaRPr lang="en-US"/>
          </a:p>
        </c:txPr>
        <c:crossAx val="573943167"/>
        <c:crosses val="autoZero"/>
        <c:crossBetween val="midCat"/>
      </c:valAx>
      <c:valAx>
        <c:axId val="573943167"/>
        <c:scaling>
          <c:orientation val="minMax"/>
          <c:max val="500"/>
        </c:scaling>
        <c:delete val="0"/>
        <c:axPos val="l"/>
        <c:majorGridlines>
          <c:spPr>
            <a:ln w="9525" cap="flat" cmpd="sng" algn="ctr">
              <a:solidFill>
                <a:schemeClr val="dk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r>
                  <a:rPr lang="en-US"/>
                  <a:t>Ranking</a:t>
                </a:r>
              </a:p>
            </c:rich>
          </c:tx>
          <c:layout>
            <c:manualLayout>
              <c:xMode val="edge"/>
              <c:yMode val="edge"/>
              <c:x val="8.5470085470085479E-3"/>
              <c:y val="0.32535582105864524"/>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rnd">
            <a:solidFill>
              <a:schemeClr val="dk1">
                <a:lumMod val="25000"/>
                <a:lumOff val="75000"/>
              </a:schemeClr>
            </a:solidFill>
            <a:round/>
          </a:ln>
          <a:effectLst/>
        </c:spPr>
        <c:txPr>
          <a:bodyPr rot="-60000000" spcFirstLastPara="1" vertOverflow="ellipsis" vert="horz" wrap="square" anchor="ctr" anchorCtr="1"/>
          <a:lstStyle/>
          <a:p>
            <a:pPr>
              <a:defRPr sz="900" b="0" i="0" u="none" strike="noStrike" kern="1200" spc="0" baseline="0">
                <a:solidFill>
                  <a:schemeClr val="dk1">
                    <a:lumMod val="65000"/>
                    <a:lumOff val="35000"/>
                  </a:schemeClr>
                </a:solidFill>
                <a:latin typeface="+mn-lt"/>
                <a:ea typeface="+mn-ea"/>
                <a:cs typeface="+mn-cs"/>
              </a:defRPr>
            </a:pPr>
            <a:endParaRPr lang="en-US"/>
          </a:p>
        </c:txPr>
        <c:crossAx val="439232575"/>
        <c:crosses val="autoZero"/>
        <c:crossBetween val="midCat"/>
      </c:valAx>
      <c:spPr>
        <a:gradFill>
          <a:gsLst>
            <a:gs pos="100000">
              <a:schemeClr val="lt1">
                <a:lumMod val="95000"/>
              </a:schemeClr>
            </a:gs>
            <a:gs pos="0">
              <a:schemeClr val="lt1">
                <a:alpha val="0"/>
              </a:schemeClr>
            </a:gs>
          </a:gsLst>
          <a:lin ang="5400000" scaled="0"/>
        </a:gradFill>
        <a:ln>
          <a:noFill/>
        </a:ln>
        <a:effectLst/>
      </c:spPr>
    </c:plotArea>
    <c:legend>
      <c:legendPos val="b"/>
      <c:layout>
        <c:manualLayout>
          <c:xMode val="edge"/>
          <c:yMode val="edge"/>
          <c:x val="0.67188034188034185"/>
          <c:y val="0.70857608848276676"/>
          <c:w val="0.2844444444444445"/>
          <c:h val="0.10378301420809485"/>
        </c:manualLayout>
      </c:layout>
      <c:overlay val="0"/>
      <c:spPr>
        <a:noFill/>
        <a:ln>
          <a:noFill/>
        </a:ln>
        <a:effectLst/>
      </c:spPr>
      <c:txPr>
        <a:bodyPr rot="0" spcFirstLastPara="1" vertOverflow="ellipsis" vert="horz" wrap="square" anchor="ctr" anchorCtr="1"/>
        <a:lstStyle/>
        <a:p>
          <a:pPr>
            <a:defRPr sz="900" b="0" i="0" u="none" strike="noStrike" kern="1200" spc="0" baseline="0">
              <a:solidFill>
                <a:schemeClr val="dk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Diabetes!$G$13</c:f>
              <c:strCache>
                <c:ptCount val="1"/>
                <c:pt idx="0">
                  <c:v>Observed</c:v>
                </c:pt>
              </c:strCache>
            </c:strRef>
          </c:tx>
          <c:spPr>
            <a:solidFill>
              <a:srgbClr val="2C4E45"/>
            </a:solidFill>
            <a:ln>
              <a:solidFill>
                <a:srgbClr val="2C4E45"/>
              </a:solidFill>
            </a:ln>
            <a:effectLst/>
          </c:spPr>
          <c:invertIfNegative val="0"/>
          <c:cat>
            <c:numRef>
              <c:f>Diabetes!$F$14:$F$23</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Diabetes!$G$14:$G$23</c:f>
              <c:numCache>
                <c:formatCode>0.0%</c:formatCode>
                <c:ptCount val="10"/>
                <c:pt idx="0">
                  <c:v>0.73862536302032911</c:v>
                </c:pt>
                <c:pt idx="1">
                  <c:v>0.78739046487449871</c:v>
                </c:pt>
                <c:pt idx="2">
                  <c:v>0.80640357408786301</c:v>
                </c:pt>
                <c:pt idx="3">
                  <c:v>0.82046418210220928</c:v>
                </c:pt>
                <c:pt idx="4">
                  <c:v>0.83117800074321813</c:v>
                </c:pt>
                <c:pt idx="5">
                  <c:v>0.8406694176983035</c:v>
                </c:pt>
                <c:pt idx="6">
                  <c:v>0.84480922478058096</c:v>
                </c:pt>
                <c:pt idx="7">
                  <c:v>0.85958424586220517</c:v>
                </c:pt>
                <c:pt idx="8">
                  <c:v>0.86615132706294506</c:v>
                </c:pt>
                <c:pt idx="9">
                  <c:v>0.89702696645999846</c:v>
                </c:pt>
              </c:numCache>
            </c:numRef>
          </c:val>
          <c:extLst>
            <c:ext xmlns:c16="http://schemas.microsoft.com/office/drawing/2014/chart" uri="{C3380CC4-5D6E-409C-BE32-E72D297353CC}">
              <c16:uniqueId val="{00000000-9289-4F63-BF43-1D5E2D93A064}"/>
            </c:ext>
          </c:extLst>
        </c:ser>
        <c:ser>
          <c:idx val="1"/>
          <c:order val="1"/>
          <c:tx>
            <c:strRef>
              <c:f>Diabetes!$H$13</c:f>
              <c:strCache>
                <c:ptCount val="1"/>
                <c:pt idx="0">
                  <c:v>Predicted</c:v>
                </c:pt>
              </c:strCache>
            </c:strRef>
          </c:tx>
          <c:spPr>
            <a:solidFill>
              <a:srgbClr val="E38C12"/>
            </a:solidFill>
            <a:ln>
              <a:solidFill>
                <a:srgbClr val="E38C12"/>
              </a:solidFill>
            </a:ln>
            <a:effectLst/>
          </c:spPr>
          <c:invertIfNegative val="0"/>
          <c:cat>
            <c:numRef>
              <c:f>Diabetes!$F$14:$F$23</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Diabetes!$H$14:$H$23</c:f>
              <c:numCache>
                <c:formatCode>0.0%</c:formatCode>
                <c:ptCount val="10"/>
                <c:pt idx="0">
                  <c:v>0.73550711147516568</c:v>
                </c:pt>
                <c:pt idx="1">
                  <c:v>0.7936499331650082</c:v>
                </c:pt>
                <c:pt idx="2">
                  <c:v>0.81509195830230818</c:v>
                </c:pt>
                <c:pt idx="3">
                  <c:v>0.82483337052741212</c:v>
                </c:pt>
                <c:pt idx="4">
                  <c:v>0.83350724637681162</c:v>
                </c:pt>
                <c:pt idx="5">
                  <c:v>0.84078366192877896</c:v>
                </c:pt>
                <c:pt idx="6">
                  <c:v>0.84706327347508359</c:v>
                </c:pt>
                <c:pt idx="7">
                  <c:v>0.85443076149786379</c:v>
                </c:pt>
                <c:pt idx="8">
                  <c:v>0.86315943794981154</c:v>
                </c:pt>
                <c:pt idx="9">
                  <c:v>0.88430529618286391</c:v>
                </c:pt>
              </c:numCache>
            </c:numRef>
          </c:val>
          <c:extLst>
            <c:ext xmlns:c16="http://schemas.microsoft.com/office/drawing/2014/chart" uri="{C3380CC4-5D6E-409C-BE32-E72D297353CC}">
              <c16:uniqueId val="{00000001-9289-4F63-BF43-1D5E2D93A064}"/>
            </c:ext>
          </c:extLst>
        </c:ser>
        <c:dLbls>
          <c:showLegendKey val="0"/>
          <c:showVal val="0"/>
          <c:showCatName val="0"/>
          <c:showSerName val="0"/>
          <c:showPercent val="0"/>
          <c:showBubbleSize val="0"/>
        </c:dLbls>
        <c:gapWidth val="219"/>
        <c:overlap val="-27"/>
        <c:axId val="958116319"/>
        <c:axId val="964028127"/>
      </c:barChart>
      <c:catAx>
        <c:axId val="95811631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64028127"/>
        <c:crosses val="autoZero"/>
        <c:auto val="1"/>
        <c:lblAlgn val="ctr"/>
        <c:lblOffset val="100"/>
        <c:noMultiLvlLbl val="0"/>
      </c:catAx>
      <c:valAx>
        <c:axId val="964028127"/>
        <c:scaling>
          <c:orientation val="minMax"/>
          <c:max val="0.9"/>
          <c:min val="0.65000000000000013"/>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58116319"/>
        <c:crosses val="autoZero"/>
        <c:crossBetween val="between"/>
        <c:majorUnit val="5.000000000000001E-2"/>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RASA!$G$14</c:f>
              <c:strCache>
                <c:ptCount val="1"/>
                <c:pt idx="0">
                  <c:v>Observed</c:v>
                </c:pt>
              </c:strCache>
            </c:strRef>
          </c:tx>
          <c:spPr>
            <a:solidFill>
              <a:srgbClr val="2C4E45"/>
            </a:solidFill>
            <a:ln>
              <a:solidFill>
                <a:srgbClr val="2C4E45"/>
              </a:solidFill>
            </a:ln>
            <a:effectLst/>
          </c:spPr>
          <c:invertIfNegative val="0"/>
          <c:cat>
            <c:numRef>
              <c:f>RASA!$F$15:$F$24</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RASA!$G$15:$G$24</c:f>
              <c:numCache>
                <c:formatCode>0.0%</c:formatCode>
                <c:ptCount val="10"/>
                <c:pt idx="0">
                  <c:v>0.77106505974347728</c:v>
                </c:pt>
                <c:pt idx="1">
                  <c:v>0.82410200871560813</c:v>
                </c:pt>
                <c:pt idx="2">
                  <c:v>0.83412462908011864</c:v>
                </c:pt>
                <c:pt idx="3">
                  <c:v>0.86616732617297909</c:v>
                </c:pt>
                <c:pt idx="4">
                  <c:v>0.87725006282320883</c:v>
                </c:pt>
                <c:pt idx="5">
                  <c:v>0.87883842596102812</c:v>
                </c:pt>
                <c:pt idx="6">
                  <c:v>0.89084298202635448</c:v>
                </c:pt>
                <c:pt idx="7">
                  <c:v>0.89531334396864681</c:v>
                </c:pt>
                <c:pt idx="8">
                  <c:v>0.89725836616131471</c:v>
                </c:pt>
                <c:pt idx="9">
                  <c:v>0.91719235780538466</c:v>
                </c:pt>
              </c:numCache>
            </c:numRef>
          </c:val>
          <c:extLst>
            <c:ext xmlns:c16="http://schemas.microsoft.com/office/drawing/2014/chart" uri="{C3380CC4-5D6E-409C-BE32-E72D297353CC}">
              <c16:uniqueId val="{00000000-8CBE-45B3-BB4A-52921DFF7A6E}"/>
            </c:ext>
          </c:extLst>
        </c:ser>
        <c:ser>
          <c:idx val="1"/>
          <c:order val="1"/>
          <c:tx>
            <c:strRef>
              <c:f>RASA!$H$14</c:f>
              <c:strCache>
                <c:ptCount val="1"/>
                <c:pt idx="0">
                  <c:v>Predicted</c:v>
                </c:pt>
              </c:strCache>
            </c:strRef>
          </c:tx>
          <c:spPr>
            <a:solidFill>
              <a:srgbClr val="E38C12"/>
            </a:solidFill>
            <a:ln>
              <a:solidFill>
                <a:srgbClr val="E38C12"/>
              </a:solidFill>
            </a:ln>
            <a:effectLst/>
          </c:spPr>
          <c:invertIfNegative val="0"/>
          <c:cat>
            <c:numRef>
              <c:f>RASA!$F$15:$F$24</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RASA!$H$15:$H$24</c:f>
              <c:numCache>
                <c:formatCode>0.0%</c:formatCode>
                <c:ptCount val="10"/>
                <c:pt idx="0">
                  <c:v>0.76635732535033163</c:v>
                </c:pt>
                <c:pt idx="1">
                  <c:v>0.82659279028390198</c:v>
                </c:pt>
                <c:pt idx="2">
                  <c:v>0.84804063991743006</c:v>
                </c:pt>
                <c:pt idx="3">
                  <c:v>0.86848771776555833</c:v>
                </c:pt>
                <c:pt idx="4">
                  <c:v>0.87641881257522247</c:v>
                </c:pt>
                <c:pt idx="5">
                  <c:v>0.88158882402001659</c:v>
                </c:pt>
                <c:pt idx="6">
                  <c:v>0.88679130457206212</c:v>
                </c:pt>
                <c:pt idx="7">
                  <c:v>0.8897349545905614</c:v>
                </c:pt>
                <c:pt idx="8">
                  <c:v>0.89414030480283313</c:v>
                </c:pt>
                <c:pt idx="9">
                  <c:v>0.91398028819484756</c:v>
                </c:pt>
              </c:numCache>
            </c:numRef>
          </c:val>
          <c:extLst>
            <c:ext xmlns:c16="http://schemas.microsoft.com/office/drawing/2014/chart" uri="{C3380CC4-5D6E-409C-BE32-E72D297353CC}">
              <c16:uniqueId val="{00000001-8CBE-45B3-BB4A-52921DFF7A6E}"/>
            </c:ext>
          </c:extLst>
        </c:ser>
        <c:dLbls>
          <c:showLegendKey val="0"/>
          <c:showVal val="0"/>
          <c:showCatName val="0"/>
          <c:showSerName val="0"/>
          <c:showPercent val="0"/>
          <c:showBubbleSize val="0"/>
        </c:dLbls>
        <c:gapWidth val="219"/>
        <c:overlap val="-27"/>
        <c:axId val="958128799"/>
        <c:axId val="1010422591"/>
      </c:barChart>
      <c:catAx>
        <c:axId val="95812879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10422591"/>
        <c:crosses val="autoZero"/>
        <c:auto val="1"/>
        <c:lblAlgn val="ctr"/>
        <c:lblOffset val="100"/>
        <c:noMultiLvlLbl val="0"/>
      </c:catAx>
      <c:valAx>
        <c:axId val="1010422591"/>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58128799"/>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Statins!$G$13</c:f>
              <c:strCache>
                <c:ptCount val="1"/>
                <c:pt idx="0">
                  <c:v>Observed</c:v>
                </c:pt>
              </c:strCache>
            </c:strRef>
          </c:tx>
          <c:spPr>
            <a:solidFill>
              <a:srgbClr val="2C4E45"/>
            </a:solidFill>
            <a:ln>
              <a:solidFill>
                <a:srgbClr val="2C4E45"/>
              </a:solidFill>
            </a:ln>
            <a:effectLst/>
          </c:spPr>
          <c:invertIfNegative val="0"/>
          <c:cat>
            <c:numRef>
              <c:f>Statins!$F$14:$F$23</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Statins!$G$14:$G$23</c:f>
              <c:numCache>
                <c:formatCode>0.0%</c:formatCode>
                <c:ptCount val="10"/>
                <c:pt idx="0">
                  <c:v>0.72380603171693092</c:v>
                </c:pt>
                <c:pt idx="1">
                  <c:v>0.77264696159677182</c:v>
                </c:pt>
                <c:pt idx="2">
                  <c:v>0.79788420628988677</c:v>
                </c:pt>
                <c:pt idx="3">
                  <c:v>0.80941943331917965</c:v>
                </c:pt>
                <c:pt idx="4">
                  <c:v>0.82534927857681839</c:v>
                </c:pt>
                <c:pt idx="5">
                  <c:v>0.83207319178318662</c:v>
                </c:pt>
                <c:pt idx="6">
                  <c:v>0.83745466158724369</c:v>
                </c:pt>
                <c:pt idx="7">
                  <c:v>0.849646470871665</c:v>
                </c:pt>
                <c:pt idx="8">
                  <c:v>0.85935193645884589</c:v>
                </c:pt>
                <c:pt idx="9">
                  <c:v>0.88278367224949139</c:v>
                </c:pt>
              </c:numCache>
            </c:numRef>
          </c:val>
          <c:extLst>
            <c:ext xmlns:c16="http://schemas.microsoft.com/office/drawing/2014/chart" uri="{C3380CC4-5D6E-409C-BE32-E72D297353CC}">
              <c16:uniqueId val="{00000000-81F0-4E45-82D9-FE8AAB621D17}"/>
            </c:ext>
          </c:extLst>
        </c:ser>
        <c:ser>
          <c:idx val="1"/>
          <c:order val="1"/>
          <c:tx>
            <c:strRef>
              <c:f>Statins!$H$13</c:f>
              <c:strCache>
                <c:ptCount val="1"/>
                <c:pt idx="0">
                  <c:v>Predicted</c:v>
                </c:pt>
              </c:strCache>
            </c:strRef>
          </c:tx>
          <c:spPr>
            <a:solidFill>
              <a:srgbClr val="E38C12"/>
            </a:solidFill>
            <a:ln>
              <a:solidFill>
                <a:srgbClr val="E38C12"/>
              </a:solidFill>
            </a:ln>
            <a:effectLst/>
          </c:spPr>
          <c:invertIfNegative val="0"/>
          <c:cat>
            <c:numRef>
              <c:f>Statins!$F$14:$F$23</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Statins!$H$14:$H$23</c:f>
              <c:numCache>
                <c:formatCode>0.0%</c:formatCode>
                <c:ptCount val="10"/>
                <c:pt idx="0">
                  <c:v>0.72198517279310659</c:v>
                </c:pt>
                <c:pt idx="1">
                  <c:v>0.77835546639005093</c:v>
                </c:pt>
                <c:pt idx="2">
                  <c:v>0.80117921002702241</c:v>
                </c:pt>
                <c:pt idx="3">
                  <c:v>0.81444886904830205</c:v>
                </c:pt>
                <c:pt idx="4">
                  <c:v>0.82380605035099352</c:v>
                </c:pt>
                <c:pt idx="5">
                  <c:v>0.83119834282755045</c:v>
                </c:pt>
                <c:pt idx="6">
                  <c:v>0.83813376827793862</c:v>
                </c:pt>
                <c:pt idx="7">
                  <c:v>0.84554004235626323</c:v>
                </c:pt>
                <c:pt idx="8">
                  <c:v>0.85477941004193891</c:v>
                </c:pt>
                <c:pt idx="9">
                  <c:v>0.88096237628314922</c:v>
                </c:pt>
              </c:numCache>
            </c:numRef>
          </c:val>
          <c:extLst>
            <c:ext xmlns:c16="http://schemas.microsoft.com/office/drawing/2014/chart" uri="{C3380CC4-5D6E-409C-BE32-E72D297353CC}">
              <c16:uniqueId val="{00000001-81F0-4E45-82D9-FE8AAB621D17}"/>
            </c:ext>
          </c:extLst>
        </c:ser>
        <c:dLbls>
          <c:showLegendKey val="0"/>
          <c:showVal val="0"/>
          <c:showCatName val="0"/>
          <c:showSerName val="0"/>
          <c:showPercent val="0"/>
          <c:showBubbleSize val="0"/>
        </c:dLbls>
        <c:gapWidth val="219"/>
        <c:overlap val="-27"/>
        <c:axId val="832976815"/>
        <c:axId val="957649935"/>
      </c:barChart>
      <c:catAx>
        <c:axId val="83297681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57649935"/>
        <c:crosses val="autoZero"/>
        <c:auto val="1"/>
        <c:lblAlgn val="ctr"/>
        <c:lblOffset val="100"/>
        <c:noMultiLvlLbl val="0"/>
      </c:catAx>
      <c:valAx>
        <c:axId val="957649935"/>
        <c:scaling>
          <c:orientation val="minMax"/>
          <c:max val="0.9"/>
          <c:min val="0.65000000000000013"/>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32976815"/>
        <c:crosses val="autoZero"/>
        <c:crossBetween val="between"/>
        <c:majorUnit val="5.000000000000001E-2"/>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6">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spPr>
      <a:ln w="9525" cap="rnd">
        <a:solidFill>
          <a:schemeClr val="dk1">
            <a:lumMod val="20000"/>
            <a:lumOff val="80000"/>
          </a:schemeClr>
        </a:solidFill>
        <a:round/>
      </a:ln>
    </cs:spPr>
    <cs:defRPr sz="900" kern="1200"/>
  </cs:categoryAxis>
  <cs:chartArea mods="allowNoLineOverride">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effectRef idx="1"/>
    <cs:fontRef idx="minor">
      <a:schemeClr val="dk1"/>
    </cs:fontRef>
    <cs:spPr>
      <a:ln w="9525" cap="flat" cmpd="sng" algn="ctr">
        <a:solidFill>
          <a:schemeClr val="phClr">
            <a:alpha val="70000"/>
          </a:schemeClr>
        </a:solidFill>
        <a:prstDash val="sysDot"/>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rnd">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rnd">
        <a:solidFill>
          <a:schemeClr val="dk1">
            <a:lumMod val="65000"/>
            <a:lumOff val="35000"/>
          </a:schemeClr>
        </a:solidFill>
        <a:round/>
      </a:ln>
    </cs:spPr>
  </cs:downBar>
  <cs:dropLine>
    <cs:lnRef idx="0"/>
    <cs:fillRef idx="0"/>
    <cs:effectRef idx="0"/>
    <cs:fontRef idx="minor">
      <a:schemeClr val="dk1"/>
    </cs:fontRef>
    <cs:spPr>
      <a:ln w="9525" cap="rnd">
        <a:solidFill>
          <a:schemeClr val="dk1">
            <a:lumMod val="35000"/>
            <a:lumOff val="65000"/>
          </a:schemeClr>
        </a:solidFill>
        <a:round/>
      </a:ln>
    </cs:spPr>
  </cs:dropLine>
  <cs:errorBar>
    <cs:lnRef idx="0"/>
    <cs:fillRef idx="0"/>
    <cs:effectRef idx="0"/>
    <cs:fontRef idx="minor">
      <a:schemeClr val="dk1"/>
    </cs:fontRef>
    <cs:spPr>
      <a:ln w="9525" cap="rnd">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rnd">
        <a:solidFill>
          <a:schemeClr val="dk1">
            <a:lumMod val="35000"/>
            <a:lumOff val="65000"/>
          </a:schemeClr>
        </a:solidFill>
        <a:round/>
      </a:ln>
    </cs:spPr>
  </cs:hiLoLine>
  <cs:leaderLine>
    <cs:lnRef idx="0"/>
    <cs:fillRef idx="0"/>
    <cs:effectRef idx="0"/>
    <cs:fontRef idx="minor">
      <a:schemeClr val="dk1"/>
    </cs:fontRef>
    <cs:spPr>
      <a:ln w="9525" cap="rnd">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spc="0" baseline="0"/>
  </cs:legend>
  <cs:plotArea>
    <cs:lnRef idx="0"/>
    <cs:fillRef idx="0"/>
    <cs:effectRef idx="0"/>
    <cs:fontRef idx="minor">
      <a:schemeClr val="dk1"/>
    </cs:fontRef>
    <cs:spPr>
      <a:gradFill>
        <a:gsLst>
          <a:gs pos="100000">
            <a:schemeClr val="lt1">
              <a:lumMod val="95000"/>
            </a:schemeClr>
          </a:gs>
          <a:gs pos="0">
            <a:schemeClr val="lt1">
              <a:alpha val="0"/>
            </a:schemeClr>
          </a:gs>
        </a:gsLst>
        <a:lin ang="5400000" scaled="0"/>
      </a:gradFill>
    </cs:spPr>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rnd">
        <a:solidFill>
          <a:schemeClr val="dk1">
            <a:lumMod val="20000"/>
            <a:lumOff val="80000"/>
          </a:schemeClr>
        </a:solidFill>
        <a:round/>
      </a:ln>
    </cs:spPr>
    <cs:defRPr sz="900" kern="1200"/>
  </cs:seriesAxis>
  <cs:seriesLine>
    <cs:lnRef idx="0"/>
    <cs:fillRef idx="0"/>
    <cs:effectRef idx="0"/>
    <cs:fontRef idx="minor">
      <a:schemeClr val="dk1"/>
    </cs:fontRef>
    <cs:spPr>
      <a:ln w="9525" cap="rnd">
        <a:solidFill>
          <a:schemeClr val="dk1">
            <a:lumMod val="35000"/>
            <a:lumOff val="65000"/>
          </a:schemeClr>
        </a:solidFill>
        <a:round/>
      </a:ln>
    </cs:spPr>
  </cs:seriesLine>
  <cs:title>
    <cs:lnRef idx="0"/>
    <cs:fillRef idx="0"/>
    <cs:effectRef idx="0"/>
    <cs:fontRef idx="minor">
      <a:schemeClr val="dk1">
        <a:lumMod val="50000"/>
        <a:lumOff val="50000"/>
      </a:schemeClr>
    </cs:fontRef>
    <cs:defRPr sz="1400" kern="1200" cap="none" spc="2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cs:spPr>
  </cs:upBar>
  <cs:valueAxis>
    <cs:lnRef idx="0"/>
    <cs:fillRef idx="0"/>
    <cs:effectRef idx="0"/>
    <cs:fontRef idx="minor">
      <a:schemeClr val="dk1">
        <a:lumMod val="65000"/>
        <a:lumOff val="35000"/>
      </a:schemeClr>
    </cs:fontRef>
    <cs:spPr>
      <a:ln w="9525" cap="rnd">
        <a:solidFill>
          <a:schemeClr val="dk1">
            <a:lumMod val="25000"/>
            <a:lumOff val="75000"/>
          </a:schemeClr>
        </a:solidFill>
        <a:round/>
      </a:ln>
    </cs:spPr>
    <cs:defRPr sz="900" kern="1200" spc="0" baseline="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46">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spPr>
      <a:ln w="9525" cap="rnd">
        <a:solidFill>
          <a:schemeClr val="dk1">
            <a:lumMod val="20000"/>
            <a:lumOff val="80000"/>
          </a:schemeClr>
        </a:solidFill>
        <a:round/>
      </a:ln>
    </cs:spPr>
    <cs:defRPr sz="900" kern="1200"/>
  </cs:categoryAxis>
  <cs:chartArea mods="allowNoLineOverride">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effectRef idx="1"/>
    <cs:fontRef idx="minor">
      <a:schemeClr val="dk1"/>
    </cs:fontRef>
    <cs:spPr>
      <a:ln w="9525" cap="flat" cmpd="sng" algn="ctr">
        <a:solidFill>
          <a:schemeClr val="phClr">
            <a:alpha val="70000"/>
          </a:schemeClr>
        </a:solidFill>
        <a:prstDash val="sysDot"/>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rnd">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rnd">
        <a:solidFill>
          <a:schemeClr val="dk1">
            <a:lumMod val="65000"/>
            <a:lumOff val="35000"/>
          </a:schemeClr>
        </a:solidFill>
        <a:round/>
      </a:ln>
    </cs:spPr>
  </cs:downBar>
  <cs:dropLine>
    <cs:lnRef idx="0"/>
    <cs:fillRef idx="0"/>
    <cs:effectRef idx="0"/>
    <cs:fontRef idx="minor">
      <a:schemeClr val="dk1"/>
    </cs:fontRef>
    <cs:spPr>
      <a:ln w="9525" cap="rnd">
        <a:solidFill>
          <a:schemeClr val="dk1">
            <a:lumMod val="35000"/>
            <a:lumOff val="65000"/>
          </a:schemeClr>
        </a:solidFill>
        <a:round/>
      </a:ln>
    </cs:spPr>
  </cs:dropLine>
  <cs:errorBar>
    <cs:lnRef idx="0"/>
    <cs:fillRef idx="0"/>
    <cs:effectRef idx="0"/>
    <cs:fontRef idx="minor">
      <a:schemeClr val="dk1"/>
    </cs:fontRef>
    <cs:spPr>
      <a:ln w="9525" cap="rnd">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rnd">
        <a:solidFill>
          <a:schemeClr val="dk1">
            <a:lumMod val="35000"/>
            <a:lumOff val="65000"/>
          </a:schemeClr>
        </a:solidFill>
        <a:round/>
      </a:ln>
    </cs:spPr>
  </cs:hiLoLine>
  <cs:leaderLine>
    <cs:lnRef idx="0"/>
    <cs:fillRef idx="0"/>
    <cs:effectRef idx="0"/>
    <cs:fontRef idx="minor">
      <a:schemeClr val="dk1"/>
    </cs:fontRef>
    <cs:spPr>
      <a:ln w="9525" cap="rnd">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spc="0" baseline="0"/>
  </cs:legend>
  <cs:plotArea>
    <cs:lnRef idx="0"/>
    <cs:fillRef idx="0"/>
    <cs:effectRef idx="0"/>
    <cs:fontRef idx="minor">
      <a:schemeClr val="dk1"/>
    </cs:fontRef>
    <cs:spPr>
      <a:gradFill>
        <a:gsLst>
          <a:gs pos="100000">
            <a:schemeClr val="lt1">
              <a:lumMod val="95000"/>
            </a:schemeClr>
          </a:gs>
          <a:gs pos="0">
            <a:schemeClr val="lt1">
              <a:alpha val="0"/>
            </a:schemeClr>
          </a:gs>
        </a:gsLst>
        <a:lin ang="5400000" scaled="0"/>
      </a:gradFill>
    </cs:spPr>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rnd">
        <a:solidFill>
          <a:schemeClr val="dk1">
            <a:lumMod val="20000"/>
            <a:lumOff val="80000"/>
          </a:schemeClr>
        </a:solidFill>
        <a:round/>
      </a:ln>
    </cs:spPr>
    <cs:defRPr sz="900" kern="1200"/>
  </cs:seriesAxis>
  <cs:seriesLine>
    <cs:lnRef idx="0"/>
    <cs:fillRef idx="0"/>
    <cs:effectRef idx="0"/>
    <cs:fontRef idx="minor">
      <a:schemeClr val="dk1"/>
    </cs:fontRef>
    <cs:spPr>
      <a:ln w="9525" cap="rnd">
        <a:solidFill>
          <a:schemeClr val="dk1">
            <a:lumMod val="35000"/>
            <a:lumOff val="65000"/>
          </a:schemeClr>
        </a:solidFill>
        <a:round/>
      </a:ln>
    </cs:spPr>
  </cs:seriesLine>
  <cs:title>
    <cs:lnRef idx="0"/>
    <cs:fillRef idx="0"/>
    <cs:effectRef idx="0"/>
    <cs:fontRef idx="minor">
      <a:schemeClr val="dk1">
        <a:lumMod val="50000"/>
        <a:lumOff val="50000"/>
      </a:schemeClr>
    </cs:fontRef>
    <cs:defRPr sz="1400" kern="1200" cap="none" spc="2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cs:spPr>
  </cs:upBar>
  <cs:valueAxis>
    <cs:lnRef idx="0"/>
    <cs:fillRef idx="0"/>
    <cs:effectRef idx="0"/>
    <cs:fontRef idx="minor">
      <a:schemeClr val="dk1">
        <a:lumMod val="65000"/>
        <a:lumOff val="35000"/>
      </a:schemeClr>
    </cs:fontRef>
    <cs:spPr>
      <a:ln w="9525" cap="rnd">
        <a:solidFill>
          <a:schemeClr val="dk1">
            <a:lumMod val="25000"/>
            <a:lumOff val="75000"/>
          </a:schemeClr>
        </a:solidFill>
        <a:round/>
      </a:ln>
    </cs:spPr>
    <cs:defRPr sz="900" kern="1200" spc="0" baseline="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46">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spPr>
      <a:ln w="9525" cap="rnd">
        <a:solidFill>
          <a:schemeClr val="dk1">
            <a:lumMod val="20000"/>
            <a:lumOff val="80000"/>
          </a:schemeClr>
        </a:solidFill>
        <a:round/>
      </a:ln>
    </cs:spPr>
    <cs:defRPr sz="900" kern="1200"/>
  </cs:categoryAxis>
  <cs:chartArea mods="allowNoLineOverride">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effectRef idx="1"/>
    <cs:fontRef idx="minor">
      <a:schemeClr val="dk1"/>
    </cs:fontRef>
    <cs:spPr>
      <a:ln w="9525" cap="flat" cmpd="sng" algn="ctr">
        <a:solidFill>
          <a:schemeClr val="phClr">
            <a:alpha val="70000"/>
          </a:schemeClr>
        </a:solidFill>
        <a:prstDash val="sysDot"/>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rnd">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rnd">
        <a:solidFill>
          <a:schemeClr val="dk1">
            <a:lumMod val="65000"/>
            <a:lumOff val="35000"/>
          </a:schemeClr>
        </a:solidFill>
        <a:round/>
      </a:ln>
    </cs:spPr>
  </cs:downBar>
  <cs:dropLine>
    <cs:lnRef idx="0"/>
    <cs:fillRef idx="0"/>
    <cs:effectRef idx="0"/>
    <cs:fontRef idx="minor">
      <a:schemeClr val="dk1"/>
    </cs:fontRef>
    <cs:spPr>
      <a:ln w="9525" cap="rnd">
        <a:solidFill>
          <a:schemeClr val="dk1">
            <a:lumMod val="35000"/>
            <a:lumOff val="65000"/>
          </a:schemeClr>
        </a:solidFill>
        <a:round/>
      </a:ln>
    </cs:spPr>
  </cs:dropLine>
  <cs:errorBar>
    <cs:lnRef idx="0"/>
    <cs:fillRef idx="0"/>
    <cs:effectRef idx="0"/>
    <cs:fontRef idx="minor">
      <a:schemeClr val="dk1"/>
    </cs:fontRef>
    <cs:spPr>
      <a:ln w="9525" cap="rnd">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rnd">
        <a:solidFill>
          <a:schemeClr val="dk1">
            <a:lumMod val="35000"/>
            <a:lumOff val="65000"/>
          </a:schemeClr>
        </a:solidFill>
        <a:round/>
      </a:ln>
    </cs:spPr>
  </cs:hiLoLine>
  <cs:leaderLine>
    <cs:lnRef idx="0"/>
    <cs:fillRef idx="0"/>
    <cs:effectRef idx="0"/>
    <cs:fontRef idx="minor">
      <a:schemeClr val="dk1"/>
    </cs:fontRef>
    <cs:spPr>
      <a:ln w="9525" cap="rnd">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spc="0" baseline="0"/>
  </cs:legend>
  <cs:plotArea>
    <cs:lnRef idx="0"/>
    <cs:fillRef idx="0"/>
    <cs:effectRef idx="0"/>
    <cs:fontRef idx="minor">
      <a:schemeClr val="dk1"/>
    </cs:fontRef>
    <cs:spPr>
      <a:gradFill>
        <a:gsLst>
          <a:gs pos="100000">
            <a:schemeClr val="lt1">
              <a:lumMod val="95000"/>
            </a:schemeClr>
          </a:gs>
          <a:gs pos="0">
            <a:schemeClr val="lt1">
              <a:alpha val="0"/>
            </a:schemeClr>
          </a:gs>
        </a:gsLst>
        <a:lin ang="5400000" scaled="0"/>
      </a:gradFill>
    </cs:spPr>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rnd">
        <a:solidFill>
          <a:schemeClr val="dk1">
            <a:lumMod val="20000"/>
            <a:lumOff val="80000"/>
          </a:schemeClr>
        </a:solidFill>
        <a:round/>
      </a:ln>
    </cs:spPr>
    <cs:defRPr sz="900" kern="1200"/>
  </cs:seriesAxis>
  <cs:seriesLine>
    <cs:lnRef idx="0"/>
    <cs:fillRef idx="0"/>
    <cs:effectRef idx="0"/>
    <cs:fontRef idx="minor">
      <a:schemeClr val="dk1"/>
    </cs:fontRef>
    <cs:spPr>
      <a:ln w="9525" cap="rnd">
        <a:solidFill>
          <a:schemeClr val="dk1">
            <a:lumMod val="35000"/>
            <a:lumOff val="65000"/>
          </a:schemeClr>
        </a:solidFill>
        <a:round/>
      </a:ln>
    </cs:spPr>
  </cs:seriesLine>
  <cs:title>
    <cs:lnRef idx="0"/>
    <cs:fillRef idx="0"/>
    <cs:effectRef idx="0"/>
    <cs:fontRef idx="minor">
      <a:schemeClr val="dk1">
        <a:lumMod val="50000"/>
        <a:lumOff val="50000"/>
      </a:schemeClr>
    </cs:fontRef>
    <cs:defRPr sz="1400" kern="1200" cap="none" spc="2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cs:spPr>
  </cs:upBar>
  <cs:valueAxis>
    <cs:lnRef idx="0"/>
    <cs:fillRef idx="0"/>
    <cs:effectRef idx="0"/>
    <cs:fontRef idx="minor">
      <a:schemeClr val="dk1">
        <a:lumMod val="65000"/>
        <a:lumOff val="35000"/>
      </a:schemeClr>
    </cs:fontRef>
    <cs:spPr>
      <a:ln w="9525" cap="rnd">
        <a:solidFill>
          <a:schemeClr val="dk1">
            <a:lumMod val="25000"/>
            <a:lumOff val="75000"/>
          </a:schemeClr>
        </a:solidFill>
        <a:round/>
      </a:ln>
    </cs:spPr>
    <cs:defRPr sz="900" kern="1200" spc="0" baseline="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0637C"/>
    <w:rsid w:val="00021F89"/>
    <w:rsid w:val="000226CE"/>
    <w:rsid w:val="000D3417"/>
    <w:rsid w:val="00127222"/>
    <w:rsid w:val="00135ECE"/>
    <w:rsid w:val="0016164C"/>
    <w:rsid w:val="00164C37"/>
    <w:rsid w:val="001736D7"/>
    <w:rsid w:val="00190AF4"/>
    <w:rsid w:val="001C5AF2"/>
    <w:rsid w:val="00223FA3"/>
    <w:rsid w:val="00223FA9"/>
    <w:rsid w:val="002559B5"/>
    <w:rsid w:val="002816C5"/>
    <w:rsid w:val="00296842"/>
    <w:rsid w:val="002A288F"/>
    <w:rsid w:val="002C65A7"/>
    <w:rsid w:val="002E4175"/>
    <w:rsid w:val="002F052A"/>
    <w:rsid w:val="00350176"/>
    <w:rsid w:val="003840F0"/>
    <w:rsid w:val="003E50D6"/>
    <w:rsid w:val="00437537"/>
    <w:rsid w:val="004C3BB8"/>
    <w:rsid w:val="004D785E"/>
    <w:rsid w:val="004F55A9"/>
    <w:rsid w:val="00505FFA"/>
    <w:rsid w:val="00513FC9"/>
    <w:rsid w:val="0053654E"/>
    <w:rsid w:val="005B4A76"/>
    <w:rsid w:val="00610196"/>
    <w:rsid w:val="00616EFB"/>
    <w:rsid w:val="00632A7E"/>
    <w:rsid w:val="00632AB6"/>
    <w:rsid w:val="006A5F3F"/>
    <w:rsid w:val="006D5A58"/>
    <w:rsid w:val="00730B33"/>
    <w:rsid w:val="00772B2A"/>
    <w:rsid w:val="007941DE"/>
    <w:rsid w:val="007C672A"/>
    <w:rsid w:val="007D4368"/>
    <w:rsid w:val="00822666"/>
    <w:rsid w:val="00823ECC"/>
    <w:rsid w:val="00826796"/>
    <w:rsid w:val="00866C97"/>
    <w:rsid w:val="009017AE"/>
    <w:rsid w:val="0091008F"/>
    <w:rsid w:val="00922813"/>
    <w:rsid w:val="00944B6C"/>
    <w:rsid w:val="00987C5B"/>
    <w:rsid w:val="009C542D"/>
    <w:rsid w:val="009D18BF"/>
    <w:rsid w:val="00A01A18"/>
    <w:rsid w:val="00A4756E"/>
    <w:rsid w:val="00A86926"/>
    <w:rsid w:val="00A931ED"/>
    <w:rsid w:val="00A95183"/>
    <w:rsid w:val="00AB4AF7"/>
    <w:rsid w:val="00AC16E6"/>
    <w:rsid w:val="00AD7C4F"/>
    <w:rsid w:val="00B1526A"/>
    <w:rsid w:val="00B376F5"/>
    <w:rsid w:val="00B445F5"/>
    <w:rsid w:val="00BD40CB"/>
    <w:rsid w:val="00C362A2"/>
    <w:rsid w:val="00C90121"/>
    <w:rsid w:val="00C96E73"/>
    <w:rsid w:val="00CA1FE8"/>
    <w:rsid w:val="00CA21C2"/>
    <w:rsid w:val="00CA324B"/>
    <w:rsid w:val="00CA344F"/>
    <w:rsid w:val="00CA660C"/>
    <w:rsid w:val="00CC4477"/>
    <w:rsid w:val="00CC6726"/>
    <w:rsid w:val="00D03C1F"/>
    <w:rsid w:val="00D1676E"/>
    <w:rsid w:val="00D620ED"/>
    <w:rsid w:val="00D75C5A"/>
    <w:rsid w:val="00DC0246"/>
    <w:rsid w:val="00E00D46"/>
    <w:rsid w:val="00E53A85"/>
    <w:rsid w:val="00E6518A"/>
    <w:rsid w:val="00F0705D"/>
    <w:rsid w:val="00F31FFB"/>
    <w:rsid w:val="00F41394"/>
    <w:rsid w:val="00F540AB"/>
    <w:rsid w:val="00F81706"/>
    <w:rsid w:val="00F915BA"/>
    <w:rsid w:val="00FB1362"/>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620ED"/>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 ds:uri="836b82f1-340d-495e-85b5-201c5296619a"/>
  </ds:schemaRefs>
</ds:datastoreItem>
</file>

<file path=customXml/itemProps3.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4.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5.xml><?xml version="1.0" encoding="utf-8"?>
<ds:datastoreItem xmlns:ds="http://schemas.openxmlformats.org/officeDocument/2006/customXml" ds:itemID="{90358D1A-EE4A-4CEE-AB1B-3D7367C83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35</Pages>
  <Words>14938</Words>
  <Characters>85150</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99889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Irene Nsiah</cp:lastModifiedBy>
  <cp:revision>4</cp:revision>
  <cp:lastPrinted>2019-03-26T14:31:00Z</cp:lastPrinted>
  <dcterms:created xsi:type="dcterms:W3CDTF">2019-03-27T20:09:00Z</dcterms:created>
  <dcterms:modified xsi:type="dcterms:W3CDTF">2019-04-03T17:55:00Z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