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D1D94"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1A249314" w14:textId="77777777" w:rsidR="00496AF8" w:rsidRPr="00496AF8" w:rsidRDefault="00496AF8" w:rsidP="002E2177">
      <w:pPr>
        <w:ind w:left="0" w:firstLine="0"/>
        <w:rPr>
          <w:noProof/>
        </w:rPr>
      </w:pPr>
    </w:p>
    <w:p w14:paraId="082B37B7"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D26F7">
            <w:rPr>
              <w:rStyle w:val="Style1"/>
            </w:rPr>
            <w:t>0541</w:t>
          </w:r>
        </w:sdtContent>
      </w:sdt>
    </w:p>
    <w:p w14:paraId="7D052BF6"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D26F7">
            <w:rPr>
              <w:rStyle w:val="Style1"/>
            </w:rPr>
            <w:t>Proportion of Days Covered (PDC): 3 Rates by Therapeutic Category</w:t>
          </w:r>
        </w:sdtContent>
      </w:sdt>
    </w:p>
    <w:p w14:paraId="4A747D52"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9D26F7">
            <w:rPr>
              <w:rStyle w:val="Style1"/>
            </w:rPr>
            <w:t>N/A</w:t>
          </w:r>
        </w:sdtContent>
      </w:sdt>
    </w:p>
    <w:p w14:paraId="71F87D7D" w14:textId="7FCDFC0B"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8T00:00:00Z">
            <w:dateFormat w:val="M/d/yyyy"/>
            <w:lid w:val="en-US"/>
            <w:storeMappedDataAs w:val="dateTime"/>
            <w:calendar w:val="gregorian"/>
          </w:date>
        </w:sdtPr>
        <w:sdtEndPr>
          <w:rPr>
            <w:rStyle w:val="DefaultParagraphFont"/>
            <w:noProof/>
            <w:color w:val="auto"/>
            <w:u w:val="none"/>
          </w:rPr>
        </w:sdtEndPr>
        <w:sdtContent>
          <w:r w:rsidR="003575FE">
            <w:rPr>
              <w:rStyle w:val="Style2"/>
            </w:rPr>
            <w:t>4/8/2019</w:t>
          </w:r>
        </w:sdtContent>
      </w:sdt>
    </w:p>
    <w:p w14:paraId="64F32848"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0FC8BFC2" w14:textId="77777777" w:rsidTr="00176E60">
        <w:trPr>
          <w:jc w:val="center"/>
        </w:trPr>
        <w:tc>
          <w:tcPr>
            <w:tcW w:w="9576" w:type="dxa"/>
          </w:tcPr>
          <w:p w14:paraId="5F5D465E"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86179CA" w14:textId="7777777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6E89F499"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3D7996F4"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7CA0F4C4"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5DAF325"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BAEBAAA"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793BFEFF"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0DB26491"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237127FB"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7F916925" w14:textId="77777777" w:rsidTr="00F81FE3">
        <w:trPr>
          <w:jc w:val="center"/>
        </w:trPr>
        <w:tc>
          <w:tcPr>
            <w:tcW w:w="10534" w:type="dxa"/>
          </w:tcPr>
          <w:p w14:paraId="47178BF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6D6277DF" w14:textId="77777777" w:rsidR="008659ED" w:rsidRPr="003B1CC5" w:rsidRDefault="008659ED" w:rsidP="008659ED">
            <w:pPr>
              <w:ind w:left="90" w:hanging="90"/>
              <w:rPr>
                <w:sz w:val="20"/>
                <w:szCs w:val="20"/>
              </w:rPr>
            </w:pPr>
            <w:bookmarkStart w:id="0" w:name="Note2"/>
            <w:bookmarkEnd w:id="0"/>
          </w:p>
          <w:p w14:paraId="759D95BA"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985FA2E"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63DB890E" w14:textId="77777777"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7825CFD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DA2C78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8CCE227"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70CCBC7" w14:textId="77777777"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40F29AC9" w14:textId="77777777"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3628F6D9" w14:textId="77777777"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C92B6E6" w14:textId="77777777" w:rsidR="00CB1E41" w:rsidRPr="003B1CC5" w:rsidRDefault="00CB1E41" w:rsidP="008659ED">
            <w:pPr>
              <w:autoSpaceDE w:val="0"/>
              <w:autoSpaceDN w:val="0"/>
              <w:adjustRightInd w:val="0"/>
              <w:rPr>
                <w:rFonts w:eastAsia="Calibri" w:cs="Calibri"/>
                <w:b/>
                <w:bCs/>
                <w:iCs/>
                <w:sz w:val="18"/>
              </w:rPr>
            </w:pPr>
          </w:p>
          <w:p w14:paraId="037F8E1E"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F7BD257"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C412B58"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4B28C3B5"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75E8D071"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087BB871" w14:textId="77777777" w:rsidR="00F81FE3" w:rsidRDefault="00F81FE3" w:rsidP="002E2177">
      <w:pPr>
        <w:ind w:left="0" w:firstLine="0"/>
        <w:rPr>
          <w:b/>
          <w:bCs/>
          <w:color w:val="0000FF"/>
        </w:rPr>
      </w:pPr>
    </w:p>
    <w:p w14:paraId="0D5F6E3E"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2114F3ED"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3BDE95CD" w14:textId="77777777" w:rsidR="00496AF8" w:rsidRPr="003B1CC5" w:rsidRDefault="002930F0"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6525B6FB" w14:textId="77777777" w:rsidR="00236F87" w:rsidRPr="003B1CC5" w:rsidRDefault="002930F0"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72E9AF65"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09FAAB55" w14:textId="77777777" w:rsidR="00496AF8" w:rsidRPr="003B1CC5" w:rsidRDefault="002930F0"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708B963F" w14:textId="77777777" w:rsidR="00D73685" w:rsidRDefault="002930F0"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9D26F7">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321244333"/>
            </w:sdtPr>
            <w:sdtEndPr>
              <w:rPr>
                <w:rStyle w:val="DefaultParagraphFont"/>
                <w:rFonts w:cstheme="minorBidi"/>
                <w:bCs/>
                <w:color w:val="auto"/>
                <w:u w:val="none"/>
              </w:rPr>
            </w:sdtEndPr>
            <w:sdtContent>
              <w:r w:rsidR="00C7571A">
                <w:rPr>
                  <w:rStyle w:val="Style2"/>
                  <w:rFonts w:cstheme="minorHAnsi"/>
                </w:rPr>
                <w:t xml:space="preserve">Adherence to medications leads to improved </w:t>
              </w:r>
              <w:r w:rsidR="00A910A7">
                <w:rPr>
                  <w:rStyle w:val="Style2"/>
                  <w:rFonts w:cstheme="minorHAnsi"/>
                </w:rPr>
                <w:t>clinical outcomes and lower healthcare costs</w:t>
              </w:r>
            </w:sdtContent>
          </w:sdt>
        </w:sdtContent>
      </w:sdt>
    </w:p>
    <w:p w14:paraId="360FDBD5" w14:textId="77777777" w:rsidR="00496AF8" w:rsidRPr="004E7215" w:rsidRDefault="00D73685" w:rsidP="00E80A4C">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1971586B" w14:textId="77777777" w:rsidR="00496AF8" w:rsidRPr="003B1CC5" w:rsidRDefault="002930F0"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2C59B2C6" w14:textId="77777777" w:rsidR="00496AF8" w:rsidRPr="003B1CC5" w:rsidRDefault="002930F0"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082C2EB9" w14:textId="77777777" w:rsidR="00496AF8" w:rsidRPr="003B1CC5" w:rsidRDefault="00496AF8" w:rsidP="002E2177">
      <w:pPr>
        <w:ind w:left="0" w:firstLine="0"/>
        <w:rPr>
          <w:bCs/>
        </w:rPr>
      </w:pPr>
    </w:p>
    <w:p w14:paraId="22092C0D" w14:textId="77777777"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4EBB514" w14:textId="77777777" w:rsidR="002B06BD" w:rsidRDefault="002B06BD" w:rsidP="002E2177">
      <w:pPr>
        <w:ind w:left="432" w:hanging="432"/>
        <w:rPr>
          <w:color w:val="0000FF"/>
        </w:rPr>
      </w:pPr>
    </w:p>
    <w:p w14:paraId="718EAF9B" w14:textId="664722E3" w:rsidR="00D11181" w:rsidRPr="00A910A7" w:rsidRDefault="00222288" w:rsidP="00A910A7">
      <w:pPr>
        <w:ind w:left="0" w:firstLine="0"/>
        <w:rPr>
          <w:color w:val="FF0000"/>
        </w:rPr>
      </w:pPr>
      <w:r w:rsidRPr="0082405E">
        <w:rPr>
          <w:color w:val="FF0000"/>
        </w:rPr>
        <w:t>This measure evaluates adherence to three therapeutic categories of medications</w:t>
      </w:r>
      <w:r w:rsidR="0082405E" w:rsidRPr="0082405E">
        <w:rPr>
          <w:color w:val="FF0000"/>
        </w:rPr>
        <w:t xml:space="preserve"> aligned with three common chronic conditions</w:t>
      </w:r>
      <w:r w:rsidRPr="0082405E">
        <w:rPr>
          <w:color w:val="FF0000"/>
        </w:rPr>
        <w:t xml:space="preserve">: </w:t>
      </w:r>
      <w:r w:rsidR="00187560">
        <w:rPr>
          <w:color w:val="FF0000"/>
        </w:rPr>
        <w:t xml:space="preserve">diabetes </w:t>
      </w:r>
      <w:r w:rsidR="0082405E" w:rsidRPr="0082405E">
        <w:rPr>
          <w:color w:val="FF0000"/>
        </w:rPr>
        <w:t>agents for diabetes</w:t>
      </w:r>
      <w:r w:rsidRPr="0082405E">
        <w:rPr>
          <w:color w:val="FF0000"/>
        </w:rPr>
        <w:t>, renin-angiotensin system antagonists</w:t>
      </w:r>
      <w:r w:rsidR="0082405E" w:rsidRPr="0082405E">
        <w:rPr>
          <w:color w:val="FF0000"/>
        </w:rPr>
        <w:t xml:space="preserve"> for hypertension</w:t>
      </w:r>
      <w:r w:rsidRPr="0082405E">
        <w:rPr>
          <w:color w:val="FF0000"/>
        </w:rPr>
        <w:t>, and statins</w:t>
      </w:r>
      <w:r w:rsidR="0082405E" w:rsidRPr="0082405E">
        <w:rPr>
          <w:color w:val="FF0000"/>
        </w:rPr>
        <w:t xml:space="preserve"> for hyperlipidemia</w:t>
      </w:r>
      <w:r w:rsidRPr="0082405E">
        <w:rPr>
          <w:color w:val="FF0000"/>
        </w:rPr>
        <w:t xml:space="preserve">. </w:t>
      </w:r>
      <w:r w:rsidR="0045514F" w:rsidRPr="0082405E">
        <w:rPr>
          <w:color w:val="FF0000"/>
        </w:rPr>
        <w:t xml:space="preserve">Medication adherence </w:t>
      </w:r>
      <w:r w:rsidR="0082405E" w:rsidRPr="0082405E">
        <w:rPr>
          <w:color w:val="FF0000"/>
        </w:rPr>
        <w:t>for these conditions remains suboptimal</w:t>
      </w:r>
      <w:r w:rsidR="00C4156E" w:rsidRPr="00C4156E">
        <w:rPr>
          <w:color w:val="FF0000"/>
          <w:vertAlign w:val="superscript"/>
        </w:rPr>
        <w:t>1</w:t>
      </w:r>
      <w:r w:rsidR="00206D25">
        <w:rPr>
          <w:color w:val="FF0000"/>
          <w:vertAlign w:val="superscript"/>
        </w:rPr>
        <w:t>-3</w:t>
      </w:r>
      <w:r w:rsidR="0045514F" w:rsidRPr="0082405E">
        <w:rPr>
          <w:color w:val="FF0000"/>
        </w:rPr>
        <w:t xml:space="preserve"> and multiple interventions may be used to </w:t>
      </w:r>
      <w:r w:rsidR="00DE6DEF" w:rsidRPr="0082405E">
        <w:rPr>
          <w:color w:val="FF0000"/>
        </w:rPr>
        <w:t>improve</w:t>
      </w:r>
      <w:r w:rsidR="0045514F" w:rsidRPr="0082405E">
        <w:rPr>
          <w:color w:val="FF0000"/>
        </w:rPr>
        <w:t xml:space="preserve"> adherence.</w:t>
      </w:r>
      <w:r w:rsidR="00206D25">
        <w:rPr>
          <w:color w:val="FF0000"/>
          <w:vertAlign w:val="superscript"/>
        </w:rPr>
        <w:t>4</w:t>
      </w:r>
      <w:r w:rsidR="00C4156E" w:rsidRPr="00AC3FAD">
        <w:rPr>
          <w:color w:val="FF0000"/>
          <w:vertAlign w:val="superscript"/>
        </w:rPr>
        <w:t>,</w:t>
      </w:r>
      <w:r w:rsidR="00206D25">
        <w:rPr>
          <w:color w:val="FF0000"/>
          <w:vertAlign w:val="superscript"/>
        </w:rPr>
        <w:t>5</w:t>
      </w:r>
      <w:r w:rsidR="0045514F" w:rsidRPr="0082405E">
        <w:rPr>
          <w:color w:val="FF0000"/>
        </w:rPr>
        <w:t xml:space="preserve"> </w:t>
      </w:r>
      <w:r w:rsidR="00AC3FAD" w:rsidRPr="007176F6">
        <w:rPr>
          <w:rFonts w:cstheme="minorHAnsi"/>
          <w:color w:val="FF0000"/>
        </w:rPr>
        <w:t>Recent evidence continues to demonstrate the relationship of medication adherence with</w:t>
      </w:r>
      <w:r w:rsidR="00AC3FAD">
        <w:rPr>
          <w:rFonts w:cstheme="minorHAnsi"/>
          <w:color w:val="FF0000"/>
        </w:rPr>
        <w:t xml:space="preserve"> improved</w:t>
      </w:r>
      <w:r w:rsidR="00AC3FAD" w:rsidRPr="007176F6">
        <w:rPr>
          <w:rFonts w:cstheme="minorHAnsi"/>
          <w:color w:val="FF0000"/>
        </w:rPr>
        <w:t xml:space="preserve"> clinical </w:t>
      </w:r>
      <w:r w:rsidR="00AC3FAD">
        <w:rPr>
          <w:rFonts w:cstheme="minorHAnsi"/>
          <w:color w:val="FF0000"/>
        </w:rPr>
        <w:t>outcomes and reduced healthcare costs</w:t>
      </w:r>
      <w:r w:rsidR="00154257" w:rsidRPr="0082405E">
        <w:rPr>
          <w:color w:val="FF0000"/>
        </w:rPr>
        <w:t>.</w:t>
      </w:r>
      <w:r w:rsidR="00C4156E" w:rsidRPr="00C4156E">
        <w:rPr>
          <w:color w:val="FF0000"/>
          <w:vertAlign w:val="superscript"/>
        </w:rPr>
        <w:t>1</w:t>
      </w:r>
      <w:r w:rsidR="00B96D60">
        <w:rPr>
          <w:noProof/>
        </w:rPr>
        <w:drawing>
          <wp:inline distT="0" distB="0" distL="0" distR="0" wp14:anchorId="00B9E17E" wp14:editId="5A68E501">
            <wp:extent cx="5943600" cy="1857307"/>
            <wp:effectExtent l="1905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399DCC8F" w14:textId="77777777" w:rsidR="00C4156E" w:rsidRPr="00C4156E" w:rsidRDefault="00C4156E" w:rsidP="00C4156E">
      <w:pPr>
        <w:pStyle w:val="ListParagraph"/>
        <w:numPr>
          <w:ilvl w:val="0"/>
          <w:numId w:val="17"/>
        </w:numPr>
        <w:spacing w:after="0" w:line="240" w:lineRule="auto"/>
        <w:contextualSpacing w:val="0"/>
        <w:rPr>
          <w:color w:val="FF0000"/>
        </w:rPr>
      </w:pPr>
      <w:r w:rsidRPr="000E047C">
        <w:rPr>
          <w:rFonts w:eastAsia="Times New Roman" w:cstheme="minorHAnsi"/>
          <w:color w:val="FF0000"/>
        </w:rPr>
        <w:t xml:space="preserve">Lloyd JT, </w:t>
      </w:r>
      <w:proofErr w:type="spellStart"/>
      <w:r w:rsidRPr="000E047C">
        <w:rPr>
          <w:rFonts w:eastAsia="Times New Roman" w:cstheme="minorHAnsi"/>
          <w:color w:val="FF0000"/>
        </w:rPr>
        <w:t>Maresh</w:t>
      </w:r>
      <w:proofErr w:type="spellEnd"/>
      <w:r w:rsidRPr="000E047C">
        <w:rPr>
          <w:rFonts w:eastAsia="Times New Roman" w:cstheme="minorHAnsi"/>
          <w:color w:val="FF0000"/>
        </w:rPr>
        <w:t xml:space="preserve"> S, Powers CA, Shrank WH, Alley DE. How Much Does Medication Nonadherence Cost the Medicare Fee-for-Service Program? Med Care. </w:t>
      </w:r>
      <w:proofErr w:type="gramStart"/>
      <w:r w:rsidRPr="000E047C">
        <w:rPr>
          <w:rFonts w:eastAsia="Times New Roman" w:cstheme="minorHAnsi"/>
          <w:color w:val="FF0000"/>
        </w:rPr>
        <w:t>2019;57:218</w:t>
      </w:r>
      <w:proofErr w:type="gramEnd"/>
      <w:r w:rsidRPr="000E047C">
        <w:rPr>
          <w:rFonts w:eastAsia="Times New Roman" w:cstheme="minorHAnsi"/>
          <w:color w:val="FF0000"/>
        </w:rPr>
        <w:t xml:space="preserve">-24. PMID: </w:t>
      </w:r>
      <w:hyperlink r:id="rId21" w:history="1">
        <w:r w:rsidRPr="000E047C">
          <w:rPr>
            <w:rStyle w:val="Hyperlink"/>
            <w:rFonts w:cstheme="minorHAnsi"/>
            <w:color w:val="FF0000"/>
          </w:rPr>
          <w:t>30676355</w:t>
        </w:r>
      </w:hyperlink>
      <w:r w:rsidRPr="000E047C">
        <w:rPr>
          <w:rStyle w:val="Hyperlink"/>
          <w:rFonts w:cstheme="minorHAnsi"/>
          <w:color w:val="FF0000"/>
        </w:rPr>
        <w:t>.</w:t>
      </w:r>
    </w:p>
    <w:p w14:paraId="4EBC5CC8" w14:textId="72E95707" w:rsidR="00206D25" w:rsidRPr="00206D25" w:rsidRDefault="00206D25" w:rsidP="00206D25">
      <w:pPr>
        <w:pStyle w:val="ListParagraph"/>
        <w:numPr>
          <w:ilvl w:val="0"/>
          <w:numId w:val="17"/>
        </w:numPr>
        <w:autoSpaceDE w:val="0"/>
        <w:autoSpaceDN w:val="0"/>
        <w:adjustRightInd w:val="0"/>
        <w:spacing w:after="0" w:line="240" w:lineRule="auto"/>
        <w:rPr>
          <w:rFonts w:cstheme="minorHAnsi"/>
          <w:color w:val="FF0000"/>
        </w:rPr>
      </w:pPr>
      <w:r w:rsidRPr="000E047C">
        <w:rPr>
          <w:rFonts w:eastAsia="Times New Roman" w:cstheme="minorHAnsi"/>
          <w:color w:val="FF0000"/>
        </w:rPr>
        <w:t xml:space="preserve">Ritchey M, Chang A, Powers C, et al. Vital Signs: Disparities in Antihypertensive Medication Nonadherence Among Medicare Part D Beneficiaries - United States, 2014. MMWR </w:t>
      </w:r>
      <w:proofErr w:type="spellStart"/>
      <w:r w:rsidRPr="000E047C">
        <w:rPr>
          <w:rFonts w:eastAsia="Times New Roman" w:cstheme="minorHAnsi"/>
          <w:color w:val="FF0000"/>
        </w:rPr>
        <w:t>Morb</w:t>
      </w:r>
      <w:proofErr w:type="spellEnd"/>
      <w:r w:rsidRPr="000E047C">
        <w:rPr>
          <w:rFonts w:eastAsia="Times New Roman" w:cstheme="minorHAnsi"/>
          <w:color w:val="FF0000"/>
        </w:rPr>
        <w:t xml:space="preserve"> Mortal </w:t>
      </w:r>
      <w:proofErr w:type="spellStart"/>
      <w:r w:rsidRPr="000E047C">
        <w:rPr>
          <w:rFonts w:eastAsia="Times New Roman" w:cstheme="minorHAnsi"/>
          <w:color w:val="FF0000"/>
        </w:rPr>
        <w:t>Wkly</w:t>
      </w:r>
      <w:proofErr w:type="spellEnd"/>
      <w:r w:rsidRPr="000E047C">
        <w:rPr>
          <w:rFonts w:eastAsia="Times New Roman" w:cstheme="minorHAnsi"/>
          <w:color w:val="FF0000"/>
        </w:rPr>
        <w:t xml:space="preserve"> Rep. </w:t>
      </w:r>
      <w:proofErr w:type="gramStart"/>
      <w:r w:rsidRPr="000E047C">
        <w:rPr>
          <w:rFonts w:eastAsia="Times New Roman" w:cstheme="minorHAnsi"/>
          <w:color w:val="FF0000"/>
        </w:rPr>
        <w:t>2016;65:967</w:t>
      </w:r>
      <w:proofErr w:type="gramEnd"/>
      <w:r w:rsidRPr="000E047C">
        <w:rPr>
          <w:rFonts w:eastAsia="Times New Roman" w:cstheme="minorHAnsi"/>
          <w:color w:val="FF0000"/>
        </w:rPr>
        <w:t xml:space="preserve">-76. PMID: </w:t>
      </w:r>
      <w:hyperlink r:id="rId22" w:history="1">
        <w:r w:rsidRPr="000E047C">
          <w:rPr>
            <w:rStyle w:val="Hyperlink"/>
            <w:rFonts w:eastAsia="Times New Roman" w:cstheme="minorHAnsi"/>
            <w:color w:val="FF0000"/>
          </w:rPr>
          <w:t>27632693</w:t>
        </w:r>
      </w:hyperlink>
      <w:r w:rsidRPr="000E047C">
        <w:rPr>
          <w:rFonts w:eastAsia="Times New Roman" w:cstheme="minorHAnsi"/>
          <w:color w:val="FF0000"/>
        </w:rPr>
        <w:t>.</w:t>
      </w:r>
    </w:p>
    <w:p w14:paraId="09F3CA5E" w14:textId="599BF2BF" w:rsidR="009D26F7" w:rsidRDefault="00C4156E" w:rsidP="00C4156E">
      <w:pPr>
        <w:pStyle w:val="ListParagraph"/>
        <w:numPr>
          <w:ilvl w:val="0"/>
          <w:numId w:val="17"/>
        </w:numPr>
        <w:spacing w:after="0" w:line="240" w:lineRule="auto"/>
        <w:contextualSpacing w:val="0"/>
        <w:rPr>
          <w:color w:val="FF0000"/>
        </w:rPr>
      </w:pPr>
      <w:r w:rsidRPr="00C4156E">
        <w:rPr>
          <w:color w:val="FF0000"/>
        </w:rPr>
        <w:t xml:space="preserve">CMS. Part C and D Performance Data. Centers for Medicare &amp; Medicaid Services. Accessed on: 02/08/2019. Available at: </w:t>
      </w:r>
      <w:hyperlink r:id="rId23" w:history="1">
        <w:r w:rsidRPr="00C4156E">
          <w:rPr>
            <w:rStyle w:val="Hyperlink"/>
            <w:color w:val="FF0000"/>
          </w:rPr>
          <w:t>https://www.cms.gov/medicare/prescription-drug-coverage/prescriptiondrugcovgenin/performancedata.html</w:t>
        </w:r>
      </w:hyperlink>
      <w:r>
        <w:rPr>
          <w:color w:val="FF0000"/>
        </w:rPr>
        <w:t>.</w:t>
      </w:r>
    </w:p>
    <w:p w14:paraId="2384C010" w14:textId="0E251D14" w:rsidR="00AC3FAD" w:rsidRPr="00AC3FAD" w:rsidRDefault="00AC3FAD" w:rsidP="00AC3FAD">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FF0000"/>
        </w:rPr>
      </w:pPr>
      <w:r w:rsidRPr="00BF3BF6">
        <w:rPr>
          <w:rFonts w:cstheme="minorHAnsi"/>
          <w:color w:val="FF0000"/>
        </w:rPr>
        <w:lastRenderedPageBreak/>
        <w:t xml:space="preserve">Viswanathan M, </w:t>
      </w:r>
      <w:proofErr w:type="spellStart"/>
      <w:r w:rsidRPr="00BF3BF6">
        <w:rPr>
          <w:rFonts w:cstheme="minorHAnsi"/>
          <w:color w:val="FF0000"/>
        </w:rPr>
        <w:t>Golin</w:t>
      </w:r>
      <w:proofErr w:type="spellEnd"/>
      <w:r w:rsidRPr="00BF3BF6">
        <w:rPr>
          <w:rFonts w:cstheme="minorHAnsi"/>
          <w:color w:val="FF0000"/>
        </w:rPr>
        <w:t xml:space="preserve"> CE, Jones CD, et al. Interventions to improve adherence to self-administered medications for chronic diseases in the United States: a systematic review. Ann Intern Med. </w:t>
      </w:r>
      <w:proofErr w:type="gramStart"/>
      <w:r w:rsidRPr="00BF3BF6">
        <w:rPr>
          <w:rFonts w:cstheme="minorHAnsi"/>
          <w:color w:val="FF0000"/>
        </w:rPr>
        <w:t>2012;157:785</w:t>
      </w:r>
      <w:proofErr w:type="gramEnd"/>
      <w:r w:rsidRPr="00BF3BF6">
        <w:rPr>
          <w:rFonts w:cstheme="minorHAnsi"/>
          <w:color w:val="FF0000"/>
        </w:rPr>
        <w:t xml:space="preserve">-95. PMID: </w:t>
      </w:r>
      <w:hyperlink r:id="rId24" w:history="1">
        <w:r w:rsidRPr="00BF3BF6">
          <w:rPr>
            <w:rStyle w:val="Hyperlink"/>
            <w:rFonts w:cstheme="minorHAnsi"/>
            <w:color w:val="FF0000"/>
          </w:rPr>
          <w:t>22964778</w:t>
        </w:r>
      </w:hyperlink>
      <w:r w:rsidRPr="00BF3BF6">
        <w:rPr>
          <w:rFonts w:cstheme="minorHAnsi"/>
          <w:color w:val="FF0000"/>
        </w:rPr>
        <w:t>.</w:t>
      </w:r>
    </w:p>
    <w:p w14:paraId="4E5751E7" w14:textId="6EE90994" w:rsidR="00C4156E" w:rsidRPr="00AC3FAD" w:rsidRDefault="00AC3FAD" w:rsidP="00AC3FAD">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FF0000"/>
        </w:rPr>
      </w:pPr>
      <w:proofErr w:type="spellStart"/>
      <w:r w:rsidRPr="000E047C">
        <w:rPr>
          <w:rFonts w:eastAsia="Times New Roman" w:cstheme="minorHAnsi"/>
          <w:color w:val="FF0000"/>
        </w:rPr>
        <w:t>Kini</w:t>
      </w:r>
      <w:proofErr w:type="spellEnd"/>
      <w:r w:rsidRPr="000E047C">
        <w:rPr>
          <w:rFonts w:eastAsia="Times New Roman" w:cstheme="minorHAnsi"/>
          <w:color w:val="FF0000"/>
        </w:rPr>
        <w:t xml:space="preserve"> V, Ho PM. Interventions </w:t>
      </w:r>
      <w:r w:rsidRPr="00AC3FAD">
        <w:rPr>
          <w:rFonts w:eastAsia="Times New Roman" w:cstheme="minorHAnsi"/>
          <w:color w:val="FF0000"/>
        </w:rPr>
        <w:t xml:space="preserve">to Improve Medication Adherence: A Review. JAMA. </w:t>
      </w:r>
      <w:proofErr w:type="gramStart"/>
      <w:r w:rsidRPr="00AC3FAD">
        <w:rPr>
          <w:rFonts w:eastAsia="Times New Roman" w:cstheme="minorHAnsi"/>
          <w:color w:val="FF0000"/>
        </w:rPr>
        <w:t>2018;320:2461</w:t>
      </w:r>
      <w:proofErr w:type="gramEnd"/>
      <w:r w:rsidRPr="00AC3FAD">
        <w:rPr>
          <w:rFonts w:eastAsia="Times New Roman" w:cstheme="minorHAnsi"/>
          <w:color w:val="FF0000"/>
        </w:rPr>
        <w:t xml:space="preserve">-73. PMID: </w:t>
      </w:r>
      <w:hyperlink r:id="rId25" w:history="1">
        <w:r w:rsidRPr="00AC3FAD">
          <w:rPr>
            <w:rStyle w:val="Hyperlink"/>
            <w:color w:val="FF0000"/>
          </w:rPr>
          <w:t>30561486</w:t>
        </w:r>
      </w:hyperlink>
      <w:r w:rsidRPr="00AC3FAD">
        <w:rPr>
          <w:b/>
          <w:color w:val="FF0000"/>
        </w:rPr>
        <w:t>.</w:t>
      </w:r>
    </w:p>
    <w:p w14:paraId="59C3B624" w14:textId="77777777" w:rsidR="00AC3FAD" w:rsidRPr="00AC3FAD" w:rsidRDefault="00AC3FAD" w:rsidP="00AC3FA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firstLine="0"/>
        <w:rPr>
          <w:rFonts w:eastAsia="Times New Roman" w:cstheme="minorHAnsi"/>
          <w:color w:val="FF0000"/>
        </w:rPr>
      </w:pPr>
    </w:p>
    <w:p w14:paraId="68A731C4" w14:textId="77777777"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712D2030" w14:textId="5F02D1E1" w:rsidR="001F7FBB" w:rsidRPr="00BA0CDC" w:rsidRDefault="00BA0CDC" w:rsidP="00BA0CDC">
      <w:pPr>
        <w:ind w:right="140" w:firstLine="0"/>
        <w:rPr>
          <w:iCs/>
          <w:color w:val="0000FF"/>
        </w:rPr>
      </w:pPr>
      <w:r w:rsidRPr="00BA0CDC">
        <w:rPr>
          <w:iCs/>
          <w:color w:val="0000FF"/>
        </w:rPr>
        <w:t>N/A</w:t>
      </w:r>
    </w:p>
    <w:p w14:paraId="6B38D888" w14:textId="77777777" w:rsidR="004922E4" w:rsidRDefault="004922E4" w:rsidP="002E2177">
      <w:pPr>
        <w:ind w:left="432" w:hanging="432"/>
        <w:rPr>
          <w:b/>
          <w:color w:val="0000FF"/>
        </w:rPr>
      </w:pPr>
    </w:p>
    <w:p w14:paraId="7ED7C66C"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36E42887" w14:textId="77777777" w:rsidR="00676BD4" w:rsidRDefault="00676BD4" w:rsidP="002E2177">
      <w:pPr>
        <w:ind w:left="432" w:hanging="432"/>
        <w:rPr>
          <w:b/>
          <w:color w:val="0000FF"/>
        </w:rPr>
      </w:pPr>
    </w:p>
    <w:p w14:paraId="69F3904B" w14:textId="6BB340F6" w:rsidR="00496AF8" w:rsidRDefault="00B058A6" w:rsidP="00C41794">
      <w:pPr>
        <w:ind w:left="432" w:hanging="432"/>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3DCEDCCB" w14:textId="77777777" w:rsidR="00B5358B" w:rsidRPr="00C41794" w:rsidRDefault="00B5358B" w:rsidP="00B5358B">
      <w:pPr>
        <w:ind w:left="432" w:hanging="432"/>
        <w:rPr>
          <w:b/>
        </w:rPr>
      </w:pPr>
      <w:r>
        <w:rPr>
          <w:b/>
        </w:rPr>
        <w:tab/>
      </w:r>
      <w:r w:rsidRPr="00B5358B">
        <w:rPr>
          <w:color w:val="0000FF"/>
        </w:rPr>
        <w:t>N/A</w:t>
      </w:r>
    </w:p>
    <w:p w14:paraId="795616AF" w14:textId="77777777" w:rsidR="00676BD4" w:rsidRPr="00B5358B" w:rsidRDefault="00676BD4" w:rsidP="002E2177">
      <w:pPr>
        <w:ind w:left="0" w:firstLine="0"/>
        <w:rPr>
          <w:iCs/>
          <w:highlight w:val="green"/>
        </w:rPr>
      </w:pPr>
    </w:p>
    <w:p w14:paraId="76B139F2" w14:textId="064CC2CE"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sidRPr="00BA0CDC">
        <w:rPr>
          <w:b/>
          <w:iCs/>
          <w:color w:val="0000FF"/>
        </w:rPr>
        <w:t>SYSTEMATIC</w:t>
      </w:r>
      <w:r w:rsidR="00C41794">
        <w:rPr>
          <w:b/>
          <w:iCs/>
          <w:color w:val="0000FF"/>
        </w:rPr>
        <w:t xml:space="preserve">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0808FB38" w14:textId="77777777" w:rsidR="00496AF8" w:rsidRDefault="00496AF8" w:rsidP="002E2177">
      <w:pPr>
        <w:ind w:left="0" w:firstLine="0"/>
        <w:rPr>
          <w:i/>
          <w:iCs/>
        </w:rPr>
      </w:pPr>
    </w:p>
    <w:p w14:paraId="5B9A4206"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7E3C03D"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0752B8C2"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0B86A0BA"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46D0C687" w14:textId="77777777" w:rsidR="00A9011D" w:rsidRPr="000F4A7F" w:rsidRDefault="001F7FBB" w:rsidP="002E2177">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 xml:space="preserve">X </w:t>
      </w:r>
      <w:r w:rsidR="00A9011D" w:rsidRPr="00A9011D">
        <w:rPr>
          <w:rFonts w:ascii="Calibri" w:eastAsia="Calibri" w:hAnsi="Calibri" w:cs="Times New Roman"/>
        </w:rPr>
        <w:t xml:space="preserve">Other </w:t>
      </w:r>
    </w:p>
    <w:p w14:paraId="525D0368"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2C5AF709" w14:textId="77777777" w:rsidTr="00F90F82">
        <w:tc>
          <w:tcPr>
            <w:tcW w:w="4068" w:type="dxa"/>
          </w:tcPr>
          <w:p w14:paraId="555888DE" w14:textId="77777777" w:rsidR="00AB4ECE" w:rsidRPr="00AB4ECE" w:rsidRDefault="00AB4ECE" w:rsidP="002E2177">
            <w:pPr>
              <w:ind w:left="0" w:firstLine="0"/>
              <w:rPr>
                <w:b/>
              </w:rPr>
            </w:pPr>
            <w:r w:rsidRPr="00AB4ECE">
              <w:rPr>
                <w:b/>
              </w:rPr>
              <w:t>Source of Systematic Review:</w:t>
            </w:r>
          </w:p>
          <w:p w14:paraId="40878F8E" w14:textId="77777777" w:rsidR="00AB4ECE" w:rsidRPr="00AB4ECE" w:rsidRDefault="00AB4ECE" w:rsidP="00AB4ECE">
            <w:pPr>
              <w:pStyle w:val="ListParagraph"/>
              <w:numPr>
                <w:ilvl w:val="0"/>
                <w:numId w:val="9"/>
              </w:numPr>
              <w:rPr>
                <w:b/>
              </w:rPr>
            </w:pPr>
            <w:r w:rsidRPr="00AB4ECE">
              <w:rPr>
                <w:b/>
              </w:rPr>
              <w:t>Title</w:t>
            </w:r>
          </w:p>
          <w:p w14:paraId="2B9B0B6F" w14:textId="77777777" w:rsidR="00AB4ECE" w:rsidRPr="00AB4ECE" w:rsidRDefault="00AB4ECE" w:rsidP="00AB4ECE">
            <w:pPr>
              <w:pStyle w:val="ListParagraph"/>
              <w:numPr>
                <w:ilvl w:val="0"/>
                <w:numId w:val="9"/>
              </w:numPr>
              <w:rPr>
                <w:b/>
              </w:rPr>
            </w:pPr>
            <w:r w:rsidRPr="00AB4ECE">
              <w:rPr>
                <w:b/>
              </w:rPr>
              <w:t>Author</w:t>
            </w:r>
          </w:p>
          <w:p w14:paraId="76127AC9" w14:textId="77777777" w:rsidR="00AB4ECE" w:rsidRPr="00AB4ECE" w:rsidRDefault="00AB4ECE" w:rsidP="00AB4ECE">
            <w:pPr>
              <w:pStyle w:val="ListParagraph"/>
              <w:numPr>
                <w:ilvl w:val="0"/>
                <w:numId w:val="9"/>
              </w:numPr>
              <w:rPr>
                <w:b/>
              </w:rPr>
            </w:pPr>
            <w:r w:rsidRPr="00AB4ECE">
              <w:rPr>
                <w:b/>
              </w:rPr>
              <w:t>Date</w:t>
            </w:r>
          </w:p>
          <w:p w14:paraId="3DFD6C94" w14:textId="77777777" w:rsidR="00AB4ECE" w:rsidRPr="00AB4ECE" w:rsidRDefault="00AB4ECE" w:rsidP="00AB4ECE">
            <w:pPr>
              <w:pStyle w:val="ListParagraph"/>
              <w:numPr>
                <w:ilvl w:val="0"/>
                <w:numId w:val="9"/>
              </w:numPr>
              <w:rPr>
                <w:b/>
              </w:rPr>
            </w:pPr>
            <w:r w:rsidRPr="00AB4ECE">
              <w:rPr>
                <w:b/>
              </w:rPr>
              <w:t>Citation, including page number</w:t>
            </w:r>
          </w:p>
          <w:p w14:paraId="3E3B3179" w14:textId="77777777" w:rsidR="00AB4ECE" w:rsidRPr="00AB4ECE" w:rsidRDefault="00AB4ECE" w:rsidP="00AB4ECE">
            <w:pPr>
              <w:pStyle w:val="ListParagraph"/>
              <w:numPr>
                <w:ilvl w:val="0"/>
                <w:numId w:val="9"/>
              </w:numPr>
              <w:rPr>
                <w:b/>
              </w:rPr>
            </w:pPr>
            <w:r w:rsidRPr="00AB4ECE">
              <w:rPr>
                <w:b/>
              </w:rPr>
              <w:t>URL</w:t>
            </w:r>
          </w:p>
        </w:tc>
        <w:tc>
          <w:tcPr>
            <w:tcW w:w="5130" w:type="dxa"/>
          </w:tcPr>
          <w:p w14:paraId="7FE5C246" w14:textId="77777777" w:rsidR="00AB4ECE" w:rsidRPr="00AB4ECE" w:rsidRDefault="00AB4ECE" w:rsidP="002E2177">
            <w:pPr>
              <w:ind w:left="0" w:firstLine="0"/>
              <w:rPr>
                <w:b/>
              </w:rPr>
            </w:pPr>
          </w:p>
        </w:tc>
      </w:tr>
      <w:tr w:rsidR="00AB4ECE" w14:paraId="4BD48A08" w14:textId="77777777" w:rsidTr="00F90F82">
        <w:tc>
          <w:tcPr>
            <w:tcW w:w="4068" w:type="dxa"/>
          </w:tcPr>
          <w:p w14:paraId="38C3D4A2"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4BC125D0" w14:textId="77777777" w:rsidR="00AB4ECE" w:rsidRDefault="00AB4ECE" w:rsidP="002E2177">
            <w:pPr>
              <w:ind w:left="0" w:firstLine="0"/>
            </w:pPr>
          </w:p>
        </w:tc>
      </w:tr>
      <w:tr w:rsidR="00AB4ECE" w14:paraId="18D318BD" w14:textId="77777777" w:rsidTr="00F90F82">
        <w:tc>
          <w:tcPr>
            <w:tcW w:w="4068" w:type="dxa"/>
          </w:tcPr>
          <w:p w14:paraId="33C03D35"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70F8EE19" w14:textId="77777777" w:rsidR="00AB4ECE" w:rsidRDefault="00AB4ECE" w:rsidP="002E2177">
            <w:pPr>
              <w:ind w:left="0" w:firstLine="0"/>
            </w:pPr>
          </w:p>
        </w:tc>
      </w:tr>
      <w:tr w:rsidR="00AB4ECE" w14:paraId="1F12C4B5" w14:textId="77777777" w:rsidTr="00F90F82">
        <w:tc>
          <w:tcPr>
            <w:tcW w:w="4068" w:type="dxa"/>
          </w:tcPr>
          <w:p w14:paraId="7568D49D" w14:textId="77777777" w:rsidR="00AB4ECE" w:rsidRDefault="00AB4ECE" w:rsidP="00E42FAA">
            <w:pPr>
              <w:ind w:left="0" w:firstLine="0"/>
            </w:pPr>
            <w:r>
              <w:t>Provide all other grades and definitions from the evidence grading system</w:t>
            </w:r>
          </w:p>
        </w:tc>
        <w:tc>
          <w:tcPr>
            <w:tcW w:w="5130" w:type="dxa"/>
          </w:tcPr>
          <w:p w14:paraId="51B16F97" w14:textId="77777777" w:rsidR="00AB4ECE" w:rsidRDefault="00AB4ECE" w:rsidP="002E2177">
            <w:pPr>
              <w:ind w:left="0" w:firstLine="0"/>
            </w:pPr>
          </w:p>
        </w:tc>
      </w:tr>
      <w:tr w:rsidR="00AB4ECE" w14:paraId="782EB7BE" w14:textId="77777777" w:rsidTr="00F90F82">
        <w:tc>
          <w:tcPr>
            <w:tcW w:w="4068" w:type="dxa"/>
          </w:tcPr>
          <w:p w14:paraId="2E1106DB"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E40D4C0" w14:textId="77777777" w:rsidR="00AB4ECE" w:rsidRDefault="00AB4ECE" w:rsidP="002E2177">
            <w:pPr>
              <w:ind w:left="0" w:firstLine="0"/>
            </w:pPr>
          </w:p>
        </w:tc>
      </w:tr>
      <w:tr w:rsidR="00AB4ECE" w14:paraId="7F8C8BF6" w14:textId="77777777" w:rsidTr="00F90F82">
        <w:tc>
          <w:tcPr>
            <w:tcW w:w="4068" w:type="dxa"/>
          </w:tcPr>
          <w:p w14:paraId="334BE6BD" w14:textId="77777777" w:rsidR="00AB4ECE" w:rsidRDefault="00AB4ECE" w:rsidP="00E42FAA">
            <w:pPr>
              <w:ind w:left="0" w:firstLine="0"/>
            </w:pPr>
            <w:r>
              <w:t>Provide all other grades and definitions from the recommendation grading system</w:t>
            </w:r>
          </w:p>
        </w:tc>
        <w:tc>
          <w:tcPr>
            <w:tcW w:w="5130" w:type="dxa"/>
          </w:tcPr>
          <w:p w14:paraId="01DFBE1A" w14:textId="77777777" w:rsidR="00AB4ECE" w:rsidRDefault="00AB4ECE" w:rsidP="002E2177">
            <w:pPr>
              <w:ind w:left="0" w:firstLine="0"/>
            </w:pPr>
          </w:p>
        </w:tc>
      </w:tr>
      <w:tr w:rsidR="00AB4ECE" w14:paraId="0F22343A" w14:textId="77777777" w:rsidTr="00F90F82">
        <w:tc>
          <w:tcPr>
            <w:tcW w:w="4068" w:type="dxa"/>
          </w:tcPr>
          <w:p w14:paraId="4DE25621" w14:textId="77777777" w:rsidR="00AB4ECE" w:rsidRDefault="000E5C93" w:rsidP="002E2177">
            <w:pPr>
              <w:ind w:left="0" w:firstLine="0"/>
            </w:pPr>
            <w:r>
              <w:t>Body of evidence:</w:t>
            </w:r>
          </w:p>
          <w:p w14:paraId="7F0F00D5" w14:textId="77777777" w:rsidR="000E5C93" w:rsidRDefault="000E5C93" w:rsidP="000E5C93">
            <w:pPr>
              <w:pStyle w:val="ListParagraph"/>
              <w:numPr>
                <w:ilvl w:val="0"/>
                <w:numId w:val="10"/>
              </w:numPr>
            </w:pPr>
            <w:r>
              <w:t>Quantity – how many studies?</w:t>
            </w:r>
          </w:p>
          <w:p w14:paraId="7D9FEB34" w14:textId="77777777" w:rsidR="000E5C93" w:rsidRDefault="000E5C93" w:rsidP="000E5C93">
            <w:pPr>
              <w:pStyle w:val="ListParagraph"/>
              <w:numPr>
                <w:ilvl w:val="0"/>
                <w:numId w:val="10"/>
              </w:numPr>
            </w:pPr>
            <w:r>
              <w:t>Quality – what type of studies?</w:t>
            </w:r>
          </w:p>
        </w:tc>
        <w:tc>
          <w:tcPr>
            <w:tcW w:w="5130" w:type="dxa"/>
          </w:tcPr>
          <w:p w14:paraId="7B0F2598" w14:textId="77777777" w:rsidR="00AB4ECE" w:rsidRDefault="00AB4ECE" w:rsidP="002E2177">
            <w:pPr>
              <w:ind w:left="0" w:firstLine="0"/>
            </w:pPr>
          </w:p>
        </w:tc>
      </w:tr>
      <w:tr w:rsidR="00AB4ECE" w14:paraId="2485943F" w14:textId="77777777" w:rsidTr="00F90F82">
        <w:tc>
          <w:tcPr>
            <w:tcW w:w="4068" w:type="dxa"/>
          </w:tcPr>
          <w:p w14:paraId="2E3A603A" w14:textId="77777777" w:rsidR="00AB4ECE" w:rsidRDefault="000E5C93" w:rsidP="002E2177">
            <w:pPr>
              <w:ind w:left="0" w:firstLine="0"/>
            </w:pPr>
            <w:r>
              <w:t xml:space="preserve">Estimates of benefit and consistency across studies </w:t>
            </w:r>
          </w:p>
        </w:tc>
        <w:tc>
          <w:tcPr>
            <w:tcW w:w="5130" w:type="dxa"/>
          </w:tcPr>
          <w:p w14:paraId="108A4BAB" w14:textId="77777777" w:rsidR="00AB4ECE" w:rsidRDefault="00AB4ECE" w:rsidP="002E2177">
            <w:pPr>
              <w:ind w:left="0" w:firstLine="0"/>
            </w:pPr>
          </w:p>
        </w:tc>
      </w:tr>
      <w:tr w:rsidR="000E5C93" w14:paraId="2FFA850D" w14:textId="77777777" w:rsidTr="00F90F82">
        <w:tc>
          <w:tcPr>
            <w:tcW w:w="4068" w:type="dxa"/>
          </w:tcPr>
          <w:p w14:paraId="33950669" w14:textId="77777777" w:rsidR="000E5C93" w:rsidRDefault="000E5C93" w:rsidP="002E2177">
            <w:pPr>
              <w:ind w:left="0" w:firstLine="0"/>
            </w:pPr>
            <w:r>
              <w:t>What harms were identified?</w:t>
            </w:r>
          </w:p>
        </w:tc>
        <w:tc>
          <w:tcPr>
            <w:tcW w:w="5130" w:type="dxa"/>
          </w:tcPr>
          <w:p w14:paraId="7723B598" w14:textId="77777777" w:rsidR="000E5C93" w:rsidRDefault="000E5C93" w:rsidP="002E2177">
            <w:pPr>
              <w:ind w:left="0" w:firstLine="0"/>
            </w:pPr>
          </w:p>
        </w:tc>
      </w:tr>
      <w:tr w:rsidR="000E5C93" w14:paraId="49CD005E" w14:textId="77777777" w:rsidTr="00F90F82">
        <w:tc>
          <w:tcPr>
            <w:tcW w:w="4068" w:type="dxa"/>
          </w:tcPr>
          <w:p w14:paraId="38CF0EE0" w14:textId="77777777" w:rsidR="000E5C93" w:rsidRDefault="000E5C93" w:rsidP="000E5C93">
            <w:pPr>
              <w:ind w:left="0" w:firstLine="0"/>
            </w:pPr>
            <w:r>
              <w:t>Identify any new studies conducted since the SR. Do the new studies change the conclusions from the SR?</w:t>
            </w:r>
          </w:p>
        </w:tc>
        <w:tc>
          <w:tcPr>
            <w:tcW w:w="5130" w:type="dxa"/>
          </w:tcPr>
          <w:p w14:paraId="7A7A8854" w14:textId="77777777" w:rsidR="000E5C93" w:rsidRDefault="000E5C93" w:rsidP="002E2177">
            <w:pPr>
              <w:ind w:left="0" w:firstLine="0"/>
            </w:pPr>
          </w:p>
        </w:tc>
      </w:tr>
    </w:tbl>
    <w:p w14:paraId="5893E7BF" w14:textId="77777777" w:rsidR="007C1887" w:rsidRPr="003B1CC5" w:rsidRDefault="007C1887" w:rsidP="002E2177">
      <w:pPr>
        <w:ind w:left="0" w:firstLine="0"/>
      </w:pPr>
    </w:p>
    <w:p w14:paraId="3D2E5CCF" w14:textId="77777777" w:rsidR="0094689F" w:rsidRPr="003B1CC5" w:rsidRDefault="00925F11" w:rsidP="002E2177">
      <w:pPr>
        <w:ind w:left="0" w:firstLine="0"/>
        <w:rPr>
          <w:b/>
          <w:color w:val="0070C0"/>
        </w:rPr>
      </w:pPr>
      <w:r w:rsidRPr="003B1CC5">
        <w:rPr>
          <w:b/>
          <w:iCs/>
          <w:caps/>
        </w:rPr>
        <w:t>________________________</w:t>
      </w:r>
    </w:p>
    <w:p w14:paraId="36AB438C"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634B1D3C"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3AD7CA8" w14:textId="4AAC2437" w:rsidR="00837121" w:rsidRPr="00DE6DEF" w:rsidRDefault="00F33C27" w:rsidP="002E2177">
      <w:pPr>
        <w:ind w:left="0" w:firstLine="0"/>
        <w:rPr>
          <w:color w:val="0000FF"/>
        </w:rPr>
      </w:pPr>
      <w:r w:rsidRPr="00DE6DEF">
        <w:rPr>
          <w:color w:val="0000FF"/>
        </w:rPr>
        <w:t>The evidence</w:t>
      </w:r>
      <w:r w:rsidR="00DE6DEF" w:rsidRPr="00DE6DEF">
        <w:rPr>
          <w:color w:val="0000FF"/>
        </w:rPr>
        <w:t xml:space="preserve"> supporting this measure is from</w:t>
      </w:r>
      <w:r w:rsidR="005437BC" w:rsidRPr="00DE6DEF">
        <w:rPr>
          <w:color w:val="0000FF"/>
        </w:rPr>
        <w:t xml:space="preserve"> </w:t>
      </w:r>
      <w:r w:rsidR="00DE6DEF" w:rsidRPr="00DE6DEF">
        <w:rPr>
          <w:color w:val="0000FF"/>
        </w:rPr>
        <w:t>published studies.</w:t>
      </w:r>
    </w:p>
    <w:p w14:paraId="41942E85" w14:textId="77777777" w:rsidR="001F7FBB" w:rsidRPr="003B1CC5" w:rsidRDefault="001F7FBB" w:rsidP="002E2177">
      <w:pPr>
        <w:ind w:left="0" w:firstLine="0"/>
      </w:pPr>
    </w:p>
    <w:p w14:paraId="6CC976F6"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07E5A29F" w14:textId="77777777" w:rsidR="000E5C93" w:rsidRPr="001D58F8" w:rsidRDefault="000E5C93" w:rsidP="001D58F8">
      <w:pPr>
        <w:ind w:left="0" w:firstLine="0"/>
        <w:rPr>
          <w:b/>
        </w:rPr>
      </w:pPr>
    </w:p>
    <w:p w14:paraId="0F9C6CEE" w14:textId="7BFBFF42" w:rsidR="008A379D" w:rsidRPr="001D58F8" w:rsidRDefault="008A379D" w:rsidP="001D58F8">
      <w:pPr>
        <w:widowControl w:val="0"/>
        <w:tabs>
          <w:tab w:val="left" w:pos="940"/>
          <w:tab w:val="left" w:pos="1440"/>
        </w:tabs>
        <w:autoSpaceDE w:val="0"/>
        <w:autoSpaceDN w:val="0"/>
        <w:adjustRightInd w:val="0"/>
        <w:ind w:left="0" w:firstLine="0"/>
        <w:contextualSpacing/>
        <w:rPr>
          <w:rFonts w:cs="Calibri"/>
          <w:color w:val="FF0000"/>
        </w:rPr>
      </w:pPr>
      <w:r w:rsidRPr="001D58F8">
        <w:rPr>
          <w:rFonts w:cs="Calibri"/>
          <w:color w:val="FF0000"/>
        </w:rPr>
        <w:t xml:space="preserve">Each medication class </w:t>
      </w:r>
      <w:r w:rsidR="003A5CBF" w:rsidRPr="001D58F8">
        <w:rPr>
          <w:rFonts w:cs="Calibri"/>
          <w:color w:val="FF0000"/>
        </w:rPr>
        <w:t xml:space="preserve">included in this measure </w:t>
      </w:r>
      <w:r w:rsidRPr="001D58F8">
        <w:rPr>
          <w:rFonts w:cs="Calibri"/>
          <w:color w:val="FF0000"/>
        </w:rPr>
        <w:t>aligns with a</w:t>
      </w:r>
      <w:r w:rsidR="00BF008E" w:rsidRPr="001D58F8">
        <w:rPr>
          <w:rFonts w:cs="Calibri"/>
          <w:color w:val="FF0000"/>
        </w:rPr>
        <w:t xml:space="preserve"> </w:t>
      </w:r>
      <w:r w:rsidR="00414BE9" w:rsidRPr="001D58F8">
        <w:rPr>
          <w:rFonts w:cs="Calibri"/>
          <w:color w:val="FF0000"/>
        </w:rPr>
        <w:t xml:space="preserve">common chronic </w:t>
      </w:r>
      <w:r w:rsidRPr="001D58F8">
        <w:rPr>
          <w:rFonts w:cs="Calibri"/>
          <w:color w:val="FF0000"/>
        </w:rPr>
        <w:t xml:space="preserve">medical condition: diabetes agents for diabetes, </w:t>
      </w:r>
      <w:r w:rsidR="003A5CBF" w:rsidRPr="001D58F8">
        <w:rPr>
          <w:rFonts w:cs="Calibri"/>
          <w:color w:val="FF0000"/>
        </w:rPr>
        <w:t>renin-angiotensin system antagonists (</w:t>
      </w:r>
      <w:r w:rsidRPr="001D58F8">
        <w:rPr>
          <w:rFonts w:cs="Calibri"/>
          <w:color w:val="FF0000"/>
        </w:rPr>
        <w:t>RASA</w:t>
      </w:r>
      <w:r w:rsidR="003A5CBF" w:rsidRPr="001D58F8">
        <w:rPr>
          <w:rFonts w:cs="Calibri"/>
          <w:color w:val="FF0000"/>
        </w:rPr>
        <w:t>)</w:t>
      </w:r>
      <w:r w:rsidRPr="001D58F8">
        <w:rPr>
          <w:rFonts w:cs="Calibri"/>
          <w:color w:val="FF0000"/>
        </w:rPr>
        <w:t xml:space="preserve"> for hypertension, and statins for hyperlipidemia</w:t>
      </w:r>
      <w:r w:rsidR="003A5CBF" w:rsidRPr="001D58F8">
        <w:rPr>
          <w:rFonts w:cs="Calibri"/>
          <w:color w:val="FF0000"/>
        </w:rPr>
        <w:t xml:space="preserve">. </w:t>
      </w:r>
      <w:r w:rsidR="00BF008E" w:rsidRPr="001D58F8">
        <w:rPr>
          <w:rFonts w:cs="Calibri"/>
          <w:color w:val="FF0000"/>
        </w:rPr>
        <w:t>M</w:t>
      </w:r>
      <w:r w:rsidR="003A5CBF" w:rsidRPr="001D58F8">
        <w:rPr>
          <w:rFonts w:cs="Calibri"/>
          <w:color w:val="FF0000"/>
        </w:rPr>
        <w:t xml:space="preserve">edication </w:t>
      </w:r>
      <w:r w:rsidR="00414BE9" w:rsidRPr="001D58F8">
        <w:rPr>
          <w:rFonts w:cs="Calibri"/>
          <w:color w:val="FF0000"/>
        </w:rPr>
        <w:t>therapy i</w:t>
      </w:r>
      <w:r w:rsidR="003A5CBF" w:rsidRPr="001D58F8">
        <w:rPr>
          <w:rFonts w:cs="Calibri"/>
          <w:color w:val="FF0000"/>
        </w:rPr>
        <w:t>s recommended as a mainstay of treatment</w:t>
      </w:r>
      <w:r w:rsidR="00BF008E" w:rsidRPr="001D58F8">
        <w:rPr>
          <w:rFonts w:cs="Calibri"/>
          <w:color w:val="FF0000"/>
        </w:rPr>
        <w:t xml:space="preserve"> for these conditions</w:t>
      </w:r>
      <w:r w:rsidR="003A5CBF" w:rsidRPr="001D58F8">
        <w:rPr>
          <w:rFonts w:cs="Calibri"/>
          <w:color w:val="FF0000"/>
        </w:rPr>
        <w:t xml:space="preserve"> and clinical guidelines emphasize the importance of adherence to medications</w:t>
      </w:r>
      <w:r w:rsidR="0069498A" w:rsidRPr="001D58F8">
        <w:rPr>
          <w:rFonts w:cs="Calibri"/>
          <w:color w:val="FF0000"/>
        </w:rPr>
        <w:t xml:space="preserve"> to achieve optimal outcomes</w:t>
      </w:r>
      <w:r w:rsidR="003A5CBF" w:rsidRPr="001D58F8">
        <w:rPr>
          <w:rFonts w:cs="Calibri"/>
          <w:color w:val="FF0000"/>
        </w:rPr>
        <w:t>.</w:t>
      </w:r>
      <w:r w:rsidR="00BA0CDC" w:rsidRPr="001D58F8">
        <w:rPr>
          <w:rFonts w:cs="Calibri"/>
          <w:color w:val="FF0000"/>
          <w:vertAlign w:val="superscript"/>
        </w:rPr>
        <w:t>1</w:t>
      </w:r>
      <w:r w:rsidR="00BF5C5F" w:rsidRPr="001D58F8">
        <w:rPr>
          <w:rFonts w:cs="Calibri"/>
          <w:color w:val="FF0000"/>
          <w:vertAlign w:val="superscript"/>
        </w:rPr>
        <w:t>-6</w:t>
      </w:r>
      <w:r w:rsidR="001453F8" w:rsidRPr="001D58F8">
        <w:rPr>
          <w:rFonts w:cs="Calibri"/>
          <w:color w:val="FF0000"/>
        </w:rPr>
        <w:t xml:space="preserve"> </w:t>
      </w:r>
      <w:r w:rsidR="005A19FC" w:rsidRPr="001D58F8">
        <w:rPr>
          <w:rFonts w:cstheme="minorHAnsi"/>
          <w:color w:val="FF0000"/>
        </w:rPr>
        <w:t>E</w:t>
      </w:r>
      <w:r w:rsidR="005A19FC" w:rsidRPr="001D58F8">
        <w:rPr>
          <w:rFonts w:eastAsia="Times New Roman" w:cstheme="minorHAnsi"/>
          <w:bCs/>
          <w:color w:val="FF0000"/>
          <w:kern w:val="36"/>
        </w:rPr>
        <w:t xml:space="preserve">vidence correlates </w:t>
      </w:r>
      <w:r w:rsidR="00414BE9" w:rsidRPr="001D58F8">
        <w:rPr>
          <w:rFonts w:eastAsia="Times New Roman" w:cstheme="minorHAnsi"/>
          <w:bCs/>
          <w:color w:val="FF0000"/>
          <w:kern w:val="36"/>
        </w:rPr>
        <w:t xml:space="preserve">medication </w:t>
      </w:r>
      <w:r w:rsidR="005A19FC" w:rsidRPr="001D58F8">
        <w:rPr>
          <w:rFonts w:eastAsia="Times New Roman" w:cstheme="minorHAnsi"/>
          <w:bCs/>
          <w:color w:val="FF0000"/>
          <w:kern w:val="36"/>
        </w:rPr>
        <w:t>adherence</w:t>
      </w:r>
      <w:r w:rsidR="00DA628F" w:rsidRPr="001D58F8">
        <w:rPr>
          <w:rFonts w:eastAsia="Times New Roman" w:cstheme="minorHAnsi"/>
          <w:bCs/>
          <w:color w:val="FF0000"/>
          <w:kern w:val="36"/>
        </w:rPr>
        <w:t>, most commonly evaluated using the proportion of days covered (PDC) methodology,</w:t>
      </w:r>
      <w:r w:rsidR="005A19FC" w:rsidRPr="001D58F8">
        <w:rPr>
          <w:rFonts w:eastAsia="Times New Roman" w:cstheme="minorHAnsi"/>
          <w:bCs/>
          <w:color w:val="FF0000"/>
          <w:kern w:val="36"/>
        </w:rPr>
        <w:t xml:space="preserve"> to improved clinical outcomes and decrease</w:t>
      </w:r>
      <w:r w:rsidR="00B5358B" w:rsidRPr="001D58F8">
        <w:rPr>
          <w:rFonts w:eastAsia="Times New Roman" w:cstheme="minorHAnsi"/>
          <w:bCs/>
          <w:color w:val="FF0000"/>
          <w:kern w:val="36"/>
        </w:rPr>
        <w:t>d</w:t>
      </w:r>
      <w:r w:rsidR="005A19FC" w:rsidRPr="001D58F8">
        <w:rPr>
          <w:rFonts w:eastAsia="Times New Roman" w:cstheme="minorHAnsi"/>
          <w:bCs/>
          <w:color w:val="FF0000"/>
          <w:kern w:val="36"/>
        </w:rPr>
        <w:t xml:space="preserve"> healthcare costs</w:t>
      </w:r>
      <w:r w:rsidR="00DA628F" w:rsidRPr="001D58F8">
        <w:rPr>
          <w:rFonts w:eastAsia="Times New Roman" w:cstheme="minorHAnsi"/>
          <w:bCs/>
          <w:color w:val="FF0000"/>
          <w:kern w:val="36"/>
        </w:rPr>
        <w:t xml:space="preserve"> (see evidence summarized below</w:t>
      </w:r>
      <w:r w:rsidR="003550EA" w:rsidRPr="001D58F8">
        <w:rPr>
          <w:rFonts w:eastAsia="Times New Roman" w:cstheme="minorHAnsi"/>
          <w:bCs/>
          <w:color w:val="FF0000"/>
          <w:kern w:val="36"/>
        </w:rPr>
        <w:t>)</w:t>
      </w:r>
      <w:r w:rsidR="00B5358B" w:rsidRPr="001D58F8">
        <w:rPr>
          <w:rFonts w:eastAsia="Times New Roman" w:cstheme="minorHAnsi"/>
          <w:bCs/>
          <w:color w:val="FF0000"/>
          <w:kern w:val="36"/>
        </w:rPr>
        <w:t>.</w:t>
      </w:r>
      <w:r w:rsidR="000E2572" w:rsidRPr="001D58F8">
        <w:rPr>
          <w:rFonts w:cs="Calibri"/>
          <w:color w:val="FF0000"/>
        </w:rPr>
        <w:t xml:space="preserve"> </w:t>
      </w:r>
      <w:r w:rsidR="00B5358B" w:rsidRPr="001D58F8">
        <w:rPr>
          <w:rFonts w:cs="Calibri"/>
          <w:color w:val="FF0000"/>
        </w:rPr>
        <w:t>A</w:t>
      </w:r>
      <w:r w:rsidR="00414BE9" w:rsidRPr="001D58F8">
        <w:rPr>
          <w:rFonts w:cs="Calibri"/>
          <w:color w:val="FF0000"/>
        </w:rPr>
        <w:t xml:space="preserve">dherence to diabetes medications, RASA, and statins remains </w:t>
      </w:r>
      <w:r w:rsidR="00DA628F" w:rsidRPr="001D58F8">
        <w:rPr>
          <w:rFonts w:cs="Calibri"/>
          <w:color w:val="FF0000"/>
        </w:rPr>
        <w:t>suboptimal,</w:t>
      </w:r>
      <w:r w:rsidR="00414BE9" w:rsidRPr="001D58F8">
        <w:rPr>
          <w:rFonts w:cs="Calibri"/>
          <w:color w:val="FF0000"/>
        </w:rPr>
        <w:t xml:space="preserve"> with </w:t>
      </w:r>
      <w:r w:rsidR="00DA628F" w:rsidRPr="001D58F8">
        <w:rPr>
          <w:rFonts w:cs="Calibri"/>
          <w:color w:val="FF0000"/>
        </w:rPr>
        <w:t xml:space="preserve">demonstrable </w:t>
      </w:r>
      <w:r w:rsidR="00414BE9" w:rsidRPr="001D58F8">
        <w:rPr>
          <w:rFonts w:cs="Calibri"/>
          <w:color w:val="FF0000"/>
        </w:rPr>
        <w:t>opportunity for improvement.</w:t>
      </w:r>
      <w:r w:rsidR="00BF5C5F" w:rsidRPr="001D58F8">
        <w:rPr>
          <w:rFonts w:cs="Calibri"/>
          <w:color w:val="FF0000"/>
          <w:vertAlign w:val="superscript"/>
        </w:rPr>
        <w:t>7</w:t>
      </w:r>
      <w:r w:rsidR="00206D25" w:rsidRPr="001D58F8">
        <w:rPr>
          <w:rFonts w:cs="Calibri"/>
          <w:color w:val="FF0000"/>
          <w:vertAlign w:val="superscript"/>
        </w:rPr>
        <w:t>-</w:t>
      </w:r>
      <w:r w:rsidR="00BF5C5F" w:rsidRPr="001D58F8">
        <w:rPr>
          <w:rFonts w:cs="Calibri"/>
          <w:color w:val="FF0000"/>
          <w:vertAlign w:val="superscript"/>
        </w:rPr>
        <w:t>9</w:t>
      </w:r>
    </w:p>
    <w:p w14:paraId="7F0B9EA7" w14:textId="77777777" w:rsidR="00414BE9" w:rsidRPr="001D58F8" w:rsidRDefault="00414BE9" w:rsidP="001D58F8">
      <w:pPr>
        <w:widowControl w:val="0"/>
        <w:tabs>
          <w:tab w:val="left" w:pos="940"/>
          <w:tab w:val="left" w:pos="1440"/>
        </w:tabs>
        <w:autoSpaceDE w:val="0"/>
        <w:autoSpaceDN w:val="0"/>
        <w:adjustRightInd w:val="0"/>
        <w:ind w:left="0" w:firstLine="0"/>
        <w:contextualSpacing/>
        <w:rPr>
          <w:rFonts w:cs="Calibri"/>
          <w:color w:val="FF0000"/>
        </w:rPr>
      </w:pPr>
    </w:p>
    <w:p w14:paraId="7BD275B5" w14:textId="77777777" w:rsidR="0069498A" w:rsidRPr="001D58F8" w:rsidRDefault="0069498A" w:rsidP="001D58F8">
      <w:pPr>
        <w:ind w:left="0" w:firstLine="0"/>
        <w:rPr>
          <w:b/>
          <w:color w:val="FF0000"/>
        </w:rPr>
      </w:pPr>
      <w:r w:rsidRPr="001D58F8">
        <w:rPr>
          <w:b/>
          <w:color w:val="FF0000"/>
        </w:rPr>
        <w:t xml:space="preserve">Proportion of Days Covered </w:t>
      </w:r>
      <w:r w:rsidR="0054760B" w:rsidRPr="001D58F8">
        <w:rPr>
          <w:b/>
          <w:color w:val="FF0000"/>
        </w:rPr>
        <w:t>Methodology for</w:t>
      </w:r>
      <w:r w:rsidRPr="001D58F8">
        <w:rPr>
          <w:b/>
          <w:color w:val="FF0000"/>
        </w:rPr>
        <w:t xml:space="preserve"> Medication Adherence</w:t>
      </w:r>
    </w:p>
    <w:p w14:paraId="15E71D76" w14:textId="105AF81B" w:rsidR="009C0BCC" w:rsidRPr="001D58F8" w:rsidRDefault="007E5FBA" w:rsidP="001D58F8">
      <w:pPr>
        <w:shd w:val="clear" w:color="auto" w:fill="FFFFFF"/>
        <w:ind w:left="0" w:firstLine="0"/>
        <w:rPr>
          <w:rFonts w:cstheme="minorHAnsi"/>
          <w:color w:val="FF0000"/>
        </w:rPr>
      </w:pPr>
      <w:r w:rsidRPr="001D58F8">
        <w:rPr>
          <w:rFonts w:cstheme="minorHAnsi"/>
          <w:color w:val="FF0000"/>
        </w:rPr>
        <w:t xml:space="preserve">The </w:t>
      </w:r>
      <w:r w:rsidR="00414BE9" w:rsidRPr="001D58F8">
        <w:rPr>
          <w:rFonts w:cstheme="minorHAnsi"/>
          <w:color w:val="FF0000"/>
        </w:rPr>
        <w:t xml:space="preserve">PDC and medication possession ratio (MPR) </w:t>
      </w:r>
      <w:r w:rsidRPr="001D58F8">
        <w:rPr>
          <w:rFonts w:cstheme="minorHAnsi"/>
          <w:color w:val="FF0000"/>
        </w:rPr>
        <w:t xml:space="preserve">are </w:t>
      </w:r>
      <w:r w:rsidR="008D04F8" w:rsidRPr="001D58F8">
        <w:rPr>
          <w:rFonts w:cstheme="minorHAnsi"/>
          <w:color w:val="FF0000"/>
        </w:rPr>
        <w:t xml:space="preserve">the two most commonly used methodologies to </w:t>
      </w:r>
      <w:r w:rsidR="002A7FC0" w:rsidRPr="001D58F8">
        <w:rPr>
          <w:rFonts w:cstheme="minorHAnsi"/>
          <w:color w:val="FF0000"/>
        </w:rPr>
        <w:t>characterize</w:t>
      </w:r>
      <w:r w:rsidR="008D04F8" w:rsidRPr="001D58F8">
        <w:rPr>
          <w:rFonts w:cstheme="minorHAnsi"/>
          <w:color w:val="FF0000"/>
        </w:rPr>
        <w:t xml:space="preserve"> medication adherence in the published literature</w:t>
      </w:r>
      <w:r w:rsidR="00206D25" w:rsidRPr="001D58F8">
        <w:rPr>
          <w:rFonts w:cstheme="minorHAnsi"/>
          <w:color w:val="FF0000"/>
        </w:rPr>
        <w:t>.</w:t>
      </w:r>
      <w:r w:rsidR="00206D25" w:rsidRPr="001D58F8">
        <w:rPr>
          <w:rFonts w:cstheme="minorHAnsi"/>
          <w:color w:val="FF0000"/>
          <w:vertAlign w:val="superscript"/>
        </w:rPr>
        <w:t>10</w:t>
      </w:r>
      <w:r w:rsidR="008D04F8" w:rsidRPr="001D58F8">
        <w:rPr>
          <w:rFonts w:cstheme="minorHAnsi"/>
          <w:color w:val="FF0000"/>
        </w:rPr>
        <w:t xml:space="preserve"> </w:t>
      </w:r>
      <w:r w:rsidR="00F33516" w:rsidRPr="001D58F8">
        <w:rPr>
          <w:rFonts w:cstheme="minorHAnsi"/>
          <w:color w:val="FF0000"/>
        </w:rPr>
        <w:t>Compared to other adherence estimates, the MPR and PDC</w:t>
      </w:r>
      <w:r w:rsidR="008214C0" w:rsidRPr="001D58F8">
        <w:rPr>
          <w:rFonts w:cstheme="minorHAnsi"/>
          <w:color w:val="FF0000"/>
        </w:rPr>
        <w:t xml:space="preserve"> methodologies</w:t>
      </w:r>
      <w:r w:rsidR="00F33516" w:rsidRPr="001D58F8">
        <w:rPr>
          <w:rFonts w:cstheme="minorHAnsi"/>
          <w:color w:val="FF0000"/>
        </w:rPr>
        <w:t xml:space="preserve"> have the greatest predictive </w:t>
      </w:r>
      <w:r w:rsidR="008214C0" w:rsidRPr="001D58F8">
        <w:rPr>
          <w:rFonts w:cstheme="minorHAnsi"/>
          <w:color w:val="FF0000"/>
        </w:rPr>
        <w:t>validity (C-statistic, 0.701) in predicting diabetes-specific hospitalizations</w:t>
      </w:r>
      <w:r w:rsidR="009964ED" w:rsidRPr="001D58F8">
        <w:rPr>
          <w:rFonts w:cstheme="minorHAnsi"/>
          <w:color w:val="FF0000"/>
        </w:rPr>
        <w:t>.</w:t>
      </w:r>
      <w:r w:rsidR="009964ED" w:rsidRPr="001D58F8">
        <w:rPr>
          <w:rFonts w:cstheme="minorHAnsi"/>
          <w:color w:val="FF0000"/>
          <w:vertAlign w:val="superscript"/>
        </w:rPr>
        <w:t>11</w:t>
      </w:r>
    </w:p>
    <w:p w14:paraId="684365C2" w14:textId="77777777" w:rsidR="00F33516" w:rsidRPr="001D58F8" w:rsidRDefault="00F33516" w:rsidP="001D58F8">
      <w:pPr>
        <w:shd w:val="clear" w:color="auto" w:fill="FFFFFF"/>
        <w:ind w:left="0" w:firstLine="0"/>
        <w:rPr>
          <w:rFonts w:cstheme="minorHAnsi"/>
          <w:color w:val="FF0000"/>
        </w:rPr>
      </w:pPr>
    </w:p>
    <w:p w14:paraId="059ED959" w14:textId="315E1972" w:rsidR="002A7FC0" w:rsidRPr="001D58F8" w:rsidRDefault="002A7FC0" w:rsidP="001D58F8">
      <w:pPr>
        <w:shd w:val="clear" w:color="auto" w:fill="FFFFFF"/>
        <w:ind w:left="0" w:firstLine="0"/>
        <w:rPr>
          <w:rFonts w:cstheme="minorHAnsi"/>
          <w:color w:val="FF0000"/>
        </w:rPr>
      </w:pPr>
      <w:r w:rsidRPr="001D58F8">
        <w:rPr>
          <w:rFonts w:cstheme="minorHAnsi"/>
          <w:color w:val="FF0000"/>
        </w:rPr>
        <w:t>T</w:t>
      </w:r>
      <w:r w:rsidR="008D04F8" w:rsidRPr="001D58F8">
        <w:rPr>
          <w:rFonts w:cstheme="minorHAnsi"/>
          <w:color w:val="FF0000"/>
        </w:rPr>
        <w:t>here have been several criticisms of the MPR</w:t>
      </w:r>
      <w:r w:rsidR="00E63DB0" w:rsidRPr="001D58F8">
        <w:rPr>
          <w:rFonts w:cstheme="minorHAnsi"/>
          <w:color w:val="FF0000"/>
        </w:rPr>
        <w:t xml:space="preserve"> methodology</w:t>
      </w:r>
      <w:r w:rsidR="00F33516" w:rsidRPr="001D58F8">
        <w:rPr>
          <w:rFonts w:cstheme="minorHAnsi"/>
          <w:color w:val="FF0000"/>
        </w:rPr>
        <w:t>, most notably the tendency for this approach to overestimate adherence</w:t>
      </w:r>
      <w:r w:rsidR="00474030" w:rsidRPr="001D58F8">
        <w:rPr>
          <w:rFonts w:cstheme="minorHAnsi"/>
          <w:color w:val="FF0000"/>
        </w:rPr>
        <w:t>. A comparison of 11 medication adherence methodologies by Hess et al.</w:t>
      </w:r>
      <w:r w:rsidR="005E2EB0" w:rsidRPr="001D58F8">
        <w:rPr>
          <w:rFonts w:cstheme="minorHAnsi"/>
          <w:color w:val="FF0000"/>
          <w:vertAlign w:val="superscript"/>
        </w:rPr>
        <w:t>12</w:t>
      </w:r>
      <w:r w:rsidR="00474030" w:rsidRPr="001D58F8">
        <w:rPr>
          <w:rFonts w:cstheme="minorHAnsi"/>
          <w:color w:val="FF0000"/>
        </w:rPr>
        <w:t xml:space="preserve"> found MPR</w:t>
      </w:r>
      <w:r w:rsidR="00E63DB0" w:rsidRPr="001D58F8">
        <w:rPr>
          <w:rFonts w:cstheme="minorHAnsi"/>
          <w:color w:val="FF0000"/>
        </w:rPr>
        <w:t xml:space="preserve"> and a modified MPR</w:t>
      </w:r>
      <w:r w:rsidR="00474030" w:rsidRPr="001D58F8">
        <w:rPr>
          <w:rFonts w:cstheme="minorHAnsi"/>
          <w:color w:val="FF0000"/>
        </w:rPr>
        <w:t xml:space="preserve"> overestimated adherence</w:t>
      </w:r>
      <w:r w:rsidR="00E63DB0" w:rsidRPr="001D58F8">
        <w:rPr>
          <w:rFonts w:cstheme="minorHAnsi"/>
          <w:color w:val="FF0000"/>
        </w:rPr>
        <w:t xml:space="preserve"> rates</w:t>
      </w:r>
      <w:r w:rsidR="00474030" w:rsidRPr="001D58F8">
        <w:rPr>
          <w:rFonts w:cstheme="minorHAnsi"/>
          <w:color w:val="FF0000"/>
        </w:rPr>
        <w:t xml:space="preserve"> compared to PDC</w:t>
      </w:r>
      <w:r w:rsidR="005E2EB0" w:rsidRPr="001D58F8">
        <w:rPr>
          <w:rFonts w:cstheme="minorHAnsi"/>
          <w:color w:val="FF0000"/>
        </w:rPr>
        <w:t>.</w:t>
      </w:r>
      <w:r w:rsidR="00474030" w:rsidRPr="001D58F8">
        <w:rPr>
          <w:rFonts w:cstheme="minorHAnsi"/>
          <w:color w:val="FF0000"/>
        </w:rPr>
        <w:t xml:space="preserve"> </w:t>
      </w:r>
      <w:r w:rsidR="00627B43" w:rsidRPr="001D58F8">
        <w:rPr>
          <w:rFonts w:cstheme="minorHAnsi"/>
          <w:color w:val="FF0000"/>
        </w:rPr>
        <w:t xml:space="preserve">Furthermore, </w:t>
      </w:r>
      <w:r w:rsidR="00627B43" w:rsidRPr="001D58F8">
        <w:rPr>
          <w:rFonts w:cstheme="minorHAnsi"/>
          <w:color w:val="FF0000"/>
        </w:rPr>
        <w:lastRenderedPageBreak/>
        <w:t>in a</w:t>
      </w:r>
      <w:r w:rsidR="00F33516" w:rsidRPr="001D58F8">
        <w:rPr>
          <w:rFonts w:cstheme="minorHAnsi"/>
          <w:color w:val="FF0000"/>
        </w:rPr>
        <w:t xml:space="preserve"> </w:t>
      </w:r>
      <w:r w:rsidR="00627B43" w:rsidRPr="001D58F8">
        <w:rPr>
          <w:rFonts w:cstheme="minorHAnsi"/>
          <w:color w:val="FF0000"/>
        </w:rPr>
        <w:t xml:space="preserve">literature </w:t>
      </w:r>
      <w:r w:rsidR="00F33516" w:rsidRPr="001D58F8">
        <w:rPr>
          <w:rFonts w:cstheme="minorHAnsi"/>
          <w:color w:val="FF0000"/>
        </w:rPr>
        <w:t xml:space="preserve">review conducted by </w:t>
      </w:r>
      <w:proofErr w:type="spellStart"/>
      <w:r w:rsidR="00F33516" w:rsidRPr="001D58F8">
        <w:rPr>
          <w:rFonts w:cstheme="minorHAnsi"/>
          <w:color w:val="FF0000"/>
        </w:rPr>
        <w:t>Ra</w:t>
      </w:r>
      <w:r w:rsidR="00627B43" w:rsidRPr="001D58F8">
        <w:rPr>
          <w:rFonts w:cstheme="minorHAnsi"/>
          <w:color w:val="FF0000"/>
        </w:rPr>
        <w:t>e</w:t>
      </w:r>
      <w:r w:rsidR="00F33516" w:rsidRPr="001D58F8">
        <w:rPr>
          <w:rFonts w:cstheme="minorHAnsi"/>
          <w:color w:val="FF0000"/>
        </w:rPr>
        <w:t>bel</w:t>
      </w:r>
      <w:proofErr w:type="spellEnd"/>
      <w:r w:rsidR="00F33516" w:rsidRPr="001D58F8">
        <w:rPr>
          <w:rFonts w:cstheme="minorHAnsi"/>
          <w:color w:val="FF0000"/>
        </w:rPr>
        <w:t xml:space="preserve"> et al.</w:t>
      </w:r>
      <w:r w:rsidR="005E2EB0" w:rsidRPr="001D58F8">
        <w:rPr>
          <w:rFonts w:cstheme="minorHAnsi"/>
          <w:color w:val="FF0000"/>
          <w:vertAlign w:val="superscript"/>
        </w:rPr>
        <w:t>10</w:t>
      </w:r>
      <w:r w:rsidR="00627B43" w:rsidRPr="001D58F8">
        <w:rPr>
          <w:rFonts w:cstheme="minorHAnsi"/>
          <w:color w:val="FF0000"/>
        </w:rPr>
        <w:t xml:space="preserve"> to evaluate adherence methodologies, MPR was found to have multiple</w:t>
      </w:r>
      <w:r w:rsidR="00F33516" w:rsidRPr="001D58F8">
        <w:rPr>
          <w:rFonts w:cstheme="minorHAnsi"/>
          <w:color w:val="FF0000"/>
        </w:rPr>
        <w:t xml:space="preserve"> </w:t>
      </w:r>
      <w:r w:rsidR="006C2EFD" w:rsidRPr="001D58F8">
        <w:rPr>
          <w:rFonts w:cstheme="minorHAnsi"/>
          <w:color w:val="FF0000"/>
        </w:rPr>
        <w:t>calculation methods</w:t>
      </w:r>
      <w:r w:rsidR="00E63DB0" w:rsidRPr="001D58F8">
        <w:rPr>
          <w:rFonts w:cstheme="minorHAnsi"/>
          <w:color w:val="FF0000"/>
        </w:rPr>
        <w:t xml:space="preserve"> (i.e., lack of standardization)</w:t>
      </w:r>
      <w:r w:rsidR="006C2EFD" w:rsidRPr="001D58F8">
        <w:rPr>
          <w:rFonts w:cstheme="minorHAnsi"/>
          <w:color w:val="FF0000"/>
        </w:rPr>
        <w:t xml:space="preserve"> and is inflated when medication switching within the same class occurs</w:t>
      </w:r>
      <w:r w:rsidR="00F33516" w:rsidRPr="001D58F8">
        <w:rPr>
          <w:rFonts w:cstheme="minorHAnsi"/>
          <w:color w:val="FF0000"/>
        </w:rPr>
        <w:t xml:space="preserve">. </w:t>
      </w:r>
    </w:p>
    <w:p w14:paraId="43360AC7" w14:textId="77777777" w:rsidR="00474030" w:rsidRPr="001D58F8" w:rsidRDefault="00474030" w:rsidP="001D58F8">
      <w:pPr>
        <w:shd w:val="clear" w:color="auto" w:fill="FFFFFF"/>
        <w:ind w:left="0" w:firstLine="0"/>
        <w:rPr>
          <w:rFonts w:cstheme="minorHAnsi"/>
          <w:color w:val="FF0000"/>
        </w:rPr>
      </w:pPr>
    </w:p>
    <w:p w14:paraId="12136700" w14:textId="42DD848A" w:rsidR="00242E1F" w:rsidRPr="001D58F8" w:rsidRDefault="006C2EFD" w:rsidP="001D58F8">
      <w:pPr>
        <w:shd w:val="clear" w:color="auto" w:fill="FFFFFF"/>
        <w:ind w:left="0" w:firstLine="0"/>
        <w:rPr>
          <w:rFonts w:cstheme="minorHAnsi"/>
          <w:color w:val="FF0000"/>
        </w:rPr>
      </w:pPr>
      <w:bookmarkStart w:id="7" w:name="_Hlk5627664"/>
      <w:r w:rsidRPr="001D58F8">
        <w:rPr>
          <w:rFonts w:cstheme="minorHAnsi"/>
          <w:color w:val="FF0000"/>
        </w:rPr>
        <w:t xml:space="preserve">Conversely, the </w:t>
      </w:r>
      <w:r w:rsidR="00414BE9" w:rsidRPr="001D58F8">
        <w:rPr>
          <w:rFonts w:cstheme="minorHAnsi"/>
          <w:color w:val="FF0000"/>
        </w:rPr>
        <w:t xml:space="preserve">PDC methodology </w:t>
      </w:r>
      <w:r w:rsidR="00242E1F" w:rsidRPr="001D58F8">
        <w:rPr>
          <w:rFonts w:cstheme="minorHAnsi"/>
          <w:color w:val="FF0000"/>
        </w:rPr>
        <w:t>provides a more conservative estimate of adherence in instances of frequent medication switches and concomitant therapy with multiple drugs within a class</w:t>
      </w:r>
      <w:r w:rsidR="005E2EB0" w:rsidRPr="001D58F8">
        <w:rPr>
          <w:rFonts w:cstheme="minorHAnsi"/>
          <w:color w:val="FF0000"/>
        </w:rPr>
        <w:t>.</w:t>
      </w:r>
      <w:r w:rsidR="005E2EB0" w:rsidRPr="001D58F8">
        <w:rPr>
          <w:rFonts w:cstheme="minorHAnsi"/>
          <w:color w:val="FF0000"/>
          <w:vertAlign w:val="superscript"/>
        </w:rPr>
        <w:t>10</w:t>
      </w:r>
      <w:r w:rsidR="00242E1F" w:rsidRPr="001D58F8">
        <w:rPr>
          <w:rFonts w:cstheme="minorHAnsi"/>
          <w:color w:val="FF0000"/>
        </w:rPr>
        <w:t xml:space="preserve"> The International Society of Pharmacoeconomics and Outcomes Research (ISPOR) published a guidance document on medication adherence studies and notes the PDC methodology has an advantage of simultaneously reflecting both compliance and persistence</w:t>
      </w:r>
      <w:r w:rsidR="005E2EB0" w:rsidRPr="001D58F8">
        <w:rPr>
          <w:rFonts w:cstheme="minorHAnsi"/>
          <w:color w:val="FF0000"/>
        </w:rPr>
        <w:t>.</w:t>
      </w:r>
      <w:r w:rsidR="005E2EB0" w:rsidRPr="001D58F8">
        <w:rPr>
          <w:rFonts w:cstheme="minorHAnsi"/>
          <w:color w:val="FF0000"/>
          <w:vertAlign w:val="superscript"/>
        </w:rPr>
        <w:t>13</w:t>
      </w:r>
    </w:p>
    <w:p w14:paraId="5DD47982" w14:textId="77777777" w:rsidR="005208AE" w:rsidRPr="001D58F8" w:rsidRDefault="005208AE" w:rsidP="001D58F8">
      <w:pPr>
        <w:shd w:val="clear" w:color="auto" w:fill="FFFFFF"/>
        <w:ind w:left="0" w:firstLine="0"/>
        <w:rPr>
          <w:rFonts w:cstheme="minorHAnsi"/>
          <w:color w:val="FF0000"/>
        </w:rPr>
      </w:pPr>
    </w:p>
    <w:p w14:paraId="6DADFF37" w14:textId="70E98792" w:rsidR="009C0BCC" w:rsidRPr="001D58F8" w:rsidRDefault="0018515A" w:rsidP="001D58F8">
      <w:pPr>
        <w:shd w:val="clear" w:color="auto" w:fill="FFFFFF"/>
        <w:ind w:left="0" w:firstLine="0"/>
        <w:rPr>
          <w:rFonts w:cstheme="minorHAnsi"/>
          <w:color w:val="FF0000"/>
        </w:rPr>
      </w:pPr>
      <w:r w:rsidRPr="001D58F8">
        <w:rPr>
          <w:rFonts w:cstheme="minorHAnsi"/>
          <w:color w:val="FF0000"/>
        </w:rPr>
        <w:t>Th</w:t>
      </w:r>
      <w:r w:rsidR="005E2EB0" w:rsidRPr="001D58F8">
        <w:rPr>
          <w:rFonts w:cstheme="minorHAnsi"/>
          <w:color w:val="FF0000"/>
        </w:rPr>
        <w:t>is</w:t>
      </w:r>
      <w:r w:rsidRPr="001D58F8">
        <w:rPr>
          <w:rFonts w:cstheme="minorHAnsi"/>
          <w:color w:val="FF0000"/>
        </w:rPr>
        <w:t xml:space="preserve"> measure</w:t>
      </w:r>
      <w:r w:rsidR="005E2EB0" w:rsidRPr="001D58F8">
        <w:rPr>
          <w:rFonts w:cstheme="minorHAnsi"/>
          <w:color w:val="FF0000"/>
        </w:rPr>
        <w:t xml:space="preserve"> evaluates</w:t>
      </w:r>
      <w:r w:rsidRPr="001D58F8">
        <w:rPr>
          <w:rFonts w:cstheme="minorHAnsi"/>
          <w:color w:val="FF0000"/>
        </w:rPr>
        <w:t xml:space="preserve"> adherence as a dichotomous variable at a threshold of 80% PDC. The preponderance of studies evaluating medication adherence utilizes a threshold of 80%.  </w:t>
      </w:r>
      <w:r w:rsidR="009C0BCC" w:rsidRPr="001D58F8">
        <w:rPr>
          <w:rFonts w:cstheme="minorHAnsi"/>
          <w:color w:val="FF0000"/>
        </w:rPr>
        <w:t xml:space="preserve">A systematic review of adherence studies conducted by </w:t>
      </w:r>
      <w:r w:rsidRPr="001D58F8">
        <w:rPr>
          <w:rFonts w:cstheme="minorHAnsi"/>
          <w:color w:val="FF0000"/>
        </w:rPr>
        <w:t>Andrade et al.</w:t>
      </w:r>
      <w:r w:rsidR="005E2EB0" w:rsidRPr="001D58F8">
        <w:rPr>
          <w:rFonts w:cstheme="minorHAnsi"/>
          <w:color w:val="FF0000"/>
          <w:vertAlign w:val="superscript"/>
        </w:rPr>
        <w:t>14</w:t>
      </w:r>
      <w:r w:rsidRPr="001D58F8">
        <w:rPr>
          <w:rFonts w:cstheme="minorHAnsi"/>
          <w:color w:val="FF0000"/>
        </w:rPr>
        <w:t xml:space="preserve"> found over 90% of published adherence studies used an 80% threshold to classify adherence. This threshold has also been correlated to improvements in clinical outcomes, healthcare resource utilization and costs (as summarized below). </w:t>
      </w:r>
    </w:p>
    <w:p w14:paraId="4DA142A8" w14:textId="555998BF" w:rsidR="009C0BCC" w:rsidRPr="001D58F8" w:rsidRDefault="009C0BCC" w:rsidP="001D58F8">
      <w:pPr>
        <w:shd w:val="clear" w:color="auto" w:fill="FFFFFF"/>
        <w:ind w:left="0" w:firstLine="0"/>
        <w:rPr>
          <w:rFonts w:cstheme="minorHAnsi"/>
          <w:color w:val="FF0000"/>
        </w:rPr>
      </w:pPr>
    </w:p>
    <w:bookmarkEnd w:id="7"/>
    <w:p w14:paraId="510C6C07" w14:textId="4A02E9EB" w:rsidR="007905CF" w:rsidRPr="00B715BF" w:rsidRDefault="00046624" w:rsidP="001D58F8">
      <w:pPr>
        <w:ind w:left="0" w:right="-72" w:firstLine="0"/>
        <w:rPr>
          <w:rFonts w:cstheme="minorHAnsi"/>
          <w:color w:val="FF0000"/>
        </w:rPr>
      </w:pPr>
      <w:r w:rsidRPr="00B715BF">
        <w:rPr>
          <w:rFonts w:cstheme="minorHAnsi"/>
          <w:b/>
          <w:color w:val="FF0000"/>
        </w:rPr>
        <w:t xml:space="preserve">Medication </w:t>
      </w:r>
      <w:r w:rsidR="008A379D" w:rsidRPr="00B715BF">
        <w:rPr>
          <w:rFonts w:cstheme="minorHAnsi"/>
          <w:b/>
          <w:color w:val="FF0000"/>
        </w:rPr>
        <w:t>Adherence</w:t>
      </w:r>
      <w:r w:rsidRPr="00B715BF">
        <w:rPr>
          <w:rFonts w:cstheme="minorHAnsi"/>
          <w:b/>
          <w:color w:val="FF0000"/>
        </w:rPr>
        <w:t xml:space="preserve"> Impact on Clinical Outcomes and Healthcare Costs</w:t>
      </w:r>
    </w:p>
    <w:p w14:paraId="08AE97C6" w14:textId="77777777" w:rsidR="00B715BF" w:rsidRPr="001D58F8" w:rsidRDefault="00B715BF" w:rsidP="00B715BF">
      <w:pPr>
        <w:widowControl w:val="0"/>
        <w:tabs>
          <w:tab w:val="left" w:pos="940"/>
          <w:tab w:val="left" w:pos="1440"/>
        </w:tabs>
        <w:autoSpaceDE w:val="0"/>
        <w:autoSpaceDN w:val="0"/>
        <w:adjustRightInd w:val="0"/>
        <w:ind w:left="0" w:firstLine="0"/>
        <w:contextualSpacing/>
        <w:rPr>
          <w:rFonts w:cs="Calibri"/>
          <w:color w:val="FF0000"/>
        </w:rPr>
      </w:pPr>
      <w:bookmarkStart w:id="8" w:name="_GoBack"/>
      <w:bookmarkEnd w:id="8"/>
      <w:r w:rsidRPr="001D58F8">
        <w:rPr>
          <w:rFonts w:cs="Calibri"/>
          <w:color w:val="FF0000"/>
        </w:rPr>
        <w:t xml:space="preserve">Studies included in the 2014 submission are noted in </w:t>
      </w:r>
      <w:r w:rsidRPr="001D58F8">
        <w:rPr>
          <w:rFonts w:cs="Calibri"/>
          <w:color w:val="0000FF"/>
        </w:rPr>
        <w:t>blue font</w:t>
      </w:r>
      <w:r w:rsidRPr="001D58F8">
        <w:rPr>
          <w:rFonts w:cs="Calibri"/>
          <w:color w:val="FF0000"/>
        </w:rPr>
        <w:t>, and more recent studies through March 2019, which were added for the spring 2019 endorsement maintenance submission, are noted in red font.</w:t>
      </w:r>
    </w:p>
    <w:p w14:paraId="7A5ACE70" w14:textId="77777777" w:rsidR="00B715BF" w:rsidRDefault="00B715BF" w:rsidP="001D58F8">
      <w:pPr>
        <w:autoSpaceDE w:val="0"/>
        <w:autoSpaceDN w:val="0"/>
        <w:adjustRightInd w:val="0"/>
        <w:ind w:left="0" w:firstLine="0"/>
        <w:rPr>
          <w:rFonts w:cstheme="minorHAnsi"/>
          <w:color w:val="0000FF"/>
        </w:rPr>
      </w:pPr>
    </w:p>
    <w:p w14:paraId="1E484C25" w14:textId="6D76A604" w:rsidR="007905CF" w:rsidRPr="001D58F8" w:rsidRDefault="007905CF" w:rsidP="001D58F8">
      <w:pPr>
        <w:autoSpaceDE w:val="0"/>
        <w:autoSpaceDN w:val="0"/>
        <w:adjustRightInd w:val="0"/>
        <w:ind w:left="0" w:firstLine="0"/>
        <w:rPr>
          <w:rFonts w:cstheme="minorHAnsi"/>
          <w:color w:val="0000FF"/>
        </w:rPr>
      </w:pPr>
      <w:r w:rsidRPr="001D58F8">
        <w:rPr>
          <w:rFonts w:cstheme="minorHAnsi"/>
          <w:color w:val="0000FF"/>
        </w:rPr>
        <w:t>In 2002, Wei et al</w:t>
      </w:r>
      <w:r w:rsidR="005E2EB0" w:rsidRPr="001D58F8">
        <w:rPr>
          <w:rFonts w:cstheme="minorHAnsi"/>
          <w:color w:val="0000FF"/>
        </w:rPr>
        <w:t>.</w:t>
      </w:r>
      <w:r w:rsidR="005E2EB0" w:rsidRPr="001D58F8">
        <w:rPr>
          <w:rFonts w:cstheme="minorHAnsi"/>
          <w:color w:val="0000FF"/>
          <w:vertAlign w:val="superscript"/>
        </w:rPr>
        <w:t>15</w:t>
      </w:r>
      <w:r w:rsidRPr="001D58F8">
        <w:rPr>
          <w:rFonts w:cstheme="minorHAnsi"/>
          <w:color w:val="0000FF"/>
        </w:rPr>
        <w:t xml:space="preserve"> conducted a retrospective cohort study to evaluate the effect of adherence to statins on recurrence of MI and all-cause mortality (N=5,590). Compared with those not taking statins, those who had ≥80% adherence to statin treatment had an adjusted relative risk (</w:t>
      </w:r>
      <w:proofErr w:type="spellStart"/>
      <w:r w:rsidRPr="001D58F8">
        <w:rPr>
          <w:rFonts w:cstheme="minorHAnsi"/>
          <w:color w:val="0000FF"/>
        </w:rPr>
        <w:t>aRR</w:t>
      </w:r>
      <w:proofErr w:type="spellEnd"/>
      <w:r w:rsidRPr="001D58F8">
        <w:rPr>
          <w:rFonts w:cstheme="minorHAnsi"/>
          <w:color w:val="0000FF"/>
        </w:rPr>
        <w:t>) of recurrent MI of 0.19 (95% confidence interval [CI], 0.08-0.47) and all-cause mortality of 0.47 (95% CI, 0.22-0.99). There was no significant reduction in either endpoint for those who were less &lt;80% adherent to statins.</w:t>
      </w:r>
    </w:p>
    <w:p w14:paraId="653E3370" w14:textId="77777777" w:rsidR="007905CF" w:rsidRPr="001D58F8" w:rsidRDefault="007905CF" w:rsidP="001D58F8">
      <w:pPr>
        <w:autoSpaceDE w:val="0"/>
        <w:autoSpaceDN w:val="0"/>
        <w:adjustRightInd w:val="0"/>
        <w:ind w:left="0" w:firstLine="0"/>
        <w:rPr>
          <w:rFonts w:cstheme="minorHAnsi"/>
          <w:color w:val="0000FF"/>
        </w:rPr>
      </w:pPr>
    </w:p>
    <w:p w14:paraId="3E98382C" w14:textId="17749290" w:rsidR="00BF008E" w:rsidRPr="001D58F8" w:rsidRDefault="00735760" w:rsidP="001D58F8">
      <w:pPr>
        <w:autoSpaceDE w:val="0"/>
        <w:autoSpaceDN w:val="0"/>
        <w:adjustRightInd w:val="0"/>
        <w:ind w:left="0" w:firstLine="0"/>
        <w:rPr>
          <w:rFonts w:cstheme="minorHAnsi"/>
          <w:color w:val="0000FF"/>
        </w:rPr>
      </w:pPr>
      <w:r w:rsidRPr="001D58F8">
        <w:rPr>
          <w:rFonts w:cstheme="minorHAnsi"/>
          <w:color w:val="0000FF"/>
        </w:rPr>
        <w:t>In 20</w:t>
      </w:r>
      <w:r w:rsidR="00DA628F" w:rsidRPr="001D58F8">
        <w:rPr>
          <w:rFonts w:cstheme="minorHAnsi"/>
          <w:color w:val="0000FF"/>
        </w:rPr>
        <w:t>0</w:t>
      </w:r>
      <w:r w:rsidRPr="001D58F8">
        <w:rPr>
          <w:rFonts w:cstheme="minorHAnsi"/>
          <w:color w:val="0000FF"/>
        </w:rPr>
        <w:t xml:space="preserve">4, </w:t>
      </w:r>
      <w:r w:rsidR="00BF008E" w:rsidRPr="001D58F8">
        <w:rPr>
          <w:rFonts w:cstheme="minorHAnsi"/>
          <w:color w:val="0000FF"/>
        </w:rPr>
        <w:t>Lau</w:t>
      </w:r>
      <w:r w:rsidRPr="001D58F8">
        <w:rPr>
          <w:rFonts w:cstheme="minorHAnsi"/>
          <w:color w:val="0000FF"/>
        </w:rPr>
        <w:t xml:space="preserve"> and Nau</w:t>
      </w:r>
      <w:r w:rsidR="00196313" w:rsidRPr="001D58F8">
        <w:rPr>
          <w:rFonts w:cstheme="minorHAnsi"/>
          <w:color w:val="0000FF"/>
          <w:vertAlign w:val="superscript"/>
        </w:rPr>
        <w:t>16</w:t>
      </w:r>
      <w:r w:rsidRPr="001D58F8">
        <w:rPr>
          <w:rFonts w:cstheme="minorHAnsi"/>
          <w:color w:val="0000FF"/>
        </w:rPr>
        <w:t xml:space="preserve"> conducted a retrospective </w:t>
      </w:r>
      <w:r w:rsidR="004D41AB" w:rsidRPr="001D58F8">
        <w:rPr>
          <w:rFonts w:cstheme="minorHAnsi"/>
          <w:color w:val="0000FF"/>
        </w:rPr>
        <w:t xml:space="preserve">study to examine the association between </w:t>
      </w:r>
      <w:r w:rsidR="0069498A" w:rsidRPr="001D58F8">
        <w:rPr>
          <w:rFonts w:cstheme="minorHAnsi"/>
          <w:color w:val="0000FF"/>
        </w:rPr>
        <w:t xml:space="preserve">adherence to </w:t>
      </w:r>
      <w:r w:rsidR="004D41AB" w:rsidRPr="001D58F8">
        <w:rPr>
          <w:rFonts w:cstheme="minorHAnsi"/>
          <w:color w:val="0000FF"/>
        </w:rPr>
        <w:t xml:space="preserve">oral diabetes medications and subsequent hospitalization the following year among patients with type 2 diabetes (N=900). Compared with patients </w:t>
      </w:r>
      <w:r w:rsidR="0069498A" w:rsidRPr="001D58F8">
        <w:rPr>
          <w:rFonts w:cstheme="minorHAnsi"/>
          <w:color w:val="0000FF"/>
        </w:rPr>
        <w:t xml:space="preserve">who were </w:t>
      </w:r>
      <w:r w:rsidR="004D41AB" w:rsidRPr="001D58F8">
        <w:rPr>
          <w:rFonts w:cstheme="minorHAnsi"/>
          <w:color w:val="0000FF"/>
        </w:rPr>
        <w:t xml:space="preserve">adherent </w:t>
      </w:r>
      <w:r w:rsidR="0069498A" w:rsidRPr="001D58F8">
        <w:rPr>
          <w:rFonts w:cstheme="minorHAnsi"/>
          <w:color w:val="0000FF"/>
        </w:rPr>
        <w:t xml:space="preserve">(MPR ≥80%) </w:t>
      </w:r>
      <w:r w:rsidR="004D41AB" w:rsidRPr="001D58F8">
        <w:rPr>
          <w:rFonts w:cstheme="minorHAnsi"/>
          <w:color w:val="0000FF"/>
        </w:rPr>
        <w:t xml:space="preserve">to oral </w:t>
      </w:r>
      <w:bookmarkStart w:id="9" w:name="_Hlk5607317"/>
      <w:r w:rsidR="004D41AB" w:rsidRPr="001D58F8">
        <w:rPr>
          <w:rFonts w:cstheme="minorHAnsi"/>
          <w:color w:val="0000FF"/>
        </w:rPr>
        <w:t>antihyperglycemic</w:t>
      </w:r>
      <w:bookmarkEnd w:id="9"/>
      <w:r w:rsidR="004D41AB" w:rsidRPr="001D58F8">
        <w:rPr>
          <w:rFonts w:cstheme="minorHAnsi"/>
          <w:color w:val="0000FF"/>
        </w:rPr>
        <w:t xml:space="preserve"> medications, those who were nonadherent were much more likely to have a hospitalization </w:t>
      </w:r>
      <w:r w:rsidR="0069498A" w:rsidRPr="001D58F8">
        <w:rPr>
          <w:rFonts w:cstheme="minorHAnsi"/>
          <w:color w:val="0000FF"/>
        </w:rPr>
        <w:t xml:space="preserve">the following year </w:t>
      </w:r>
      <w:r w:rsidR="004D41AB" w:rsidRPr="001D58F8">
        <w:rPr>
          <w:rFonts w:cstheme="minorHAnsi"/>
          <w:color w:val="0000FF"/>
        </w:rPr>
        <w:t>(</w:t>
      </w:r>
      <w:r w:rsidR="00E40D6D" w:rsidRPr="001D58F8">
        <w:rPr>
          <w:rFonts w:cstheme="minorHAnsi"/>
          <w:color w:val="0000FF"/>
        </w:rPr>
        <w:t>O</w:t>
      </w:r>
      <w:r w:rsidR="004D41AB" w:rsidRPr="001D58F8">
        <w:rPr>
          <w:rFonts w:cstheme="minorHAnsi"/>
          <w:color w:val="0000FF"/>
        </w:rPr>
        <w:t xml:space="preserve">dds </w:t>
      </w:r>
      <w:r w:rsidR="00E40D6D" w:rsidRPr="001D58F8">
        <w:rPr>
          <w:rFonts w:cstheme="minorHAnsi"/>
          <w:color w:val="0000FF"/>
        </w:rPr>
        <w:t>R</w:t>
      </w:r>
      <w:r w:rsidR="004D41AB" w:rsidRPr="001D58F8">
        <w:rPr>
          <w:rFonts w:cstheme="minorHAnsi"/>
          <w:color w:val="0000FF"/>
        </w:rPr>
        <w:t>atio</w:t>
      </w:r>
      <w:r w:rsidR="00E40D6D" w:rsidRPr="001D58F8">
        <w:rPr>
          <w:rFonts w:cstheme="minorHAnsi"/>
          <w:color w:val="0000FF"/>
        </w:rPr>
        <w:t xml:space="preserve"> [OR]</w:t>
      </w:r>
      <w:r w:rsidR="0069498A" w:rsidRPr="001D58F8">
        <w:rPr>
          <w:rFonts w:cstheme="minorHAnsi"/>
          <w:color w:val="0000FF"/>
        </w:rPr>
        <w:t>,</w:t>
      </w:r>
      <w:r w:rsidR="004D41AB" w:rsidRPr="001D58F8">
        <w:rPr>
          <w:rFonts w:cstheme="minorHAnsi"/>
          <w:color w:val="0000FF"/>
        </w:rPr>
        <w:t xml:space="preserve"> 2.53</w:t>
      </w:r>
      <w:r w:rsidR="00E40D6D" w:rsidRPr="001D58F8">
        <w:rPr>
          <w:rFonts w:cstheme="minorHAnsi"/>
          <w:color w:val="0000FF"/>
        </w:rPr>
        <w:t>;</w:t>
      </w:r>
      <w:r w:rsidR="004D41AB" w:rsidRPr="001D58F8">
        <w:rPr>
          <w:rFonts w:cstheme="minorHAnsi"/>
          <w:color w:val="0000FF"/>
        </w:rPr>
        <w:t xml:space="preserve"> 95% C</w:t>
      </w:r>
      <w:r w:rsidR="0069498A" w:rsidRPr="001D58F8">
        <w:rPr>
          <w:rFonts w:cstheme="minorHAnsi"/>
          <w:color w:val="0000FF"/>
        </w:rPr>
        <w:t>onfidence Interval [CI],</w:t>
      </w:r>
      <w:r w:rsidR="004D41AB" w:rsidRPr="001D58F8">
        <w:rPr>
          <w:rFonts w:cstheme="minorHAnsi"/>
          <w:color w:val="0000FF"/>
        </w:rPr>
        <w:t xml:space="preserve"> 1.38</w:t>
      </w:r>
      <w:r w:rsidR="0069498A" w:rsidRPr="001D58F8">
        <w:rPr>
          <w:rFonts w:cstheme="minorHAnsi"/>
          <w:color w:val="0000FF"/>
        </w:rPr>
        <w:t>-</w:t>
      </w:r>
      <w:r w:rsidR="004D41AB" w:rsidRPr="001D58F8">
        <w:rPr>
          <w:rFonts w:cstheme="minorHAnsi"/>
          <w:color w:val="0000FF"/>
        </w:rPr>
        <w:t>4.64</w:t>
      </w:r>
      <w:r w:rsidR="002D3868" w:rsidRPr="001D58F8">
        <w:rPr>
          <w:rFonts w:cstheme="minorHAnsi"/>
          <w:color w:val="0000FF"/>
        </w:rPr>
        <w:t>)</w:t>
      </w:r>
      <w:r w:rsidR="0069498A" w:rsidRPr="001D58F8">
        <w:rPr>
          <w:rFonts w:cs="Berkeley-Book"/>
        </w:rPr>
        <w:t>.</w:t>
      </w:r>
    </w:p>
    <w:p w14:paraId="70AFB78A" w14:textId="77777777" w:rsidR="00BF008E" w:rsidRPr="001D58F8" w:rsidRDefault="00BF008E" w:rsidP="001D58F8">
      <w:pPr>
        <w:widowControl w:val="0"/>
        <w:autoSpaceDE w:val="0"/>
        <w:autoSpaceDN w:val="0"/>
        <w:adjustRightInd w:val="0"/>
        <w:ind w:left="0" w:right="-72" w:firstLine="0"/>
        <w:rPr>
          <w:rFonts w:eastAsia="Times New Roman" w:cstheme="minorHAnsi"/>
          <w:bCs/>
          <w:color w:val="0000FF"/>
          <w:kern w:val="36"/>
          <w:vertAlign w:val="subscript"/>
        </w:rPr>
      </w:pPr>
    </w:p>
    <w:p w14:paraId="202114E2" w14:textId="376843CB" w:rsidR="00375AEC" w:rsidRPr="001D58F8" w:rsidRDefault="00083B1F" w:rsidP="001D58F8">
      <w:pPr>
        <w:widowControl w:val="0"/>
        <w:autoSpaceDE w:val="0"/>
        <w:autoSpaceDN w:val="0"/>
        <w:adjustRightInd w:val="0"/>
        <w:ind w:left="0" w:right="-72" w:firstLine="0"/>
        <w:rPr>
          <w:rFonts w:eastAsia="Times New Roman" w:cstheme="minorHAnsi"/>
          <w:bCs/>
          <w:color w:val="0000FF"/>
          <w:kern w:val="36"/>
        </w:rPr>
      </w:pPr>
      <w:r w:rsidRPr="001D58F8">
        <w:rPr>
          <w:rFonts w:eastAsia="Times New Roman" w:cstheme="minorHAnsi"/>
          <w:bCs/>
          <w:color w:val="0000FF"/>
          <w:kern w:val="36"/>
        </w:rPr>
        <w:t>In 2005</w:t>
      </w:r>
      <w:r w:rsidR="00CE39CB" w:rsidRPr="001D58F8">
        <w:rPr>
          <w:rFonts w:eastAsia="Times New Roman" w:cstheme="minorHAnsi"/>
          <w:bCs/>
          <w:color w:val="0000FF"/>
          <w:kern w:val="36"/>
        </w:rPr>
        <w:t>,</w:t>
      </w:r>
      <w:r w:rsidR="00AA2776" w:rsidRPr="001D58F8">
        <w:rPr>
          <w:rFonts w:eastAsia="Times New Roman" w:cstheme="minorHAnsi"/>
          <w:bCs/>
          <w:color w:val="0000FF"/>
          <w:kern w:val="36"/>
        </w:rPr>
        <w:t xml:space="preserve"> </w:t>
      </w:r>
      <w:r w:rsidR="00CE39CB" w:rsidRPr="001D58F8">
        <w:rPr>
          <w:rFonts w:eastAsia="Times New Roman" w:cstheme="minorHAnsi"/>
          <w:bCs/>
          <w:color w:val="0000FF"/>
          <w:kern w:val="36"/>
        </w:rPr>
        <w:t>Sokol et al</w:t>
      </w:r>
      <w:r w:rsidR="00196313" w:rsidRPr="001D58F8">
        <w:rPr>
          <w:rFonts w:eastAsia="Times New Roman" w:cstheme="minorHAnsi"/>
          <w:bCs/>
          <w:color w:val="0000FF"/>
          <w:kern w:val="36"/>
        </w:rPr>
        <w:t>.</w:t>
      </w:r>
      <w:r w:rsidR="00196313" w:rsidRPr="001D58F8">
        <w:rPr>
          <w:rFonts w:eastAsia="Times New Roman" w:cstheme="minorHAnsi"/>
          <w:bCs/>
          <w:color w:val="0000FF"/>
          <w:kern w:val="36"/>
          <w:vertAlign w:val="superscript"/>
        </w:rPr>
        <w:t>17</w:t>
      </w:r>
      <w:r w:rsidR="00CE39CB" w:rsidRPr="001D58F8">
        <w:rPr>
          <w:rFonts w:eastAsia="Times New Roman" w:cstheme="minorHAnsi"/>
          <w:bCs/>
          <w:color w:val="0000FF"/>
          <w:kern w:val="36"/>
        </w:rPr>
        <w:t xml:space="preserve"> conducted a </w:t>
      </w:r>
      <w:r w:rsidR="00AA2776" w:rsidRPr="001D58F8">
        <w:rPr>
          <w:rFonts w:eastAsia="Times New Roman" w:cstheme="minorHAnsi"/>
          <w:bCs/>
          <w:color w:val="0000FF"/>
          <w:kern w:val="36"/>
        </w:rPr>
        <w:t>retrospective cohort study</w:t>
      </w:r>
      <w:r w:rsidR="00D15CA5" w:rsidRPr="001D58F8">
        <w:rPr>
          <w:rFonts w:eastAsia="Times New Roman" w:cstheme="minorHAnsi"/>
          <w:bCs/>
          <w:color w:val="0000FF"/>
          <w:kern w:val="36"/>
        </w:rPr>
        <w:t xml:space="preserve"> </w:t>
      </w:r>
      <w:r w:rsidRPr="001D58F8">
        <w:rPr>
          <w:rFonts w:eastAsia="Times New Roman" w:cstheme="minorHAnsi"/>
          <w:bCs/>
          <w:color w:val="0000FF"/>
          <w:kern w:val="36"/>
        </w:rPr>
        <w:t xml:space="preserve">to evaluate the impact of medication adherence </w:t>
      </w:r>
      <w:r w:rsidR="00D15CA5" w:rsidRPr="001D58F8">
        <w:rPr>
          <w:rFonts w:eastAsia="Times New Roman" w:cstheme="minorHAnsi"/>
          <w:bCs/>
          <w:color w:val="0000FF"/>
          <w:kern w:val="36"/>
        </w:rPr>
        <w:t>(</w:t>
      </w:r>
      <w:r w:rsidR="00EA6138" w:rsidRPr="001D58F8">
        <w:rPr>
          <w:rFonts w:eastAsia="Times New Roman" w:cstheme="minorHAnsi"/>
          <w:bCs/>
          <w:color w:val="0000FF"/>
          <w:kern w:val="36"/>
        </w:rPr>
        <w:t>PDC</w:t>
      </w:r>
      <w:r w:rsidR="00D15CA5" w:rsidRPr="001D58F8">
        <w:rPr>
          <w:rFonts w:eastAsia="Times New Roman" w:cstheme="minorHAnsi"/>
          <w:bCs/>
          <w:color w:val="0000FF"/>
          <w:kern w:val="36"/>
        </w:rPr>
        <w:t xml:space="preserve"> ≥80%)</w:t>
      </w:r>
      <w:r w:rsidR="00CE39CB" w:rsidRPr="001D58F8">
        <w:rPr>
          <w:rFonts w:cstheme="minorHAnsi"/>
          <w:color w:val="0000FF"/>
        </w:rPr>
        <w:t xml:space="preserve"> </w:t>
      </w:r>
      <w:r w:rsidRPr="001D58F8">
        <w:rPr>
          <w:rFonts w:eastAsia="Times New Roman" w:cstheme="minorHAnsi"/>
          <w:bCs/>
          <w:color w:val="0000FF"/>
          <w:kern w:val="36"/>
        </w:rPr>
        <w:t xml:space="preserve">on healthcare utilization and cost for diabetes, hypertension, hyperlipidemia, and </w:t>
      </w:r>
      <w:r w:rsidR="00E40D6D" w:rsidRPr="001D58F8">
        <w:rPr>
          <w:rFonts w:eastAsia="Times New Roman" w:cstheme="minorHAnsi"/>
          <w:bCs/>
          <w:color w:val="0000FF"/>
          <w:kern w:val="36"/>
        </w:rPr>
        <w:t>CHF (N=137,277).</w:t>
      </w:r>
      <w:r w:rsidRPr="001D58F8">
        <w:rPr>
          <w:rFonts w:eastAsia="Times New Roman" w:cstheme="minorHAnsi"/>
          <w:bCs/>
          <w:color w:val="0000FF"/>
          <w:kern w:val="36"/>
        </w:rPr>
        <w:t xml:space="preserve"> </w:t>
      </w:r>
      <w:r w:rsidR="00CE39CB" w:rsidRPr="001D58F8">
        <w:rPr>
          <w:rFonts w:cstheme="minorHAnsi"/>
          <w:color w:val="0000FF"/>
          <w:shd w:val="clear" w:color="auto" w:fill="FFFFFF"/>
        </w:rPr>
        <w:t xml:space="preserve">For all </w:t>
      </w:r>
      <w:r w:rsidR="00E40D6D" w:rsidRPr="001D58F8">
        <w:rPr>
          <w:rFonts w:cstheme="minorHAnsi"/>
          <w:color w:val="0000FF"/>
          <w:shd w:val="clear" w:color="auto" w:fill="FFFFFF"/>
        </w:rPr>
        <w:t>four</w:t>
      </w:r>
      <w:r w:rsidR="00CE39CB" w:rsidRPr="001D58F8">
        <w:rPr>
          <w:rFonts w:cstheme="minorHAnsi"/>
          <w:color w:val="0000FF"/>
          <w:shd w:val="clear" w:color="auto" w:fill="FFFFFF"/>
        </w:rPr>
        <w:t xml:space="preserve"> conditions, </w:t>
      </w:r>
      <w:r w:rsidR="00CE39CB" w:rsidRPr="001D58F8">
        <w:rPr>
          <w:rStyle w:val="highlight"/>
          <w:rFonts w:cstheme="minorHAnsi"/>
          <w:color w:val="0000FF"/>
          <w:shd w:val="clear" w:color="auto" w:fill="FFFFFF"/>
        </w:rPr>
        <w:t>hospitalization</w:t>
      </w:r>
      <w:r w:rsidR="00CE39CB" w:rsidRPr="001D58F8">
        <w:rPr>
          <w:rFonts w:cstheme="minorHAnsi"/>
          <w:color w:val="0000FF"/>
          <w:shd w:val="clear" w:color="auto" w:fill="FFFFFF"/>
        </w:rPr>
        <w:t xml:space="preserve"> rates were significantly lower for </w:t>
      </w:r>
      <w:r w:rsidR="00D15CA5" w:rsidRPr="001D58F8">
        <w:rPr>
          <w:rFonts w:cstheme="minorHAnsi"/>
          <w:color w:val="0000FF"/>
          <w:shd w:val="clear" w:color="auto" w:fill="FFFFFF"/>
        </w:rPr>
        <w:t xml:space="preserve">adherent </w:t>
      </w:r>
      <w:r w:rsidR="00CE39CB" w:rsidRPr="001D58F8">
        <w:rPr>
          <w:rFonts w:cstheme="minorHAnsi"/>
          <w:color w:val="0000FF"/>
          <w:shd w:val="clear" w:color="auto" w:fill="FFFFFF"/>
        </w:rPr>
        <w:t xml:space="preserve">patients </w:t>
      </w:r>
      <w:r w:rsidR="00CE39CB" w:rsidRPr="001D58F8">
        <w:rPr>
          <w:rStyle w:val="highlight"/>
          <w:rFonts w:cstheme="minorHAnsi"/>
          <w:color w:val="0000FF"/>
          <w:shd w:val="clear" w:color="auto" w:fill="FFFFFF"/>
        </w:rPr>
        <w:t>(P&lt;0.0001)</w:t>
      </w:r>
      <w:r w:rsidR="00CE39CB" w:rsidRPr="001D58F8">
        <w:rPr>
          <w:rFonts w:cstheme="minorHAnsi"/>
          <w:color w:val="0000FF"/>
        </w:rPr>
        <w:t xml:space="preserve">. </w:t>
      </w:r>
      <w:r w:rsidR="00D15CA5" w:rsidRPr="001D58F8">
        <w:rPr>
          <w:rFonts w:cstheme="minorHAnsi"/>
          <w:color w:val="0000FF"/>
        </w:rPr>
        <w:t>Medication adherence was also associated with lower medical costs f</w:t>
      </w:r>
      <w:r w:rsidR="00CE39CB" w:rsidRPr="001D58F8">
        <w:rPr>
          <w:rFonts w:cstheme="minorHAnsi"/>
          <w:color w:val="0000FF"/>
        </w:rPr>
        <w:t>or diabetes</w:t>
      </w:r>
      <w:r w:rsidR="00E40D6D" w:rsidRPr="001D58F8">
        <w:rPr>
          <w:rFonts w:cstheme="minorHAnsi"/>
          <w:color w:val="0000FF"/>
        </w:rPr>
        <w:t>,</w:t>
      </w:r>
      <w:r w:rsidR="00CE39CB" w:rsidRPr="001D58F8">
        <w:rPr>
          <w:rFonts w:cstheme="minorHAnsi"/>
          <w:color w:val="0000FF"/>
        </w:rPr>
        <w:t xml:space="preserve"> hypertension, and hyperlipidemia</w:t>
      </w:r>
      <w:r w:rsidR="00D15CA5" w:rsidRPr="001D58F8">
        <w:rPr>
          <w:rFonts w:cstheme="minorHAnsi"/>
          <w:color w:val="0000FF"/>
        </w:rPr>
        <w:t xml:space="preserve"> (P&lt;0.05).</w:t>
      </w:r>
      <w:r w:rsidR="00CE39CB" w:rsidRPr="001D58F8">
        <w:rPr>
          <w:rFonts w:cstheme="minorHAnsi"/>
          <w:color w:val="0000FF"/>
        </w:rPr>
        <w:t xml:space="preserve"> </w:t>
      </w:r>
    </w:p>
    <w:p w14:paraId="302ADD5F" w14:textId="77777777" w:rsidR="00AA2776" w:rsidRPr="001D58F8" w:rsidRDefault="00AA2776" w:rsidP="001D58F8">
      <w:pPr>
        <w:widowControl w:val="0"/>
        <w:autoSpaceDE w:val="0"/>
        <w:autoSpaceDN w:val="0"/>
        <w:adjustRightInd w:val="0"/>
        <w:ind w:left="0" w:right="-72" w:firstLine="0"/>
        <w:rPr>
          <w:rFonts w:eastAsia="Times New Roman" w:cstheme="minorHAnsi"/>
          <w:bCs/>
          <w:color w:val="0000FF"/>
          <w:kern w:val="36"/>
        </w:rPr>
      </w:pPr>
    </w:p>
    <w:p w14:paraId="777B52FC" w14:textId="2458AF45" w:rsidR="00FF69E7" w:rsidRPr="001D58F8" w:rsidRDefault="00735760" w:rsidP="001D58F8">
      <w:pPr>
        <w:widowControl w:val="0"/>
        <w:autoSpaceDE w:val="0"/>
        <w:autoSpaceDN w:val="0"/>
        <w:adjustRightInd w:val="0"/>
        <w:ind w:left="0" w:right="-72" w:firstLine="0"/>
        <w:rPr>
          <w:rFonts w:cstheme="minorHAnsi"/>
          <w:color w:val="0000FF"/>
        </w:rPr>
      </w:pPr>
      <w:r w:rsidRPr="001D58F8">
        <w:rPr>
          <w:rFonts w:cstheme="minorHAnsi"/>
          <w:color w:val="0000FF"/>
        </w:rPr>
        <w:t>In 2006, Ho et al</w:t>
      </w:r>
      <w:r w:rsidR="00196313" w:rsidRPr="001D58F8">
        <w:rPr>
          <w:rFonts w:cstheme="minorHAnsi"/>
          <w:color w:val="0000FF"/>
        </w:rPr>
        <w:t>.</w:t>
      </w:r>
      <w:r w:rsidR="00196313" w:rsidRPr="001D58F8">
        <w:rPr>
          <w:rFonts w:cstheme="minorHAnsi"/>
          <w:color w:val="0000FF"/>
          <w:vertAlign w:val="superscript"/>
        </w:rPr>
        <w:t>18</w:t>
      </w:r>
      <w:r w:rsidRPr="001D58F8">
        <w:rPr>
          <w:rFonts w:cstheme="minorHAnsi"/>
          <w:color w:val="0000FF"/>
        </w:rPr>
        <w:t xml:space="preserve"> </w:t>
      </w:r>
      <w:r w:rsidR="00FF69E7" w:rsidRPr="001D58F8">
        <w:rPr>
          <w:rFonts w:cstheme="minorHAnsi"/>
          <w:color w:val="0000FF"/>
        </w:rPr>
        <w:t xml:space="preserve">conducted a retrospective study to </w:t>
      </w:r>
      <w:r w:rsidRPr="001D58F8">
        <w:rPr>
          <w:rFonts w:cstheme="minorHAnsi"/>
          <w:color w:val="0000FF"/>
        </w:rPr>
        <w:t>evaluate the effect</w:t>
      </w:r>
      <w:r w:rsidR="00EA6138" w:rsidRPr="001D58F8">
        <w:rPr>
          <w:rFonts w:cstheme="minorHAnsi"/>
          <w:color w:val="0000FF"/>
        </w:rPr>
        <w:t>s</w:t>
      </w:r>
      <w:r w:rsidRPr="001D58F8">
        <w:rPr>
          <w:rFonts w:cstheme="minorHAnsi"/>
          <w:color w:val="0000FF"/>
        </w:rPr>
        <w:t xml:space="preserve"> of medication nonadherence</w:t>
      </w:r>
      <w:r w:rsidR="00EA6138" w:rsidRPr="001D58F8">
        <w:rPr>
          <w:rFonts w:cstheme="minorHAnsi"/>
          <w:color w:val="0000FF"/>
        </w:rPr>
        <w:t xml:space="preserve"> to cardioprotective medications</w:t>
      </w:r>
      <w:r w:rsidRPr="001D58F8">
        <w:rPr>
          <w:rFonts w:cstheme="minorHAnsi"/>
          <w:color w:val="0000FF"/>
        </w:rPr>
        <w:t xml:space="preserve"> on hospitalization and mortality among patients with diabetes mellitus</w:t>
      </w:r>
      <w:r w:rsidR="00FF69E7" w:rsidRPr="001D58F8">
        <w:rPr>
          <w:rFonts w:cstheme="minorHAnsi"/>
          <w:color w:val="0000FF"/>
        </w:rPr>
        <w:t xml:space="preserve"> and ischemic heart disease (N=3,998)</w:t>
      </w:r>
      <w:r w:rsidRPr="001D58F8">
        <w:rPr>
          <w:rFonts w:cstheme="minorHAnsi"/>
          <w:color w:val="0000FF"/>
        </w:rPr>
        <w:t xml:space="preserve">. </w:t>
      </w:r>
      <w:bookmarkStart w:id="10" w:name="_Hlk5460512"/>
      <w:r w:rsidR="00FF69E7" w:rsidRPr="001D58F8">
        <w:rPr>
          <w:color w:val="0000FF"/>
        </w:rPr>
        <w:t>In multivariable analysis, receipt of</w:t>
      </w:r>
      <w:r w:rsidR="00EA6138" w:rsidRPr="001D58F8">
        <w:rPr>
          <w:color w:val="0000FF"/>
        </w:rPr>
        <w:t xml:space="preserve"> any</w:t>
      </w:r>
      <w:r w:rsidR="00FF69E7" w:rsidRPr="001D58F8">
        <w:rPr>
          <w:color w:val="0000FF"/>
        </w:rPr>
        <w:t xml:space="preserve"> </w:t>
      </w:r>
      <w:r w:rsidR="00BF28EF" w:rsidRPr="001D58F8">
        <w:rPr>
          <w:color w:val="0000FF"/>
        </w:rPr>
        <w:t>angiotensin-converting enzyme (</w:t>
      </w:r>
      <w:r w:rsidR="00EA6138" w:rsidRPr="001D58F8">
        <w:rPr>
          <w:color w:val="0000FF"/>
        </w:rPr>
        <w:t>ACE</w:t>
      </w:r>
      <w:r w:rsidR="00BF28EF" w:rsidRPr="001D58F8">
        <w:rPr>
          <w:color w:val="0000FF"/>
        </w:rPr>
        <w:t>)</w:t>
      </w:r>
      <w:r w:rsidR="00EA6138" w:rsidRPr="001D58F8">
        <w:rPr>
          <w:color w:val="0000FF"/>
        </w:rPr>
        <w:t>/</w:t>
      </w:r>
      <w:r w:rsidR="00BF28EF" w:rsidRPr="001D58F8">
        <w:rPr>
          <w:color w:val="0000FF"/>
        </w:rPr>
        <w:t xml:space="preserve">angiotensin </w:t>
      </w:r>
      <w:r w:rsidR="00187560" w:rsidRPr="001D58F8">
        <w:rPr>
          <w:color w:val="0000FF"/>
        </w:rPr>
        <w:t>2</w:t>
      </w:r>
      <w:r w:rsidR="00BF28EF" w:rsidRPr="001D58F8">
        <w:rPr>
          <w:color w:val="0000FF"/>
        </w:rPr>
        <w:t xml:space="preserve"> receptor blockers (</w:t>
      </w:r>
      <w:r w:rsidR="00EA6138" w:rsidRPr="001D58F8">
        <w:rPr>
          <w:color w:val="0000FF"/>
        </w:rPr>
        <w:t>ARBs</w:t>
      </w:r>
      <w:r w:rsidR="00BF28EF" w:rsidRPr="001D58F8">
        <w:rPr>
          <w:color w:val="0000FF"/>
        </w:rPr>
        <w:t>)</w:t>
      </w:r>
      <w:r w:rsidR="00EA6138" w:rsidRPr="001D58F8">
        <w:rPr>
          <w:color w:val="0000FF"/>
        </w:rPr>
        <w:t>, beta-blockers, or statins was</w:t>
      </w:r>
      <w:r w:rsidR="00FF69E7" w:rsidRPr="001D58F8">
        <w:rPr>
          <w:color w:val="0000FF"/>
        </w:rPr>
        <w:t xml:space="preserve"> associated with lower all-cause mortality (OR</w:t>
      </w:r>
      <w:r w:rsidR="00E40D6D" w:rsidRPr="001D58F8">
        <w:rPr>
          <w:color w:val="0000FF"/>
        </w:rPr>
        <w:t>,</w:t>
      </w:r>
      <w:r w:rsidR="00FF69E7" w:rsidRPr="001D58F8">
        <w:rPr>
          <w:color w:val="0000FF"/>
        </w:rPr>
        <w:t xml:space="preserve"> 0.65; 95% CI</w:t>
      </w:r>
      <w:r w:rsidR="00E40D6D" w:rsidRPr="001D58F8">
        <w:rPr>
          <w:color w:val="0000FF"/>
        </w:rPr>
        <w:t>,</w:t>
      </w:r>
      <w:r w:rsidR="00FF69E7" w:rsidRPr="001D58F8">
        <w:rPr>
          <w:color w:val="0000FF"/>
        </w:rPr>
        <w:t xml:space="preserve"> 0.43</w:t>
      </w:r>
      <w:r w:rsidR="00E40D6D" w:rsidRPr="001D58F8">
        <w:rPr>
          <w:color w:val="0000FF"/>
        </w:rPr>
        <w:t>-</w:t>
      </w:r>
      <w:r w:rsidR="00FF69E7" w:rsidRPr="001D58F8">
        <w:rPr>
          <w:color w:val="0000FF"/>
        </w:rPr>
        <w:t xml:space="preserve">0.99). Medication adherence </w:t>
      </w:r>
      <w:r w:rsidR="00EA6138" w:rsidRPr="001D58F8">
        <w:rPr>
          <w:color w:val="0000FF"/>
        </w:rPr>
        <w:t>(</w:t>
      </w:r>
      <w:r w:rsidR="00EA6138" w:rsidRPr="001D58F8">
        <w:rPr>
          <w:rFonts w:eastAsia="Times New Roman" w:cstheme="minorHAnsi"/>
          <w:bCs/>
          <w:color w:val="0000FF"/>
          <w:kern w:val="36"/>
        </w:rPr>
        <w:t xml:space="preserve">PDC ≥80%) to any cardioprotective medications </w:t>
      </w:r>
      <w:r w:rsidR="00FF69E7" w:rsidRPr="001D58F8">
        <w:rPr>
          <w:color w:val="0000FF"/>
        </w:rPr>
        <w:t xml:space="preserve">was </w:t>
      </w:r>
      <w:r w:rsidR="00EA6138" w:rsidRPr="001D58F8">
        <w:rPr>
          <w:color w:val="0000FF"/>
        </w:rPr>
        <w:t xml:space="preserve">associated </w:t>
      </w:r>
      <w:r w:rsidR="00FF69E7" w:rsidRPr="001D58F8">
        <w:rPr>
          <w:color w:val="0000FF"/>
        </w:rPr>
        <w:t>with lower all-cause mortality (OR</w:t>
      </w:r>
      <w:r w:rsidR="00E40D6D" w:rsidRPr="001D58F8">
        <w:rPr>
          <w:color w:val="0000FF"/>
        </w:rPr>
        <w:t>,</w:t>
      </w:r>
      <w:r w:rsidR="00FF69E7" w:rsidRPr="001D58F8">
        <w:rPr>
          <w:color w:val="0000FF"/>
        </w:rPr>
        <w:t xml:space="preserve"> 0.52; 95% CI</w:t>
      </w:r>
      <w:r w:rsidR="00E40D6D" w:rsidRPr="001D58F8">
        <w:rPr>
          <w:color w:val="0000FF"/>
        </w:rPr>
        <w:t>,</w:t>
      </w:r>
      <w:r w:rsidR="00FF69E7" w:rsidRPr="001D58F8">
        <w:rPr>
          <w:color w:val="0000FF"/>
        </w:rPr>
        <w:t xml:space="preserve"> 0.39</w:t>
      </w:r>
      <w:r w:rsidR="00E40D6D" w:rsidRPr="001D58F8">
        <w:rPr>
          <w:color w:val="0000FF"/>
        </w:rPr>
        <w:t>-</w:t>
      </w:r>
      <w:r w:rsidR="00FF69E7" w:rsidRPr="001D58F8">
        <w:rPr>
          <w:color w:val="0000FF"/>
        </w:rPr>
        <w:t xml:space="preserve">0.69) compared </w:t>
      </w:r>
      <w:r w:rsidR="00E40D6D" w:rsidRPr="001D58F8">
        <w:rPr>
          <w:color w:val="0000FF"/>
        </w:rPr>
        <w:t>with</w:t>
      </w:r>
      <w:r w:rsidR="00FF69E7" w:rsidRPr="001D58F8">
        <w:rPr>
          <w:color w:val="0000FF"/>
        </w:rPr>
        <w:t xml:space="preserve"> non-adherence. In contrast, there was no mortality difference between patients receiving cardioprotective medications who were non-adherent compared </w:t>
      </w:r>
      <w:r w:rsidR="00E40D6D" w:rsidRPr="001D58F8">
        <w:rPr>
          <w:color w:val="0000FF"/>
        </w:rPr>
        <w:t>with</w:t>
      </w:r>
      <w:r w:rsidR="00FF69E7" w:rsidRPr="001D58F8">
        <w:rPr>
          <w:color w:val="0000FF"/>
        </w:rPr>
        <w:t xml:space="preserve"> patients not receiving any medications (OR</w:t>
      </w:r>
      <w:r w:rsidR="00E40D6D" w:rsidRPr="001D58F8">
        <w:rPr>
          <w:color w:val="0000FF"/>
        </w:rPr>
        <w:t>,</w:t>
      </w:r>
      <w:r w:rsidR="00FF69E7" w:rsidRPr="001D58F8">
        <w:rPr>
          <w:color w:val="0000FF"/>
        </w:rPr>
        <w:t xml:space="preserve"> 1.01; 95% CI</w:t>
      </w:r>
      <w:r w:rsidR="00E40D6D" w:rsidRPr="001D58F8">
        <w:rPr>
          <w:color w:val="0000FF"/>
        </w:rPr>
        <w:t>,</w:t>
      </w:r>
      <w:r w:rsidR="00FF69E7" w:rsidRPr="001D58F8">
        <w:rPr>
          <w:color w:val="0000FF"/>
        </w:rPr>
        <w:t xml:space="preserve"> 0.64–1.61).</w:t>
      </w:r>
    </w:p>
    <w:bookmarkEnd w:id="10"/>
    <w:p w14:paraId="512B86B5" w14:textId="77777777" w:rsidR="00735760" w:rsidRPr="001D58F8" w:rsidRDefault="00735760" w:rsidP="001D58F8">
      <w:pPr>
        <w:widowControl w:val="0"/>
        <w:autoSpaceDE w:val="0"/>
        <w:autoSpaceDN w:val="0"/>
        <w:adjustRightInd w:val="0"/>
        <w:ind w:left="0" w:right="-72" w:firstLine="0"/>
        <w:rPr>
          <w:rFonts w:eastAsia="Times New Roman" w:cstheme="minorHAnsi"/>
          <w:bCs/>
          <w:color w:val="0000FF"/>
          <w:kern w:val="36"/>
        </w:rPr>
      </w:pPr>
    </w:p>
    <w:p w14:paraId="0DDB9CA8" w14:textId="22ECB183" w:rsidR="001E4E89" w:rsidRPr="001D58F8" w:rsidRDefault="001E4E89" w:rsidP="001D58F8">
      <w:pPr>
        <w:autoSpaceDE w:val="0"/>
        <w:autoSpaceDN w:val="0"/>
        <w:adjustRightInd w:val="0"/>
        <w:ind w:left="0" w:firstLine="0"/>
        <w:rPr>
          <w:rFonts w:cs="AdvOT3f82cb7c"/>
          <w:color w:val="231F20"/>
        </w:rPr>
      </w:pPr>
      <w:r w:rsidRPr="001D58F8">
        <w:rPr>
          <w:rFonts w:cstheme="minorHAnsi"/>
          <w:color w:val="0000FF"/>
        </w:rPr>
        <w:t>In 2011, Roebuck et al</w:t>
      </w:r>
      <w:r w:rsidR="00CB7B62" w:rsidRPr="001D58F8">
        <w:rPr>
          <w:rFonts w:cstheme="minorHAnsi"/>
          <w:color w:val="0000FF"/>
        </w:rPr>
        <w:t>.</w:t>
      </w:r>
      <w:r w:rsidR="00CB7B62" w:rsidRPr="001D58F8">
        <w:rPr>
          <w:rFonts w:cstheme="minorHAnsi"/>
          <w:color w:val="0000FF"/>
          <w:vertAlign w:val="superscript"/>
        </w:rPr>
        <w:t>19</w:t>
      </w:r>
      <w:r w:rsidRPr="001D58F8">
        <w:rPr>
          <w:rFonts w:cstheme="minorHAnsi"/>
          <w:color w:val="0000FF"/>
        </w:rPr>
        <w:t xml:space="preserve"> conducted a retrospective analysis to evaluate the relationship between medication adherence</w:t>
      </w:r>
      <w:r w:rsidR="000E047C" w:rsidRPr="001D58F8">
        <w:rPr>
          <w:rFonts w:cstheme="minorHAnsi"/>
          <w:color w:val="0000FF"/>
        </w:rPr>
        <w:t xml:space="preserve"> (MPR</w:t>
      </w:r>
      <w:r w:rsidR="000E047C" w:rsidRPr="001D58F8">
        <w:rPr>
          <w:rFonts w:eastAsia="Times New Roman" w:cstheme="minorHAnsi"/>
          <w:bCs/>
          <w:color w:val="0000FF"/>
          <w:kern w:val="36"/>
        </w:rPr>
        <w:t xml:space="preserve"> ≥80%)</w:t>
      </w:r>
      <w:r w:rsidR="000E047C" w:rsidRPr="001D58F8">
        <w:rPr>
          <w:rFonts w:cstheme="minorHAnsi"/>
          <w:color w:val="0000FF"/>
        </w:rPr>
        <w:t xml:space="preserve"> </w:t>
      </w:r>
      <w:r w:rsidRPr="001D58F8">
        <w:rPr>
          <w:rFonts w:cstheme="minorHAnsi"/>
          <w:color w:val="0000FF"/>
        </w:rPr>
        <w:t xml:space="preserve">and the </w:t>
      </w:r>
      <w:r w:rsidR="000E047C" w:rsidRPr="001D58F8">
        <w:rPr>
          <w:rFonts w:cstheme="minorHAnsi"/>
          <w:color w:val="0000FF"/>
        </w:rPr>
        <w:t>utilization</w:t>
      </w:r>
      <w:r w:rsidRPr="001D58F8">
        <w:rPr>
          <w:rFonts w:cstheme="minorHAnsi"/>
          <w:color w:val="0000FF"/>
        </w:rPr>
        <w:t xml:space="preserve"> and cost of health services in patients with </w:t>
      </w:r>
      <w:r w:rsidR="00E40D6D" w:rsidRPr="001D58F8">
        <w:rPr>
          <w:rFonts w:cstheme="minorHAnsi"/>
          <w:color w:val="0000FF"/>
        </w:rPr>
        <w:t>CHF</w:t>
      </w:r>
      <w:r w:rsidR="000E047C" w:rsidRPr="001D58F8">
        <w:rPr>
          <w:rFonts w:cstheme="minorHAnsi"/>
          <w:color w:val="0000FF"/>
        </w:rPr>
        <w:t xml:space="preserve"> (N=16,353)</w:t>
      </w:r>
      <w:r w:rsidRPr="001D58F8">
        <w:rPr>
          <w:rFonts w:cstheme="minorHAnsi"/>
          <w:color w:val="0000FF"/>
        </w:rPr>
        <w:t>, hype</w:t>
      </w:r>
      <w:r w:rsidR="00E40D6D" w:rsidRPr="001D58F8">
        <w:rPr>
          <w:rFonts w:cstheme="minorHAnsi"/>
          <w:color w:val="0000FF"/>
        </w:rPr>
        <w:t>rtension</w:t>
      </w:r>
      <w:r w:rsidR="000E047C" w:rsidRPr="001D58F8">
        <w:rPr>
          <w:rFonts w:cstheme="minorHAnsi"/>
          <w:color w:val="0000FF"/>
        </w:rPr>
        <w:t xml:space="preserve"> (N=112,757)</w:t>
      </w:r>
      <w:r w:rsidRPr="001D58F8">
        <w:rPr>
          <w:rFonts w:cstheme="minorHAnsi"/>
          <w:color w:val="0000FF"/>
        </w:rPr>
        <w:t>, diabetes</w:t>
      </w:r>
      <w:r w:rsidR="000E047C" w:rsidRPr="001D58F8">
        <w:rPr>
          <w:rFonts w:cstheme="minorHAnsi"/>
          <w:color w:val="0000FF"/>
        </w:rPr>
        <w:t xml:space="preserve"> (N=42,080)</w:t>
      </w:r>
      <w:r w:rsidRPr="001D58F8">
        <w:rPr>
          <w:rFonts w:cstheme="minorHAnsi"/>
          <w:color w:val="0000FF"/>
        </w:rPr>
        <w:t>, or hyperlipidemia</w:t>
      </w:r>
      <w:r w:rsidR="00FF69E7" w:rsidRPr="001D58F8">
        <w:rPr>
          <w:rFonts w:cstheme="minorHAnsi"/>
          <w:color w:val="0000FF"/>
        </w:rPr>
        <w:t xml:space="preserve"> </w:t>
      </w:r>
      <w:r w:rsidR="000E047C" w:rsidRPr="001D58F8">
        <w:rPr>
          <w:rFonts w:cstheme="minorHAnsi"/>
          <w:color w:val="0000FF"/>
        </w:rPr>
        <w:t>(N=53,041)</w:t>
      </w:r>
      <w:r w:rsidRPr="001D58F8">
        <w:rPr>
          <w:rFonts w:cstheme="minorHAnsi"/>
          <w:color w:val="0000FF"/>
        </w:rPr>
        <w:t>. Across all conditions, adherence (</w:t>
      </w:r>
      <w:r w:rsidR="00E40D6D" w:rsidRPr="001D58F8">
        <w:rPr>
          <w:rFonts w:cstheme="minorHAnsi"/>
          <w:color w:val="0000FF"/>
        </w:rPr>
        <w:t>MPR</w:t>
      </w:r>
      <w:r w:rsidRPr="001D58F8">
        <w:rPr>
          <w:rFonts w:cstheme="minorHAnsi"/>
          <w:color w:val="0000FF"/>
        </w:rPr>
        <w:t xml:space="preserve"> ≥80%) was associated with significantly lower annual inpatient hospital days and emergency department visits. The additional annual pharmacy spending was offset by the decrease in medical spending.</w:t>
      </w:r>
    </w:p>
    <w:p w14:paraId="3D1596C6" w14:textId="77777777" w:rsidR="00735760" w:rsidRPr="001D58F8" w:rsidRDefault="00735760" w:rsidP="001D58F8">
      <w:pPr>
        <w:autoSpaceDE w:val="0"/>
        <w:autoSpaceDN w:val="0"/>
        <w:adjustRightInd w:val="0"/>
        <w:ind w:left="0" w:firstLine="0"/>
        <w:rPr>
          <w:rFonts w:cstheme="minorHAnsi"/>
          <w:color w:val="0000FF"/>
        </w:rPr>
      </w:pPr>
    </w:p>
    <w:p w14:paraId="0045F72F" w14:textId="570BF52C" w:rsidR="00252B20" w:rsidRPr="001D58F8" w:rsidRDefault="00375AEC" w:rsidP="001D58F8">
      <w:pPr>
        <w:widowControl w:val="0"/>
        <w:autoSpaceDE w:val="0"/>
        <w:autoSpaceDN w:val="0"/>
        <w:adjustRightInd w:val="0"/>
        <w:ind w:left="0" w:right="-72" w:firstLine="0"/>
        <w:rPr>
          <w:rFonts w:cstheme="minorHAnsi"/>
          <w:color w:val="0000FF"/>
        </w:rPr>
      </w:pPr>
      <w:r w:rsidRPr="001D58F8">
        <w:rPr>
          <w:rFonts w:eastAsia="Times New Roman" w:cstheme="minorHAnsi"/>
          <w:bCs/>
          <w:color w:val="0000FF"/>
          <w:kern w:val="36"/>
        </w:rPr>
        <w:t>In</w:t>
      </w:r>
      <w:r w:rsidR="00AA2776" w:rsidRPr="001D58F8">
        <w:rPr>
          <w:rFonts w:eastAsia="Times New Roman" w:cstheme="minorHAnsi"/>
          <w:bCs/>
          <w:color w:val="0000FF"/>
          <w:kern w:val="36"/>
        </w:rPr>
        <w:t xml:space="preserve"> </w:t>
      </w:r>
      <w:r w:rsidRPr="001D58F8">
        <w:rPr>
          <w:rFonts w:eastAsia="Times New Roman" w:cstheme="minorHAnsi"/>
          <w:bCs/>
          <w:color w:val="0000FF"/>
          <w:kern w:val="36"/>
        </w:rPr>
        <w:t>2014, Choudhry et al</w:t>
      </w:r>
      <w:r w:rsidR="00CB7B62" w:rsidRPr="001D58F8">
        <w:rPr>
          <w:rFonts w:eastAsia="Times New Roman" w:cstheme="minorHAnsi"/>
          <w:bCs/>
          <w:color w:val="0000FF"/>
          <w:kern w:val="36"/>
        </w:rPr>
        <w:t>.</w:t>
      </w:r>
      <w:r w:rsidR="00CB7B62" w:rsidRPr="001D58F8">
        <w:rPr>
          <w:rFonts w:eastAsia="Times New Roman" w:cstheme="minorHAnsi"/>
          <w:bCs/>
          <w:color w:val="0000FF"/>
          <w:kern w:val="36"/>
          <w:vertAlign w:val="superscript"/>
        </w:rPr>
        <w:t>20</w:t>
      </w:r>
      <w:r w:rsidR="00B570C2" w:rsidRPr="001D58F8">
        <w:rPr>
          <w:rFonts w:eastAsia="Times New Roman" w:cstheme="minorHAnsi"/>
          <w:bCs/>
          <w:color w:val="0000FF"/>
          <w:kern w:val="36"/>
        </w:rPr>
        <w:t xml:space="preserve"> </w:t>
      </w:r>
      <w:r w:rsidR="00083B1F" w:rsidRPr="001D58F8">
        <w:rPr>
          <w:rFonts w:eastAsia="Times New Roman" w:cstheme="minorHAnsi"/>
          <w:bCs/>
          <w:color w:val="0000FF"/>
          <w:kern w:val="36"/>
        </w:rPr>
        <w:t xml:space="preserve">conducted a retrospective analysis to </w:t>
      </w:r>
      <w:r w:rsidR="00252B20" w:rsidRPr="001D58F8">
        <w:rPr>
          <w:rFonts w:eastAsia="Times New Roman" w:cstheme="minorHAnsi"/>
          <w:bCs/>
          <w:color w:val="0000FF"/>
          <w:kern w:val="36"/>
        </w:rPr>
        <w:t xml:space="preserve">evaluate </w:t>
      </w:r>
      <w:r w:rsidRPr="001D58F8">
        <w:rPr>
          <w:rFonts w:eastAsia="Times New Roman" w:cstheme="minorHAnsi"/>
          <w:bCs/>
          <w:color w:val="0000FF"/>
          <w:kern w:val="36"/>
        </w:rPr>
        <w:t>the relationship between medication adherence</w:t>
      </w:r>
      <w:r w:rsidR="00252B20" w:rsidRPr="001D58F8">
        <w:rPr>
          <w:rFonts w:eastAsia="Times New Roman" w:cstheme="minorHAnsi"/>
          <w:bCs/>
          <w:color w:val="0000FF"/>
          <w:kern w:val="36"/>
        </w:rPr>
        <w:t xml:space="preserve"> (PDC ≥80%) </w:t>
      </w:r>
      <w:r w:rsidRPr="001D58F8">
        <w:rPr>
          <w:rFonts w:eastAsia="Times New Roman" w:cstheme="minorHAnsi"/>
          <w:bCs/>
          <w:color w:val="0000FF"/>
          <w:kern w:val="36"/>
        </w:rPr>
        <w:t>and post-myocardial infarction adverse coronary events</w:t>
      </w:r>
      <w:r w:rsidR="00E40D6D" w:rsidRPr="001D58F8">
        <w:rPr>
          <w:rFonts w:eastAsia="Times New Roman" w:cstheme="minorHAnsi"/>
          <w:bCs/>
          <w:color w:val="0000FF"/>
          <w:kern w:val="36"/>
        </w:rPr>
        <w:t xml:space="preserve"> (N=4,117)</w:t>
      </w:r>
      <w:r w:rsidRPr="001D58F8">
        <w:rPr>
          <w:rFonts w:eastAsia="Times New Roman" w:cstheme="minorHAnsi"/>
          <w:bCs/>
          <w:color w:val="0000FF"/>
          <w:kern w:val="36"/>
        </w:rPr>
        <w:t xml:space="preserve">. Compared with patients randomized to usual care, </w:t>
      </w:r>
      <w:r w:rsidR="00EE27D2" w:rsidRPr="001D58F8">
        <w:rPr>
          <w:rFonts w:eastAsia="Times New Roman" w:cstheme="minorHAnsi"/>
          <w:bCs/>
          <w:color w:val="0000FF"/>
          <w:kern w:val="36"/>
        </w:rPr>
        <w:t>patients who were</w:t>
      </w:r>
      <w:r w:rsidR="00252B20" w:rsidRPr="001D58F8">
        <w:rPr>
          <w:rFonts w:eastAsia="Times New Roman" w:cstheme="minorHAnsi"/>
          <w:bCs/>
          <w:color w:val="0000FF"/>
          <w:kern w:val="36"/>
        </w:rPr>
        <w:t xml:space="preserve"> adheren</w:t>
      </w:r>
      <w:r w:rsidR="00EE27D2" w:rsidRPr="001D58F8">
        <w:rPr>
          <w:rFonts w:eastAsia="Times New Roman" w:cstheme="minorHAnsi"/>
          <w:bCs/>
          <w:color w:val="0000FF"/>
          <w:kern w:val="36"/>
        </w:rPr>
        <w:t>t</w:t>
      </w:r>
      <w:r w:rsidR="00252B20" w:rsidRPr="001D58F8">
        <w:rPr>
          <w:rFonts w:eastAsia="Times New Roman" w:cstheme="minorHAnsi"/>
          <w:bCs/>
          <w:color w:val="0000FF"/>
          <w:kern w:val="36"/>
        </w:rPr>
        <w:t xml:space="preserve"> </w:t>
      </w:r>
      <w:r w:rsidR="00083B1F" w:rsidRPr="001D58F8">
        <w:rPr>
          <w:rFonts w:eastAsia="Times New Roman" w:cstheme="minorHAnsi"/>
          <w:bCs/>
          <w:color w:val="0000FF"/>
          <w:kern w:val="36"/>
        </w:rPr>
        <w:t xml:space="preserve">to statins, beta-blockers, and </w:t>
      </w:r>
      <w:r w:rsidR="00E40D6D" w:rsidRPr="001D58F8">
        <w:rPr>
          <w:rFonts w:eastAsia="Times New Roman" w:cstheme="minorHAnsi"/>
          <w:bCs/>
          <w:color w:val="0000FF"/>
          <w:kern w:val="36"/>
        </w:rPr>
        <w:t>ACE/ARBs</w:t>
      </w:r>
      <w:r w:rsidR="00083B1F" w:rsidRPr="001D58F8">
        <w:rPr>
          <w:rFonts w:eastAsia="Times New Roman" w:cstheme="minorHAnsi"/>
          <w:bCs/>
          <w:color w:val="0000FF"/>
          <w:kern w:val="36"/>
        </w:rPr>
        <w:t xml:space="preserve"> </w:t>
      </w:r>
      <w:r w:rsidR="00252B20" w:rsidRPr="001D58F8">
        <w:rPr>
          <w:rFonts w:eastAsia="Times New Roman" w:cstheme="minorHAnsi"/>
          <w:bCs/>
          <w:color w:val="0000FF"/>
          <w:kern w:val="36"/>
        </w:rPr>
        <w:t>were significantly less likely to experience first major vascular event or revascularization (hazard ratio [HR]</w:t>
      </w:r>
      <w:r w:rsidR="00E40D6D" w:rsidRPr="001D58F8">
        <w:rPr>
          <w:rFonts w:eastAsia="Times New Roman" w:cstheme="minorHAnsi"/>
          <w:bCs/>
          <w:color w:val="0000FF"/>
          <w:kern w:val="36"/>
        </w:rPr>
        <w:t xml:space="preserve"> range,</w:t>
      </w:r>
      <w:r w:rsidR="00252B20" w:rsidRPr="001D58F8">
        <w:rPr>
          <w:rFonts w:eastAsia="Times New Roman" w:cstheme="minorHAnsi"/>
          <w:bCs/>
          <w:color w:val="0000FF"/>
          <w:kern w:val="36"/>
        </w:rPr>
        <w:t xml:space="preserve"> 0.64-0.81).</w:t>
      </w:r>
      <w:r w:rsidR="00EE27D2" w:rsidRPr="001D58F8">
        <w:rPr>
          <w:rFonts w:eastAsia="Times New Roman" w:cstheme="minorHAnsi"/>
          <w:bCs/>
          <w:color w:val="0000FF"/>
          <w:kern w:val="36"/>
        </w:rPr>
        <w:t xml:space="preserve"> </w:t>
      </w:r>
      <w:r w:rsidR="00252B20" w:rsidRPr="001D58F8">
        <w:rPr>
          <w:rFonts w:cstheme="minorHAnsi"/>
          <w:color w:val="0000FF"/>
        </w:rPr>
        <w:t xml:space="preserve">In contrast, nonadherent patients </w:t>
      </w:r>
      <w:r w:rsidR="00B570C2" w:rsidRPr="001D58F8">
        <w:rPr>
          <w:rFonts w:cstheme="minorHAnsi"/>
          <w:color w:val="0000FF"/>
        </w:rPr>
        <w:t>showed</w:t>
      </w:r>
      <w:r w:rsidR="00252B20" w:rsidRPr="001D58F8">
        <w:rPr>
          <w:rFonts w:cstheme="minorHAnsi"/>
          <w:color w:val="0000FF"/>
        </w:rPr>
        <w:t xml:space="preserve"> no benefit (HR range</w:t>
      </w:r>
      <w:r w:rsidR="00D15CA5" w:rsidRPr="001D58F8">
        <w:rPr>
          <w:rFonts w:cstheme="minorHAnsi"/>
          <w:color w:val="0000FF"/>
        </w:rPr>
        <w:t>,</w:t>
      </w:r>
      <w:r w:rsidR="00252B20" w:rsidRPr="001D58F8">
        <w:rPr>
          <w:rFonts w:cstheme="minorHAnsi"/>
          <w:color w:val="0000FF"/>
        </w:rPr>
        <w:t xml:space="preserve"> 0.98-1.04</w:t>
      </w:r>
      <w:r w:rsidR="00D15CA5" w:rsidRPr="001D58F8">
        <w:rPr>
          <w:rFonts w:cstheme="minorHAnsi"/>
          <w:color w:val="0000FF"/>
        </w:rPr>
        <w:t>;</w:t>
      </w:r>
      <w:r w:rsidR="00252B20" w:rsidRPr="001D58F8">
        <w:rPr>
          <w:rFonts w:cstheme="minorHAnsi"/>
          <w:color w:val="0000FF"/>
        </w:rPr>
        <w:t xml:space="preserve"> P≤</w:t>
      </w:r>
      <w:r w:rsidR="00D15CA5" w:rsidRPr="001D58F8">
        <w:rPr>
          <w:rFonts w:cstheme="minorHAnsi"/>
          <w:color w:val="0000FF"/>
        </w:rPr>
        <w:t>0</w:t>
      </w:r>
      <w:r w:rsidR="00252B20" w:rsidRPr="001D58F8">
        <w:rPr>
          <w:rFonts w:cstheme="minorHAnsi"/>
          <w:color w:val="0000FF"/>
        </w:rPr>
        <w:t>.01 for the difference in HRs between adherent and nonadherent patients).</w:t>
      </w:r>
    </w:p>
    <w:p w14:paraId="61D77BE2" w14:textId="3EDC0A7E" w:rsidR="00346F1C" w:rsidRPr="001D58F8" w:rsidRDefault="00346F1C" w:rsidP="001D58F8">
      <w:pPr>
        <w:widowControl w:val="0"/>
        <w:autoSpaceDE w:val="0"/>
        <w:autoSpaceDN w:val="0"/>
        <w:adjustRightInd w:val="0"/>
        <w:ind w:left="0" w:right="-72" w:firstLine="0"/>
        <w:rPr>
          <w:rFonts w:cstheme="minorHAnsi"/>
          <w:color w:val="FF0000"/>
        </w:rPr>
      </w:pPr>
    </w:p>
    <w:p w14:paraId="5A54D3A7" w14:textId="77777777" w:rsidR="001D58F8" w:rsidRDefault="00F32931" w:rsidP="001D58F8">
      <w:pPr>
        <w:widowControl w:val="0"/>
        <w:autoSpaceDE w:val="0"/>
        <w:autoSpaceDN w:val="0"/>
        <w:adjustRightInd w:val="0"/>
        <w:ind w:left="0" w:right="-72" w:firstLine="0"/>
        <w:rPr>
          <w:rFonts w:cstheme="minorHAnsi"/>
          <w:color w:val="FF0000"/>
        </w:rPr>
      </w:pPr>
      <w:r w:rsidRPr="001D58F8">
        <w:rPr>
          <w:rFonts w:cstheme="minorHAnsi"/>
          <w:color w:val="FF0000"/>
        </w:rPr>
        <w:t>Recent evidence continues to demonstrate the relationship of medication adherence with clinical and economic outcomes</w:t>
      </w:r>
      <w:r w:rsidR="00094EC8" w:rsidRPr="001D58F8">
        <w:rPr>
          <w:rFonts w:cstheme="minorHAnsi"/>
          <w:color w:val="FF0000"/>
        </w:rPr>
        <w:t>.</w:t>
      </w:r>
      <w:r w:rsidR="00ED4175" w:rsidRPr="001D58F8">
        <w:rPr>
          <w:rFonts w:cstheme="minorHAnsi"/>
          <w:color w:val="FF0000"/>
        </w:rPr>
        <w:t xml:space="preserve"> </w:t>
      </w:r>
    </w:p>
    <w:p w14:paraId="13BF32A8" w14:textId="77777777" w:rsidR="001D58F8" w:rsidRDefault="001D58F8" w:rsidP="001D58F8">
      <w:pPr>
        <w:widowControl w:val="0"/>
        <w:autoSpaceDE w:val="0"/>
        <w:autoSpaceDN w:val="0"/>
        <w:adjustRightInd w:val="0"/>
        <w:ind w:left="0" w:right="-72" w:firstLine="0"/>
        <w:rPr>
          <w:rFonts w:cstheme="minorHAnsi"/>
          <w:color w:val="FF0000"/>
        </w:rPr>
      </w:pPr>
    </w:p>
    <w:p w14:paraId="11B3B74A" w14:textId="03489D17" w:rsidR="0036237D" w:rsidRPr="001D58F8" w:rsidRDefault="001D58F8" w:rsidP="001D58F8">
      <w:pPr>
        <w:widowControl w:val="0"/>
        <w:autoSpaceDE w:val="0"/>
        <w:autoSpaceDN w:val="0"/>
        <w:adjustRightInd w:val="0"/>
        <w:ind w:left="0" w:right="-72" w:firstLine="0"/>
        <w:rPr>
          <w:rFonts w:cstheme="minorHAnsi"/>
          <w:color w:val="FF0000"/>
        </w:rPr>
      </w:pPr>
      <w:r>
        <w:rPr>
          <w:rFonts w:cstheme="minorHAnsi"/>
          <w:color w:val="FF0000"/>
        </w:rPr>
        <w:t>A</w:t>
      </w:r>
      <w:r w:rsidR="00F32931" w:rsidRPr="001D58F8">
        <w:rPr>
          <w:rFonts w:cstheme="minorHAnsi"/>
          <w:color w:val="FF0000"/>
        </w:rPr>
        <w:t xml:space="preserve"> 2016 study </w:t>
      </w:r>
      <w:r w:rsidR="0036237D" w:rsidRPr="001D58F8">
        <w:rPr>
          <w:rFonts w:cstheme="minorHAnsi"/>
          <w:color w:val="FF0000"/>
        </w:rPr>
        <w:t>by Korhonen et al.</w:t>
      </w:r>
      <w:r w:rsidR="00094EC8" w:rsidRPr="001D58F8">
        <w:rPr>
          <w:rFonts w:cstheme="minorHAnsi"/>
          <w:color w:val="FF0000"/>
          <w:vertAlign w:val="superscript"/>
        </w:rPr>
        <w:t>21</w:t>
      </w:r>
      <w:r w:rsidR="0036237D" w:rsidRPr="001D58F8">
        <w:rPr>
          <w:rFonts w:cstheme="minorHAnsi"/>
          <w:color w:val="FF0000"/>
        </w:rPr>
        <w:t xml:space="preserve"> evaluated the relationship between statin adherence (PDC ≥80%) and ischemic stroke in patients with diabetes (N=52,868). Adherence to statins was associated with a 23% decreased incidence of ischemic stroke (95% CI, 14–32%) compared to nonadherence. </w:t>
      </w:r>
    </w:p>
    <w:p w14:paraId="181FD78D" w14:textId="77777777" w:rsidR="00623B5A" w:rsidRPr="001D58F8" w:rsidRDefault="00623B5A" w:rsidP="001D58F8">
      <w:pPr>
        <w:pStyle w:val="BodyText"/>
        <w:rPr>
          <w:rFonts w:asciiTheme="minorHAnsi" w:hAnsiTheme="minorHAnsi" w:cstheme="minorHAnsi"/>
          <w:color w:val="FF0000"/>
          <w:sz w:val="22"/>
          <w:szCs w:val="22"/>
        </w:rPr>
      </w:pPr>
    </w:p>
    <w:p w14:paraId="73FF4C67" w14:textId="78F371DF" w:rsidR="007066C4" w:rsidRPr="001D58F8" w:rsidRDefault="002857CD" w:rsidP="001D58F8">
      <w:pPr>
        <w:pStyle w:val="BodyText"/>
        <w:rPr>
          <w:rFonts w:asciiTheme="minorHAnsi" w:hAnsiTheme="minorHAnsi" w:cstheme="minorHAnsi"/>
          <w:color w:val="FF0000"/>
          <w:sz w:val="22"/>
          <w:szCs w:val="22"/>
        </w:rPr>
      </w:pPr>
      <w:proofErr w:type="spellStart"/>
      <w:r w:rsidRPr="001D58F8">
        <w:rPr>
          <w:rFonts w:asciiTheme="minorHAnsi" w:hAnsiTheme="minorHAnsi" w:cstheme="minorHAnsi"/>
          <w:color w:val="FF0000"/>
          <w:sz w:val="22"/>
          <w:szCs w:val="22"/>
        </w:rPr>
        <w:t>Boye</w:t>
      </w:r>
      <w:proofErr w:type="spellEnd"/>
      <w:r w:rsidRPr="001D58F8">
        <w:rPr>
          <w:rFonts w:asciiTheme="minorHAnsi" w:hAnsiTheme="minorHAnsi" w:cstheme="minorHAnsi"/>
          <w:color w:val="FF0000"/>
          <w:sz w:val="22"/>
          <w:szCs w:val="22"/>
        </w:rPr>
        <w:t xml:space="preserve"> et al</w:t>
      </w:r>
      <w:r w:rsidR="00094EC8" w:rsidRPr="001D58F8">
        <w:rPr>
          <w:rFonts w:asciiTheme="minorHAnsi" w:hAnsiTheme="minorHAnsi" w:cstheme="minorHAnsi"/>
          <w:color w:val="FF0000"/>
          <w:sz w:val="22"/>
          <w:szCs w:val="22"/>
        </w:rPr>
        <w:t>.</w:t>
      </w:r>
      <w:r w:rsidR="00094EC8" w:rsidRPr="001D58F8">
        <w:rPr>
          <w:rFonts w:asciiTheme="minorHAnsi" w:hAnsiTheme="minorHAnsi" w:cstheme="minorHAnsi"/>
          <w:color w:val="FF0000"/>
          <w:sz w:val="22"/>
          <w:szCs w:val="22"/>
          <w:vertAlign w:val="superscript"/>
        </w:rPr>
        <w:t>22</w:t>
      </w:r>
      <w:r w:rsidRPr="001D58F8">
        <w:rPr>
          <w:rFonts w:asciiTheme="minorHAnsi" w:hAnsiTheme="minorHAnsi" w:cstheme="minorHAnsi"/>
          <w:color w:val="FF0000"/>
          <w:sz w:val="22"/>
          <w:szCs w:val="22"/>
        </w:rPr>
        <w:t xml:space="preserve"> </w:t>
      </w:r>
      <w:r w:rsidR="00BF3BF6" w:rsidRPr="001D58F8">
        <w:rPr>
          <w:rFonts w:asciiTheme="minorHAnsi" w:hAnsiTheme="minorHAnsi" w:cstheme="minorHAnsi"/>
          <w:color w:val="FF0000"/>
          <w:sz w:val="22"/>
          <w:szCs w:val="22"/>
        </w:rPr>
        <w:t>examined</w:t>
      </w:r>
      <w:r w:rsidRPr="001D58F8">
        <w:rPr>
          <w:rFonts w:asciiTheme="minorHAnsi" w:hAnsiTheme="minorHAnsi" w:cstheme="minorHAnsi"/>
          <w:color w:val="FF0000"/>
          <w:sz w:val="22"/>
          <w:szCs w:val="22"/>
        </w:rPr>
        <w:t xml:space="preserve"> the relationship </w:t>
      </w:r>
      <w:r w:rsidR="007802D8" w:rsidRPr="001D58F8">
        <w:rPr>
          <w:rFonts w:asciiTheme="minorHAnsi" w:hAnsiTheme="minorHAnsi" w:cstheme="minorHAnsi"/>
          <w:color w:val="FF0000"/>
          <w:sz w:val="22"/>
          <w:szCs w:val="22"/>
        </w:rPr>
        <w:t xml:space="preserve">of </w:t>
      </w:r>
      <w:r w:rsidRPr="001D58F8">
        <w:rPr>
          <w:rFonts w:asciiTheme="minorHAnsi" w:hAnsiTheme="minorHAnsi" w:cstheme="minorHAnsi"/>
          <w:color w:val="FF0000"/>
          <w:sz w:val="22"/>
          <w:szCs w:val="22"/>
        </w:rPr>
        <w:t xml:space="preserve">medication adherence </w:t>
      </w:r>
      <w:r w:rsidR="007802D8" w:rsidRPr="001D58F8">
        <w:rPr>
          <w:rFonts w:asciiTheme="minorHAnsi" w:hAnsiTheme="minorHAnsi" w:cstheme="minorHAnsi"/>
          <w:color w:val="FF0000"/>
          <w:sz w:val="22"/>
          <w:szCs w:val="22"/>
        </w:rPr>
        <w:t>thresholds with</w:t>
      </w:r>
      <w:r w:rsidRPr="001D58F8">
        <w:rPr>
          <w:rFonts w:asciiTheme="minorHAnsi" w:hAnsiTheme="minorHAnsi" w:cstheme="minorHAnsi"/>
          <w:color w:val="FF0000"/>
          <w:sz w:val="22"/>
          <w:szCs w:val="22"/>
        </w:rPr>
        <w:t xml:space="preserve"> clinical outcomes and cost</w:t>
      </w:r>
      <w:r w:rsidR="007802D8" w:rsidRPr="001D58F8">
        <w:rPr>
          <w:rFonts w:asciiTheme="minorHAnsi" w:hAnsiTheme="minorHAnsi" w:cstheme="minorHAnsi"/>
          <w:color w:val="FF0000"/>
          <w:sz w:val="22"/>
          <w:szCs w:val="22"/>
        </w:rPr>
        <w:t xml:space="preserve"> among older adults enrolled in Medicare with type 2 diabetes (N=123,235)</w:t>
      </w:r>
      <w:r w:rsidRPr="001D58F8">
        <w:rPr>
          <w:rFonts w:asciiTheme="minorHAnsi" w:hAnsiTheme="minorHAnsi" w:cstheme="minorHAnsi"/>
          <w:color w:val="FF0000"/>
          <w:sz w:val="22"/>
          <w:szCs w:val="22"/>
        </w:rPr>
        <w:t xml:space="preserve">. </w:t>
      </w:r>
      <w:r w:rsidR="008A25B7" w:rsidRPr="001D58F8">
        <w:rPr>
          <w:rFonts w:asciiTheme="minorHAnsi" w:hAnsiTheme="minorHAnsi" w:cstheme="minorHAnsi"/>
          <w:color w:val="FF0000"/>
          <w:sz w:val="22"/>
          <w:szCs w:val="22"/>
        </w:rPr>
        <w:t xml:space="preserve"> </w:t>
      </w:r>
      <w:r w:rsidR="0036237D" w:rsidRPr="001D58F8">
        <w:rPr>
          <w:rFonts w:asciiTheme="minorHAnsi" w:hAnsiTheme="minorHAnsi" w:cstheme="minorHAnsi"/>
          <w:color w:val="FF0000"/>
          <w:sz w:val="22"/>
          <w:szCs w:val="22"/>
        </w:rPr>
        <w:t>A PDC</w:t>
      </w:r>
      <w:r w:rsidR="008A25B7" w:rsidRPr="001D58F8">
        <w:rPr>
          <w:rFonts w:asciiTheme="minorHAnsi" w:hAnsiTheme="minorHAnsi" w:cstheme="minorHAnsi"/>
          <w:color w:val="FF0000"/>
          <w:sz w:val="22"/>
          <w:szCs w:val="22"/>
        </w:rPr>
        <w:t xml:space="preserve"> ≥80% was associated with a lower probability of </w:t>
      </w:r>
      <w:r w:rsidRPr="001D58F8">
        <w:rPr>
          <w:rFonts w:asciiTheme="minorHAnsi" w:hAnsiTheme="minorHAnsi" w:cstheme="minorHAnsi"/>
          <w:color w:val="FF0000"/>
          <w:sz w:val="22"/>
          <w:szCs w:val="22"/>
        </w:rPr>
        <w:t xml:space="preserve">hospitalization </w:t>
      </w:r>
      <w:r w:rsidR="008A25B7" w:rsidRPr="001D58F8">
        <w:rPr>
          <w:rFonts w:asciiTheme="minorHAnsi" w:hAnsiTheme="minorHAnsi" w:cstheme="minorHAnsi"/>
          <w:color w:val="FF0000"/>
          <w:sz w:val="22"/>
          <w:szCs w:val="22"/>
        </w:rPr>
        <w:t>(37.4% vs. 56.2%</w:t>
      </w:r>
      <w:r w:rsidRPr="001D58F8">
        <w:rPr>
          <w:rFonts w:asciiTheme="minorHAnsi" w:hAnsiTheme="minorHAnsi" w:cstheme="minorHAnsi"/>
          <w:color w:val="FF0000"/>
          <w:sz w:val="22"/>
          <w:szCs w:val="22"/>
        </w:rPr>
        <w:t xml:space="preserve">), emergency department visits (54.2% vs. 72.1%), </w:t>
      </w:r>
      <w:r w:rsidR="00441885" w:rsidRPr="001D58F8">
        <w:rPr>
          <w:rFonts w:asciiTheme="minorHAnsi" w:hAnsiTheme="minorHAnsi" w:cstheme="minorHAnsi"/>
          <w:color w:val="FF0000"/>
          <w:sz w:val="22"/>
          <w:szCs w:val="22"/>
        </w:rPr>
        <w:t>and</w:t>
      </w:r>
      <w:r w:rsidRPr="001D58F8">
        <w:rPr>
          <w:rFonts w:asciiTheme="minorHAnsi" w:hAnsiTheme="minorHAnsi" w:cstheme="minorHAnsi"/>
          <w:color w:val="FF0000"/>
          <w:sz w:val="22"/>
          <w:szCs w:val="22"/>
        </w:rPr>
        <w:t xml:space="preserve"> acute complication</w:t>
      </w:r>
      <w:r w:rsidR="00441885" w:rsidRPr="001D58F8">
        <w:rPr>
          <w:rFonts w:asciiTheme="minorHAnsi" w:hAnsiTheme="minorHAnsi" w:cstheme="minorHAnsi"/>
          <w:color w:val="FF0000"/>
          <w:sz w:val="22"/>
          <w:szCs w:val="22"/>
        </w:rPr>
        <w:t>s</w:t>
      </w:r>
      <w:r w:rsidRPr="001D58F8">
        <w:rPr>
          <w:rFonts w:asciiTheme="minorHAnsi" w:hAnsiTheme="minorHAnsi" w:cstheme="minorHAnsi"/>
          <w:color w:val="FF0000"/>
          <w:sz w:val="22"/>
          <w:szCs w:val="22"/>
        </w:rPr>
        <w:t xml:space="preserve"> (13.0% vs 24.1%)</w:t>
      </w:r>
      <w:r w:rsidR="008A25B7" w:rsidRPr="001D58F8">
        <w:rPr>
          <w:rFonts w:asciiTheme="minorHAnsi" w:hAnsiTheme="minorHAnsi" w:cstheme="minorHAnsi"/>
          <w:color w:val="FF0000"/>
          <w:sz w:val="22"/>
          <w:szCs w:val="22"/>
        </w:rPr>
        <w:t xml:space="preserve"> compared to</w:t>
      </w:r>
      <w:r w:rsidR="00441885" w:rsidRPr="001D58F8">
        <w:rPr>
          <w:rFonts w:asciiTheme="minorHAnsi" w:hAnsiTheme="minorHAnsi" w:cstheme="minorHAnsi"/>
          <w:color w:val="FF0000"/>
          <w:sz w:val="22"/>
          <w:szCs w:val="22"/>
        </w:rPr>
        <w:t xml:space="preserve"> </w:t>
      </w:r>
      <w:r w:rsidR="008A25B7" w:rsidRPr="001D58F8">
        <w:rPr>
          <w:rFonts w:asciiTheme="minorHAnsi" w:hAnsiTheme="minorHAnsi" w:cstheme="minorHAnsi"/>
          <w:color w:val="FF0000"/>
          <w:sz w:val="22"/>
          <w:szCs w:val="22"/>
        </w:rPr>
        <w:t>PDC &lt;20%</w:t>
      </w:r>
      <w:r w:rsidR="00441885" w:rsidRPr="001D58F8">
        <w:rPr>
          <w:rFonts w:asciiTheme="minorHAnsi" w:hAnsiTheme="minorHAnsi" w:cstheme="minorHAnsi"/>
          <w:color w:val="FF0000"/>
          <w:sz w:val="22"/>
          <w:szCs w:val="22"/>
        </w:rPr>
        <w:t xml:space="preserve"> </w:t>
      </w:r>
      <w:r w:rsidRPr="001D58F8">
        <w:rPr>
          <w:rFonts w:asciiTheme="minorHAnsi" w:hAnsiTheme="minorHAnsi" w:cstheme="minorHAnsi"/>
          <w:color w:val="FF0000"/>
          <w:sz w:val="22"/>
          <w:szCs w:val="22"/>
        </w:rPr>
        <w:t xml:space="preserve">(P&lt;0.001). </w:t>
      </w:r>
      <w:r w:rsidR="0036237D" w:rsidRPr="001D58F8">
        <w:rPr>
          <w:rFonts w:asciiTheme="minorHAnsi" w:hAnsiTheme="minorHAnsi" w:cstheme="minorHAnsi"/>
          <w:color w:val="FF0000"/>
          <w:sz w:val="22"/>
          <w:szCs w:val="22"/>
        </w:rPr>
        <w:t>PDC</w:t>
      </w:r>
      <w:r w:rsidR="008A25B7" w:rsidRPr="001D58F8">
        <w:rPr>
          <w:rFonts w:asciiTheme="minorHAnsi" w:hAnsiTheme="minorHAnsi" w:cstheme="minorHAnsi"/>
          <w:color w:val="FF0000"/>
          <w:sz w:val="22"/>
          <w:szCs w:val="22"/>
        </w:rPr>
        <w:t xml:space="preserve"> ≥80%</w:t>
      </w:r>
      <w:r w:rsidRPr="001D58F8">
        <w:rPr>
          <w:rFonts w:asciiTheme="minorHAnsi" w:hAnsiTheme="minorHAnsi" w:cstheme="minorHAnsi"/>
          <w:color w:val="FF0000"/>
          <w:sz w:val="22"/>
          <w:szCs w:val="22"/>
        </w:rPr>
        <w:t xml:space="preserve"> was also associated with lower all-cause acute care and outpatient costs. The mean outpatient and acute-care costs were $17,298 and $13,373 with a PDC </w:t>
      </w:r>
      <w:r w:rsidR="0036237D" w:rsidRPr="001D58F8">
        <w:rPr>
          <w:rFonts w:asciiTheme="minorHAnsi" w:hAnsiTheme="minorHAnsi" w:cstheme="minorHAnsi"/>
          <w:color w:val="FF0000"/>
          <w:sz w:val="22"/>
          <w:szCs w:val="22"/>
        </w:rPr>
        <w:t>≥</w:t>
      </w:r>
      <w:r w:rsidRPr="001D58F8">
        <w:rPr>
          <w:rFonts w:asciiTheme="minorHAnsi" w:hAnsiTheme="minorHAnsi" w:cstheme="minorHAnsi"/>
          <w:color w:val="FF0000"/>
          <w:sz w:val="22"/>
          <w:szCs w:val="22"/>
        </w:rPr>
        <w:t>80% compared with $28,086 and $32,340 with a PDC &lt;20% (P&lt;0.05), respectively.</w:t>
      </w:r>
      <w:r w:rsidR="007802D8" w:rsidRPr="001D58F8">
        <w:rPr>
          <w:rFonts w:asciiTheme="minorHAnsi" w:hAnsiTheme="minorHAnsi" w:cstheme="minorHAnsi"/>
          <w:color w:val="FF0000"/>
          <w:sz w:val="22"/>
          <w:szCs w:val="22"/>
        </w:rPr>
        <w:t xml:space="preserve"> </w:t>
      </w:r>
    </w:p>
    <w:p w14:paraId="00BB7EBF" w14:textId="63ACF690" w:rsidR="00335834" w:rsidRPr="001D58F8" w:rsidRDefault="00335834" w:rsidP="001D58F8">
      <w:pPr>
        <w:pStyle w:val="BodyText"/>
        <w:rPr>
          <w:rFonts w:asciiTheme="minorHAnsi" w:hAnsiTheme="minorHAnsi" w:cstheme="minorHAnsi"/>
          <w:color w:val="FF0000"/>
          <w:sz w:val="22"/>
          <w:szCs w:val="22"/>
        </w:rPr>
      </w:pPr>
    </w:p>
    <w:p w14:paraId="53EA5189" w14:textId="4BA270D2" w:rsidR="00C112D6" w:rsidRPr="001D58F8" w:rsidRDefault="0036237D" w:rsidP="001D58F8">
      <w:pPr>
        <w:autoSpaceDE w:val="0"/>
        <w:autoSpaceDN w:val="0"/>
        <w:adjustRightInd w:val="0"/>
        <w:ind w:left="0" w:firstLine="0"/>
        <w:rPr>
          <w:rFonts w:cstheme="minorHAnsi"/>
          <w:b/>
          <w:color w:val="FF0000"/>
        </w:rPr>
      </w:pPr>
      <w:r w:rsidRPr="001D58F8">
        <w:rPr>
          <w:rFonts w:cstheme="minorHAnsi"/>
          <w:color w:val="FF0000"/>
        </w:rPr>
        <w:t xml:space="preserve">These findings are not limited to the Medicare population. A 2018 study by </w:t>
      </w:r>
      <w:r w:rsidR="00727F82" w:rsidRPr="001D58F8">
        <w:rPr>
          <w:rFonts w:cstheme="minorHAnsi"/>
          <w:color w:val="FF0000"/>
        </w:rPr>
        <w:t>Roebuck et al</w:t>
      </w:r>
      <w:r w:rsidR="00094EC8" w:rsidRPr="001D58F8">
        <w:rPr>
          <w:rFonts w:cstheme="minorHAnsi"/>
          <w:color w:val="FF0000"/>
        </w:rPr>
        <w:t>.</w:t>
      </w:r>
      <w:r w:rsidR="00094EC8" w:rsidRPr="001D58F8">
        <w:rPr>
          <w:rFonts w:cstheme="minorHAnsi"/>
          <w:color w:val="FF0000"/>
          <w:vertAlign w:val="superscript"/>
        </w:rPr>
        <w:t>23</w:t>
      </w:r>
      <w:r w:rsidR="00094EC8" w:rsidRPr="001D58F8">
        <w:rPr>
          <w:rFonts w:cstheme="minorHAnsi"/>
          <w:color w:val="FF0000"/>
        </w:rPr>
        <w:t xml:space="preserve"> </w:t>
      </w:r>
      <w:r w:rsidR="00BF3BF6" w:rsidRPr="001D58F8">
        <w:rPr>
          <w:rFonts w:cstheme="minorHAnsi"/>
          <w:color w:val="FF0000"/>
        </w:rPr>
        <w:t>assessed</w:t>
      </w:r>
      <w:r w:rsidR="00727F82" w:rsidRPr="001D58F8">
        <w:rPr>
          <w:rFonts w:cstheme="minorHAnsi"/>
          <w:color w:val="FF0000"/>
        </w:rPr>
        <w:t xml:space="preserve"> the impact of medication adherence</w:t>
      </w:r>
      <w:r w:rsidR="00303197" w:rsidRPr="001D58F8">
        <w:rPr>
          <w:rFonts w:cstheme="minorHAnsi"/>
          <w:color w:val="FF0000"/>
        </w:rPr>
        <w:t xml:space="preserve"> </w:t>
      </w:r>
      <w:r w:rsidRPr="001D58F8">
        <w:rPr>
          <w:rFonts w:cstheme="minorHAnsi"/>
          <w:color w:val="FF0000"/>
        </w:rPr>
        <w:t xml:space="preserve">within </w:t>
      </w:r>
      <w:r w:rsidR="00303197" w:rsidRPr="001D58F8">
        <w:rPr>
          <w:rFonts w:cstheme="minorHAnsi"/>
          <w:color w:val="FF0000"/>
        </w:rPr>
        <w:t xml:space="preserve">seven chronic conditions </w:t>
      </w:r>
      <w:r w:rsidR="00727F82" w:rsidRPr="001D58F8">
        <w:rPr>
          <w:rFonts w:cstheme="minorHAnsi"/>
          <w:color w:val="FF0000"/>
        </w:rPr>
        <w:t xml:space="preserve">on health services utilization among Medicaid enrollees (N=656,646 blind/disabled adults; N=704,368 other adults). </w:t>
      </w:r>
      <w:r w:rsidR="00AD29DC" w:rsidRPr="001D58F8">
        <w:rPr>
          <w:rFonts w:cstheme="minorHAnsi"/>
          <w:color w:val="FF0000"/>
        </w:rPr>
        <w:t>Full adherence (PDC</w:t>
      </w:r>
      <w:r w:rsidR="00C112D6" w:rsidRPr="001D58F8">
        <w:rPr>
          <w:rFonts w:cstheme="minorHAnsi"/>
          <w:color w:val="FF0000"/>
        </w:rPr>
        <w:t xml:space="preserve"> </w:t>
      </w:r>
      <w:r w:rsidR="00AD29DC" w:rsidRPr="001D58F8">
        <w:rPr>
          <w:rFonts w:cstheme="minorHAnsi"/>
          <w:color w:val="FF0000"/>
        </w:rPr>
        <w:t xml:space="preserve">≥80%) was associated with 8%–26% fewer hospitalizations and 3%–12% fewer emergency department visits among those with </w:t>
      </w:r>
      <w:r w:rsidR="00E40D6D" w:rsidRPr="001D58F8">
        <w:rPr>
          <w:rFonts w:cstheme="minorHAnsi"/>
          <w:color w:val="FF0000"/>
        </w:rPr>
        <w:t>CHF</w:t>
      </w:r>
      <w:r w:rsidR="00AD29DC" w:rsidRPr="001D58F8">
        <w:rPr>
          <w:rFonts w:cstheme="minorHAnsi"/>
          <w:color w:val="FF0000"/>
        </w:rPr>
        <w:t>, hypertension, diabetes, and schizophrenia/bipolar. In all analyses, full adherence was associated with up to 15% fewer outpatient physician/clinic visits.</w:t>
      </w:r>
    </w:p>
    <w:p w14:paraId="27D2B95E" w14:textId="77777777" w:rsidR="00C112D6" w:rsidRPr="001D58F8" w:rsidRDefault="00C112D6" w:rsidP="001D58F8">
      <w:pPr>
        <w:autoSpaceDE w:val="0"/>
        <w:autoSpaceDN w:val="0"/>
        <w:adjustRightInd w:val="0"/>
        <w:ind w:left="0" w:firstLine="0"/>
        <w:rPr>
          <w:rFonts w:cstheme="minorHAnsi"/>
          <w:color w:val="FF0000"/>
        </w:rPr>
      </w:pPr>
    </w:p>
    <w:p w14:paraId="75BC9114" w14:textId="1403C956" w:rsidR="0022490C" w:rsidRPr="001D58F8" w:rsidRDefault="00C112D6" w:rsidP="001D58F8">
      <w:pPr>
        <w:autoSpaceDE w:val="0"/>
        <w:autoSpaceDN w:val="0"/>
        <w:adjustRightInd w:val="0"/>
        <w:ind w:left="0" w:firstLine="0"/>
        <w:rPr>
          <w:rFonts w:cstheme="minorHAnsi"/>
          <w:color w:val="FF0000"/>
        </w:rPr>
      </w:pPr>
      <w:r w:rsidRPr="001D58F8">
        <w:rPr>
          <w:rFonts w:cstheme="minorHAnsi"/>
          <w:color w:val="FF0000"/>
        </w:rPr>
        <w:t>Analyses in commercial populations report similar findings. A 2019 study by Campbell et al.</w:t>
      </w:r>
      <w:r w:rsidR="00E95502" w:rsidRPr="001D58F8">
        <w:rPr>
          <w:rFonts w:cstheme="minorHAnsi"/>
          <w:color w:val="FF0000"/>
          <w:vertAlign w:val="superscript"/>
        </w:rPr>
        <w:t>24</w:t>
      </w:r>
      <w:r w:rsidRPr="001D58F8">
        <w:rPr>
          <w:rFonts w:cstheme="minorHAnsi"/>
          <w:color w:val="FF0000"/>
        </w:rPr>
        <w:t xml:space="preserve"> </w:t>
      </w:r>
      <w:r w:rsidR="00BF3BF6" w:rsidRPr="001D58F8">
        <w:rPr>
          <w:rFonts w:cstheme="minorHAnsi"/>
          <w:color w:val="FF0000"/>
        </w:rPr>
        <w:t>investigated</w:t>
      </w:r>
      <w:r w:rsidRPr="001D58F8">
        <w:rPr>
          <w:rFonts w:cstheme="minorHAnsi"/>
          <w:color w:val="FF0000"/>
        </w:rPr>
        <w:t xml:space="preserve"> the association of diabetes adherence (PDC ≥ 80%) with healthcare utilization and expenditures among commercially-insured adults (N=1,576,112). Adherence was associated with fewer inpatient visits (risk ratio [RR]=0.834, 95% CI, 0.819-0.850) and lower inpatient (cost ratio [CR]=0.833, 95% CI, 0.829-0.836) and total (CR=0.958, 95% CI, 0.954-0.962) healthcare costs.</w:t>
      </w:r>
    </w:p>
    <w:p w14:paraId="2550DB73" w14:textId="77777777" w:rsidR="0022490C" w:rsidRPr="001D58F8" w:rsidRDefault="0022490C" w:rsidP="001D58F8">
      <w:pPr>
        <w:autoSpaceDE w:val="0"/>
        <w:autoSpaceDN w:val="0"/>
        <w:adjustRightInd w:val="0"/>
        <w:ind w:left="0" w:firstLine="0"/>
        <w:rPr>
          <w:rFonts w:cstheme="minorHAnsi"/>
          <w:color w:val="FF0000"/>
        </w:rPr>
      </w:pPr>
    </w:p>
    <w:p w14:paraId="7E91ED35" w14:textId="5313F6DC" w:rsidR="0022490C" w:rsidRPr="001D58F8" w:rsidRDefault="0022490C" w:rsidP="001D58F8">
      <w:pPr>
        <w:autoSpaceDE w:val="0"/>
        <w:autoSpaceDN w:val="0"/>
        <w:adjustRightInd w:val="0"/>
        <w:ind w:left="0" w:firstLine="0"/>
        <w:rPr>
          <w:rFonts w:cstheme="minorHAnsi"/>
          <w:color w:val="FF0000"/>
        </w:rPr>
      </w:pPr>
      <w:r w:rsidRPr="001D58F8">
        <w:rPr>
          <w:rFonts w:cstheme="minorHAnsi"/>
          <w:color w:val="FF0000"/>
        </w:rPr>
        <w:t xml:space="preserve">Similar findings were observed with statin adherence. </w:t>
      </w:r>
      <w:proofErr w:type="spellStart"/>
      <w:r w:rsidR="00C112D6" w:rsidRPr="001D58F8">
        <w:rPr>
          <w:rFonts w:cstheme="minorHAnsi"/>
          <w:color w:val="FF0000"/>
        </w:rPr>
        <w:t>Chinthammit</w:t>
      </w:r>
      <w:proofErr w:type="spellEnd"/>
      <w:r w:rsidR="00C112D6" w:rsidRPr="001D58F8">
        <w:rPr>
          <w:rFonts w:cstheme="minorHAnsi"/>
          <w:color w:val="FF0000"/>
        </w:rPr>
        <w:t xml:space="preserve"> et al.</w:t>
      </w:r>
      <w:r w:rsidR="00E95502" w:rsidRPr="001D58F8">
        <w:rPr>
          <w:rFonts w:cstheme="minorHAnsi"/>
          <w:color w:val="FF0000"/>
          <w:vertAlign w:val="superscript"/>
        </w:rPr>
        <w:t>25</w:t>
      </w:r>
      <w:r w:rsidR="00C112D6" w:rsidRPr="001D58F8">
        <w:rPr>
          <w:rFonts w:cstheme="minorHAnsi"/>
          <w:color w:val="FF0000"/>
        </w:rPr>
        <w:t xml:space="preserve"> evaluated the association of statin adherence (PDC ≥ 80%) with healthcare utilization and expenditures among commercially-insured adults (N= 4,450,308). Adherence was associated with fewer inpatient</w:t>
      </w:r>
      <w:r w:rsidRPr="001D58F8">
        <w:rPr>
          <w:rFonts w:cstheme="minorHAnsi"/>
          <w:color w:val="FF0000"/>
        </w:rPr>
        <w:t xml:space="preserve"> visits</w:t>
      </w:r>
      <w:r w:rsidR="00C112D6" w:rsidRPr="001D58F8">
        <w:rPr>
          <w:rFonts w:cstheme="minorHAnsi"/>
          <w:color w:val="FF0000"/>
        </w:rPr>
        <w:t xml:space="preserve"> (RR=0.746, 95% CI=0.739-0.753) and lower inpatient (CR=0.780, 95% CI=0.779-0.782) and total (CR=0.975, 95% CI=0.973-0.977) </w:t>
      </w:r>
      <w:r w:rsidRPr="001D58F8">
        <w:rPr>
          <w:rFonts w:cstheme="minorHAnsi"/>
          <w:color w:val="FF0000"/>
        </w:rPr>
        <w:t xml:space="preserve">healthcare </w:t>
      </w:r>
      <w:r w:rsidR="00C112D6" w:rsidRPr="001D58F8">
        <w:rPr>
          <w:rFonts w:cstheme="minorHAnsi"/>
          <w:color w:val="FF0000"/>
        </w:rPr>
        <w:t>costs.</w:t>
      </w:r>
      <w:r w:rsidRPr="001D58F8">
        <w:rPr>
          <w:rFonts w:cstheme="minorHAnsi"/>
          <w:color w:val="FF0000"/>
        </w:rPr>
        <w:t xml:space="preserve"> </w:t>
      </w:r>
    </w:p>
    <w:p w14:paraId="7B908D52" w14:textId="77777777" w:rsidR="0022490C" w:rsidRPr="001D58F8" w:rsidRDefault="0022490C" w:rsidP="001D58F8">
      <w:pPr>
        <w:autoSpaceDE w:val="0"/>
        <w:autoSpaceDN w:val="0"/>
        <w:adjustRightInd w:val="0"/>
        <w:ind w:left="0" w:firstLine="0"/>
        <w:rPr>
          <w:rFonts w:cstheme="minorHAnsi"/>
          <w:color w:val="FF0000"/>
        </w:rPr>
      </w:pPr>
    </w:p>
    <w:p w14:paraId="10FFBFC6" w14:textId="311C92FF" w:rsidR="0022490C" w:rsidRPr="001D58F8" w:rsidRDefault="0022490C" w:rsidP="001D58F8">
      <w:pPr>
        <w:autoSpaceDE w:val="0"/>
        <w:autoSpaceDN w:val="0"/>
        <w:adjustRightInd w:val="0"/>
        <w:ind w:left="0" w:firstLine="0"/>
        <w:rPr>
          <w:rFonts w:cstheme="minorHAnsi"/>
          <w:color w:val="FF0000"/>
        </w:rPr>
      </w:pPr>
      <w:r w:rsidRPr="001D58F8">
        <w:rPr>
          <w:rFonts w:cstheme="minorHAnsi"/>
          <w:color w:val="FF0000"/>
        </w:rPr>
        <w:t>Axon et al.</w:t>
      </w:r>
      <w:r w:rsidR="00E25F82" w:rsidRPr="001D58F8">
        <w:rPr>
          <w:rFonts w:cstheme="minorHAnsi"/>
          <w:color w:val="FF0000"/>
          <w:vertAlign w:val="superscript"/>
        </w:rPr>
        <w:t>26</w:t>
      </w:r>
      <w:r w:rsidRPr="001D58F8">
        <w:rPr>
          <w:rFonts w:cstheme="minorHAnsi"/>
          <w:color w:val="FF0000"/>
        </w:rPr>
        <w:t xml:space="preserve"> </w:t>
      </w:r>
      <w:r w:rsidR="00BF3BF6" w:rsidRPr="001D58F8">
        <w:rPr>
          <w:rFonts w:cstheme="minorHAnsi"/>
          <w:color w:val="FF0000"/>
        </w:rPr>
        <w:t>analyzed</w:t>
      </w:r>
      <w:r w:rsidRPr="001D58F8">
        <w:rPr>
          <w:rFonts w:cstheme="minorHAnsi"/>
          <w:color w:val="FF0000"/>
        </w:rPr>
        <w:t xml:space="preserve"> the association of RASA adherence (PDC ≥ 80%) with healthcare utilization and expenditures among commercially-insured adults (N= 4,842,058). Adherence was associated with fewer inpatient (RR=0.612, 95% CI=0.607-0.617) and outpatient visits (RR=0.995, 95% CI=0.994, 0.997); and lower inpatient (CR=0.614, 95% CI=0.613-0.615) and total (CR=0.876, 95% CI=0.874-0.878) healthcare costs.</w:t>
      </w:r>
    </w:p>
    <w:p w14:paraId="42AC02ED" w14:textId="77777777" w:rsidR="00C112D6" w:rsidRPr="001D58F8" w:rsidRDefault="00C112D6" w:rsidP="001D58F8">
      <w:pPr>
        <w:ind w:left="0" w:firstLine="0"/>
        <w:rPr>
          <w:rFonts w:cstheme="minorHAnsi"/>
          <w:b/>
          <w:color w:val="FF0000"/>
        </w:rPr>
      </w:pPr>
    </w:p>
    <w:p w14:paraId="77EC7ACA" w14:textId="5FC29B79" w:rsidR="004B1436" w:rsidRPr="001D58F8" w:rsidRDefault="004B1436" w:rsidP="001D58F8">
      <w:pPr>
        <w:autoSpaceDE w:val="0"/>
        <w:autoSpaceDN w:val="0"/>
        <w:adjustRightInd w:val="0"/>
        <w:ind w:left="0" w:firstLine="0"/>
        <w:rPr>
          <w:rFonts w:cstheme="minorHAnsi"/>
          <w:color w:val="FF0000"/>
        </w:rPr>
      </w:pPr>
      <w:r w:rsidRPr="001D58F8">
        <w:rPr>
          <w:rFonts w:cstheme="minorHAnsi"/>
          <w:color w:val="FF0000"/>
        </w:rPr>
        <w:t>In 2019, Lloyd et al</w:t>
      </w:r>
      <w:r w:rsidR="00E25F82" w:rsidRPr="001D58F8">
        <w:rPr>
          <w:rFonts w:cstheme="minorHAnsi"/>
          <w:color w:val="FF0000"/>
        </w:rPr>
        <w:t>.</w:t>
      </w:r>
      <w:r w:rsidR="00E25F82" w:rsidRPr="001D58F8">
        <w:rPr>
          <w:rFonts w:cstheme="minorHAnsi"/>
          <w:color w:val="FF0000"/>
          <w:vertAlign w:val="superscript"/>
        </w:rPr>
        <w:t>7</w:t>
      </w:r>
      <w:r w:rsidRPr="001D58F8">
        <w:rPr>
          <w:rFonts w:cstheme="minorHAnsi"/>
          <w:color w:val="FF0000"/>
        </w:rPr>
        <w:t xml:space="preserve"> </w:t>
      </w:r>
      <w:r w:rsidR="0022490C" w:rsidRPr="001D58F8">
        <w:rPr>
          <w:rFonts w:cstheme="minorHAnsi"/>
          <w:color w:val="FF0000"/>
        </w:rPr>
        <w:t>estimated</w:t>
      </w:r>
      <w:r w:rsidRPr="001D58F8">
        <w:rPr>
          <w:rFonts w:cstheme="minorHAnsi"/>
          <w:color w:val="FF0000"/>
        </w:rPr>
        <w:t xml:space="preserve"> the cost of medication nonadherence </w:t>
      </w:r>
      <w:r w:rsidR="0081156B" w:rsidRPr="001D58F8">
        <w:rPr>
          <w:rFonts w:cstheme="minorHAnsi"/>
          <w:color w:val="FF0000"/>
        </w:rPr>
        <w:t>(PDC &lt;80%)</w:t>
      </w:r>
      <w:r w:rsidRPr="001D58F8">
        <w:rPr>
          <w:rFonts w:cstheme="minorHAnsi"/>
          <w:color w:val="FF0000"/>
        </w:rPr>
        <w:t xml:space="preserve"> </w:t>
      </w:r>
      <w:r w:rsidR="009E1AE6" w:rsidRPr="001D58F8">
        <w:rPr>
          <w:rFonts w:cstheme="minorHAnsi"/>
          <w:color w:val="FF0000"/>
        </w:rPr>
        <w:t>among Medicare fee-for-service beneficiarie</w:t>
      </w:r>
      <w:r w:rsidR="000E047C" w:rsidRPr="001D58F8">
        <w:rPr>
          <w:rFonts w:cstheme="minorHAnsi"/>
          <w:color w:val="FF0000"/>
        </w:rPr>
        <w:t>s</w:t>
      </w:r>
      <w:r w:rsidR="009E1AE6" w:rsidRPr="001D58F8">
        <w:rPr>
          <w:rFonts w:cstheme="minorHAnsi"/>
          <w:color w:val="FF0000"/>
        </w:rPr>
        <w:t xml:space="preserve"> with diabetes, heart failure, hypertension, and hyperlipidemia (N=14,657,735)</w:t>
      </w:r>
      <w:r w:rsidRPr="001D58F8">
        <w:rPr>
          <w:rFonts w:cstheme="minorHAnsi"/>
          <w:color w:val="FF0000"/>
        </w:rPr>
        <w:t>.</w:t>
      </w:r>
      <w:r w:rsidR="009E1AE6" w:rsidRPr="001D58F8">
        <w:rPr>
          <w:rFonts w:cstheme="minorHAnsi"/>
          <w:color w:val="FF0000"/>
        </w:rPr>
        <w:t xml:space="preserve"> </w:t>
      </w:r>
      <w:r w:rsidR="0081156B" w:rsidRPr="001D58F8">
        <w:rPr>
          <w:rFonts w:cstheme="minorHAnsi"/>
          <w:color w:val="FF0000"/>
        </w:rPr>
        <w:t>Medication</w:t>
      </w:r>
      <w:r w:rsidR="00C146B7" w:rsidRPr="001D58F8">
        <w:rPr>
          <w:rFonts w:cstheme="minorHAnsi"/>
          <w:color w:val="FF0000"/>
        </w:rPr>
        <w:t xml:space="preserve"> </w:t>
      </w:r>
      <w:r w:rsidR="0081156B" w:rsidRPr="001D58F8">
        <w:rPr>
          <w:rFonts w:cstheme="minorHAnsi"/>
          <w:color w:val="FF0000"/>
        </w:rPr>
        <w:t xml:space="preserve">nonadherence ranged from 23% for heart failure, 25% for hypertension, 35% for diabetes, to 38% for hyperlipidemia. </w:t>
      </w:r>
      <w:r w:rsidR="00C146B7" w:rsidRPr="001D58F8">
        <w:rPr>
          <w:rFonts w:cstheme="minorHAnsi"/>
          <w:color w:val="FF0000"/>
        </w:rPr>
        <w:t xml:space="preserve">The authors estimated the </w:t>
      </w:r>
      <w:r w:rsidR="0081156B" w:rsidRPr="001D58F8">
        <w:rPr>
          <w:rFonts w:cstheme="minorHAnsi"/>
          <w:color w:val="FF0000"/>
        </w:rPr>
        <w:t>avoidable health care costs that could be</w:t>
      </w:r>
      <w:r w:rsidR="00C146B7" w:rsidRPr="001D58F8">
        <w:rPr>
          <w:rFonts w:cstheme="minorHAnsi"/>
          <w:color w:val="FF0000"/>
        </w:rPr>
        <w:t xml:space="preserve"> </w:t>
      </w:r>
      <w:r w:rsidR="0081156B" w:rsidRPr="001D58F8">
        <w:rPr>
          <w:rFonts w:cstheme="minorHAnsi"/>
          <w:color w:val="FF0000"/>
        </w:rPr>
        <w:t xml:space="preserve">saved </w:t>
      </w:r>
      <w:r w:rsidR="00C146B7" w:rsidRPr="001D58F8">
        <w:rPr>
          <w:rFonts w:cstheme="minorHAnsi"/>
          <w:color w:val="FF0000"/>
        </w:rPr>
        <w:t xml:space="preserve">if </w:t>
      </w:r>
      <w:r w:rsidR="0081156B" w:rsidRPr="001D58F8">
        <w:rPr>
          <w:rFonts w:cstheme="minorHAnsi"/>
          <w:color w:val="FF0000"/>
        </w:rPr>
        <w:t xml:space="preserve">nonadherent </w:t>
      </w:r>
      <w:r w:rsidR="00C146B7" w:rsidRPr="001D58F8">
        <w:rPr>
          <w:rFonts w:cstheme="minorHAnsi"/>
          <w:color w:val="FF0000"/>
        </w:rPr>
        <w:t>beneficiaries</w:t>
      </w:r>
      <w:r w:rsidR="0081156B" w:rsidRPr="001D58F8">
        <w:rPr>
          <w:rFonts w:cstheme="minorHAnsi"/>
          <w:color w:val="FF0000"/>
        </w:rPr>
        <w:t xml:space="preserve"> with diabetes bec</w:t>
      </w:r>
      <w:r w:rsidR="00E26A75" w:rsidRPr="001D58F8">
        <w:rPr>
          <w:rFonts w:cstheme="minorHAnsi"/>
          <w:color w:val="FF0000"/>
        </w:rPr>
        <w:t>a</w:t>
      </w:r>
      <w:r w:rsidR="0081156B" w:rsidRPr="001D58F8">
        <w:rPr>
          <w:rFonts w:cstheme="minorHAnsi"/>
          <w:color w:val="FF0000"/>
        </w:rPr>
        <w:t>me</w:t>
      </w:r>
      <w:r w:rsidR="00C146B7" w:rsidRPr="001D58F8">
        <w:rPr>
          <w:rFonts w:cstheme="minorHAnsi"/>
          <w:color w:val="FF0000"/>
        </w:rPr>
        <w:t xml:space="preserve"> </w:t>
      </w:r>
      <w:r w:rsidR="0081156B" w:rsidRPr="001D58F8">
        <w:rPr>
          <w:rFonts w:cstheme="minorHAnsi"/>
          <w:color w:val="FF0000"/>
        </w:rPr>
        <w:t>adherent was $4.5 billion</w:t>
      </w:r>
      <w:r w:rsidR="00C146B7" w:rsidRPr="001D58F8">
        <w:rPr>
          <w:rFonts w:cstheme="minorHAnsi"/>
          <w:color w:val="FF0000"/>
        </w:rPr>
        <w:t xml:space="preserve"> (</w:t>
      </w:r>
      <w:r w:rsidR="0081156B" w:rsidRPr="001D58F8">
        <w:rPr>
          <w:rFonts w:cstheme="minorHAnsi"/>
          <w:color w:val="FF0000"/>
        </w:rPr>
        <w:t>over $5</w:t>
      </w:r>
      <w:r w:rsidR="0022490C" w:rsidRPr="001D58F8">
        <w:rPr>
          <w:rFonts w:cstheme="minorHAnsi"/>
          <w:color w:val="FF0000"/>
        </w:rPr>
        <w:t>,</w:t>
      </w:r>
      <w:r w:rsidR="0081156B" w:rsidRPr="001D58F8">
        <w:rPr>
          <w:rFonts w:cstheme="minorHAnsi"/>
          <w:color w:val="FF0000"/>
        </w:rPr>
        <w:t>000 per beneficiary</w:t>
      </w:r>
      <w:r w:rsidR="00C146B7" w:rsidRPr="001D58F8">
        <w:rPr>
          <w:rFonts w:cstheme="minorHAnsi"/>
          <w:color w:val="FF0000"/>
        </w:rPr>
        <w:t xml:space="preserve">) </w:t>
      </w:r>
      <w:r w:rsidR="0081156B" w:rsidRPr="001D58F8">
        <w:rPr>
          <w:rFonts w:cstheme="minorHAnsi"/>
          <w:color w:val="FF0000"/>
        </w:rPr>
        <w:t>annually. Similar levels of avoidable health care costs</w:t>
      </w:r>
      <w:r w:rsidR="00C146B7" w:rsidRPr="001D58F8">
        <w:rPr>
          <w:rFonts w:cstheme="minorHAnsi"/>
          <w:color w:val="FF0000"/>
        </w:rPr>
        <w:t xml:space="preserve"> </w:t>
      </w:r>
      <w:r w:rsidR="0081156B" w:rsidRPr="001D58F8">
        <w:rPr>
          <w:rFonts w:cstheme="minorHAnsi"/>
          <w:color w:val="FF0000"/>
        </w:rPr>
        <w:t>were found among nonadherent beneficiaries with</w:t>
      </w:r>
      <w:r w:rsidR="00C146B7" w:rsidRPr="001D58F8">
        <w:rPr>
          <w:rFonts w:cstheme="minorHAnsi"/>
          <w:color w:val="FF0000"/>
        </w:rPr>
        <w:t xml:space="preserve"> </w:t>
      </w:r>
      <w:r w:rsidR="0081156B" w:rsidRPr="001D58F8">
        <w:rPr>
          <w:rFonts w:cstheme="minorHAnsi"/>
          <w:color w:val="FF0000"/>
        </w:rPr>
        <w:t xml:space="preserve">hyperlipidemia and heart failure. </w:t>
      </w:r>
      <w:r w:rsidR="00C146B7" w:rsidRPr="001D58F8">
        <w:rPr>
          <w:rFonts w:cstheme="minorHAnsi"/>
          <w:color w:val="FF0000"/>
        </w:rPr>
        <w:t>I</w:t>
      </w:r>
      <w:r w:rsidR="0081156B" w:rsidRPr="001D58F8">
        <w:rPr>
          <w:rFonts w:cstheme="minorHAnsi"/>
          <w:color w:val="FF0000"/>
        </w:rPr>
        <w:t xml:space="preserve">f </w:t>
      </w:r>
      <w:r w:rsidR="00C146B7" w:rsidRPr="001D58F8">
        <w:rPr>
          <w:rFonts w:cstheme="minorHAnsi"/>
          <w:color w:val="FF0000"/>
        </w:rPr>
        <w:t xml:space="preserve">nonadherent beneficiaries with hypertension </w:t>
      </w:r>
      <w:r w:rsidR="0081156B" w:rsidRPr="001D58F8">
        <w:rPr>
          <w:rFonts w:cstheme="minorHAnsi"/>
          <w:color w:val="FF0000"/>
        </w:rPr>
        <w:t xml:space="preserve">became adherent, </w:t>
      </w:r>
      <w:r w:rsidR="00C146B7" w:rsidRPr="001D58F8">
        <w:rPr>
          <w:rFonts w:cstheme="minorHAnsi"/>
          <w:color w:val="FF0000"/>
        </w:rPr>
        <w:t>the authors estimated Medicare could save $13.7 billion annually.</w:t>
      </w:r>
    </w:p>
    <w:p w14:paraId="462F95C9" w14:textId="77777777" w:rsidR="009D26F7" w:rsidRPr="001D58F8" w:rsidRDefault="009D26F7" w:rsidP="001D58F8">
      <w:pPr>
        <w:ind w:left="0" w:firstLine="0"/>
        <w:rPr>
          <w:b/>
          <w:color w:val="0000FF"/>
        </w:rPr>
      </w:pPr>
    </w:p>
    <w:p w14:paraId="2A922A58" w14:textId="77777777" w:rsidR="00837121" w:rsidRPr="00BD1363" w:rsidRDefault="000E5C93" w:rsidP="002E2177">
      <w:pPr>
        <w:ind w:left="0" w:firstLine="0"/>
        <w:rPr>
          <w:color w:val="0000FF"/>
        </w:rPr>
      </w:pPr>
      <w:r w:rsidRPr="00BD1363">
        <w:rPr>
          <w:b/>
          <w:color w:val="0000FF"/>
        </w:rPr>
        <w:t xml:space="preserve">1a.4.2 </w:t>
      </w:r>
      <w:r w:rsidR="00837121" w:rsidRPr="00BD1363">
        <w:rPr>
          <w:b/>
          <w:color w:val="0000FF"/>
        </w:rPr>
        <w:t>What process was used to identify the evidence?</w:t>
      </w:r>
    </w:p>
    <w:p w14:paraId="446F4224" w14:textId="77777777" w:rsidR="00837121" w:rsidRPr="00BD1363" w:rsidRDefault="00837121" w:rsidP="002E2177">
      <w:pPr>
        <w:ind w:left="0" w:firstLine="0"/>
        <w:rPr>
          <w:color w:val="0000FF"/>
        </w:rPr>
      </w:pPr>
    </w:p>
    <w:p w14:paraId="7B49468D" w14:textId="77777777" w:rsidR="009F5225" w:rsidRPr="000E047C" w:rsidRDefault="006C3BFA" w:rsidP="002E2177">
      <w:pPr>
        <w:ind w:left="0" w:firstLine="0"/>
        <w:rPr>
          <w:color w:val="FF0000"/>
        </w:rPr>
      </w:pPr>
      <w:r w:rsidRPr="000E047C">
        <w:rPr>
          <w:color w:val="FF0000"/>
        </w:rPr>
        <w:t>A</w:t>
      </w:r>
      <w:r w:rsidR="00A206E8" w:rsidRPr="000E047C">
        <w:rPr>
          <w:color w:val="FF0000"/>
        </w:rPr>
        <w:t xml:space="preserve"> </w:t>
      </w:r>
      <w:r w:rsidR="00BF28B4" w:rsidRPr="000E047C">
        <w:rPr>
          <w:color w:val="FF0000"/>
        </w:rPr>
        <w:t xml:space="preserve">primary literature search was conducted via PubMed for </w:t>
      </w:r>
      <w:r w:rsidR="000E047C" w:rsidRPr="000E047C">
        <w:rPr>
          <w:color w:val="FF0000"/>
        </w:rPr>
        <w:t xml:space="preserve">clinical guidelines, </w:t>
      </w:r>
      <w:r w:rsidR="00BF28B4" w:rsidRPr="000E047C">
        <w:rPr>
          <w:color w:val="FF0000"/>
        </w:rPr>
        <w:t xml:space="preserve">clinical trials, </w:t>
      </w:r>
      <w:r w:rsidR="000E047C" w:rsidRPr="000E047C">
        <w:rPr>
          <w:color w:val="FF0000"/>
        </w:rPr>
        <w:t>systematic reviews,</w:t>
      </w:r>
      <w:r w:rsidR="00BF28B4" w:rsidRPr="000E047C">
        <w:rPr>
          <w:color w:val="FF0000"/>
        </w:rPr>
        <w:t xml:space="preserve"> and observational studies</w:t>
      </w:r>
      <w:r w:rsidR="00A206E8" w:rsidRPr="000E047C">
        <w:rPr>
          <w:color w:val="FF0000"/>
        </w:rPr>
        <w:t xml:space="preserve"> (through March 2019).</w:t>
      </w:r>
    </w:p>
    <w:p w14:paraId="45248981" w14:textId="77777777" w:rsidR="009E3C1D" w:rsidRPr="003B1CC5" w:rsidRDefault="009E3C1D" w:rsidP="002E2177">
      <w:pPr>
        <w:ind w:left="0" w:firstLine="0"/>
      </w:pPr>
    </w:p>
    <w:p w14:paraId="25BC047D" w14:textId="7777777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95FCB8A" w14:textId="17C4138D" w:rsidR="000E047C" w:rsidRDefault="000E047C" w:rsidP="000E047C">
      <w:pPr>
        <w:pStyle w:val="HTMLPreformatted"/>
        <w:rPr>
          <w:rFonts w:asciiTheme="minorHAnsi" w:hAnsiTheme="minorHAnsi" w:cstheme="minorHAnsi"/>
          <w:color w:val="FF0000"/>
          <w:sz w:val="22"/>
          <w:szCs w:val="22"/>
        </w:rPr>
      </w:pPr>
    </w:p>
    <w:p w14:paraId="582EB3E8" w14:textId="61B157D1" w:rsidR="003556C1" w:rsidRPr="003556C1" w:rsidRDefault="003556C1" w:rsidP="000E047C">
      <w:pPr>
        <w:pStyle w:val="HTMLPreformatted"/>
        <w:rPr>
          <w:rFonts w:asciiTheme="minorHAnsi" w:hAnsiTheme="minorHAnsi" w:cstheme="minorHAnsi"/>
          <w:b/>
          <w:color w:val="FF0000"/>
          <w:sz w:val="22"/>
          <w:szCs w:val="22"/>
        </w:rPr>
      </w:pPr>
      <w:r w:rsidRPr="003556C1">
        <w:rPr>
          <w:rFonts w:asciiTheme="minorHAnsi" w:hAnsiTheme="minorHAnsi" w:cstheme="minorHAnsi"/>
          <w:b/>
          <w:color w:val="FF0000"/>
          <w:sz w:val="22"/>
          <w:szCs w:val="22"/>
        </w:rPr>
        <w:t>References</w:t>
      </w:r>
    </w:p>
    <w:p w14:paraId="0F96C9F0" w14:textId="77777777" w:rsidR="00BF5C5F" w:rsidRPr="00BF5C5F" w:rsidRDefault="00BA0CDC" w:rsidP="00BF5C5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FF0000"/>
          <w:u w:val="none"/>
        </w:rPr>
      </w:pPr>
      <w:r w:rsidRPr="000E047C">
        <w:rPr>
          <w:rFonts w:eastAsia="Times New Roman" w:cstheme="minorHAnsi"/>
          <w:color w:val="FF0000"/>
        </w:rPr>
        <w:t>American Diabetes Association. 9. Pharmacologic Approaches to Glycemic Treatment: Standards of Medical Care in Diabetes-2019. Diabetes Care. 2019;42(Suppl 1</w:t>
      </w:r>
      <w:proofErr w:type="gramStart"/>
      <w:r w:rsidRPr="000E047C">
        <w:rPr>
          <w:rFonts w:eastAsia="Times New Roman" w:cstheme="minorHAnsi"/>
          <w:color w:val="FF0000"/>
        </w:rPr>
        <w:t>):S</w:t>
      </w:r>
      <w:proofErr w:type="gramEnd"/>
      <w:r w:rsidRPr="000E047C">
        <w:rPr>
          <w:rFonts w:eastAsia="Times New Roman" w:cstheme="minorHAnsi"/>
          <w:color w:val="FF0000"/>
        </w:rPr>
        <w:t xml:space="preserve">90-S102. PMID: </w:t>
      </w:r>
      <w:hyperlink r:id="rId26" w:history="1">
        <w:r w:rsidRPr="000E047C">
          <w:rPr>
            <w:rStyle w:val="Hyperlink"/>
            <w:rFonts w:cstheme="minorHAnsi"/>
            <w:color w:val="FF0000"/>
          </w:rPr>
          <w:t>30559235</w:t>
        </w:r>
      </w:hyperlink>
      <w:r w:rsidRPr="00BF5C5F">
        <w:rPr>
          <w:rStyle w:val="Hyperlink"/>
          <w:rFonts w:cstheme="minorHAnsi"/>
          <w:color w:val="FF0000"/>
          <w:u w:val="none"/>
        </w:rPr>
        <w:t>.</w:t>
      </w:r>
    </w:p>
    <w:p w14:paraId="654F1ABC" w14:textId="2BCA07B3" w:rsidR="00BF5C5F" w:rsidRPr="00BF5C5F" w:rsidRDefault="00BF5C5F" w:rsidP="00BF5C5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FF0000"/>
          <w:u w:val="none"/>
        </w:rPr>
      </w:pPr>
      <w:r w:rsidRPr="00BF5C5F">
        <w:rPr>
          <w:rFonts w:cstheme="minorHAnsi"/>
          <w:color w:val="FF0000"/>
        </w:rPr>
        <w:t>American Diabetes Association. 10. Cardiovascular Disease and Risk Management: Standards of Medical Care in Diabetes-2019. Diabetes Care. 2019;42(Suppl 1</w:t>
      </w:r>
      <w:proofErr w:type="gramStart"/>
      <w:r w:rsidRPr="00BF5C5F">
        <w:rPr>
          <w:rFonts w:cstheme="minorHAnsi"/>
          <w:color w:val="FF0000"/>
        </w:rPr>
        <w:t>):S</w:t>
      </w:r>
      <w:proofErr w:type="gramEnd"/>
      <w:r w:rsidRPr="00BF5C5F">
        <w:rPr>
          <w:rFonts w:cstheme="minorHAnsi"/>
          <w:color w:val="FF0000"/>
        </w:rPr>
        <w:t xml:space="preserve">103-S123. PMID: </w:t>
      </w:r>
      <w:hyperlink r:id="rId27" w:history="1">
        <w:r w:rsidRPr="00BF5C5F">
          <w:rPr>
            <w:rStyle w:val="Hyperlink"/>
            <w:color w:val="FF0000"/>
          </w:rPr>
          <w:t>30559236</w:t>
        </w:r>
      </w:hyperlink>
      <w:r w:rsidRPr="00BF5C5F">
        <w:rPr>
          <w:rStyle w:val="Hyperlink"/>
          <w:color w:val="FF0000"/>
          <w:u w:val="none"/>
        </w:rPr>
        <w:t>.</w:t>
      </w:r>
    </w:p>
    <w:p w14:paraId="507ECEA2" w14:textId="66E50040" w:rsidR="00BF5C5F" w:rsidRPr="00BF5C5F" w:rsidRDefault="00BF5C5F" w:rsidP="00BF5C5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proofErr w:type="spellStart"/>
      <w:r w:rsidRPr="00BF5C5F">
        <w:rPr>
          <w:rFonts w:cstheme="minorHAnsi"/>
          <w:color w:val="FF0000"/>
        </w:rPr>
        <w:t>Whelton</w:t>
      </w:r>
      <w:proofErr w:type="spellEnd"/>
      <w:r w:rsidRPr="00BF5C5F">
        <w:rPr>
          <w:rFonts w:cstheme="minorHAnsi"/>
          <w:color w:val="FF0000"/>
        </w:rPr>
        <w:t xml:space="preserve"> PK, Carey RM, </w:t>
      </w:r>
      <w:proofErr w:type="spellStart"/>
      <w:r w:rsidRPr="00BF5C5F">
        <w:rPr>
          <w:rFonts w:cstheme="minorHAnsi"/>
          <w:color w:val="FF0000"/>
        </w:rPr>
        <w:t>Aronow</w:t>
      </w:r>
      <w:proofErr w:type="spellEnd"/>
      <w:r w:rsidRPr="00BF5C5F">
        <w:rPr>
          <w:rFonts w:cstheme="minorHAnsi"/>
          <w:color w:val="FF0000"/>
        </w:rPr>
        <w:t xml:space="preserve"> WS, et al. 2017 ACC/AHA/AAPA/ABC/ACPM/AGS/</w:t>
      </w:r>
      <w:proofErr w:type="spellStart"/>
      <w:r w:rsidRPr="00BF5C5F">
        <w:rPr>
          <w:rFonts w:cstheme="minorHAnsi"/>
          <w:color w:val="FF0000"/>
        </w:rPr>
        <w:t>APhA</w:t>
      </w:r>
      <w:proofErr w:type="spellEnd"/>
      <w:r w:rsidRPr="00BF5C5F">
        <w:rPr>
          <w:rFonts w:cstheme="minorHAnsi"/>
          <w:color w:val="FF0000"/>
        </w:rPr>
        <w:t xml:space="preserve">/ASH/ASPC/NMA/PCNA Guideline for the Prevention, Detection, Evaluation, and Management of High Blood Pressure in Adults: Executive Summary: A Report of the American College of Cardiology/American Heart Association Task Force on Clinical Practice Guidelines. J Am Soc </w:t>
      </w:r>
      <w:proofErr w:type="spellStart"/>
      <w:r w:rsidRPr="00BF5C5F">
        <w:rPr>
          <w:rFonts w:cstheme="minorHAnsi"/>
          <w:color w:val="FF0000"/>
        </w:rPr>
        <w:t>Hypertens</w:t>
      </w:r>
      <w:proofErr w:type="spellEnd"/>
      <w:r w:rsidRPr="00BF5C5F">
        <w:rPr>
          <w:rFonts w:cstheme="minorHAnsi"/>
          <w:color w:val="FF0000"/>
        </w:rPr>
        <w:t xml:space="preserve">. </w:t>
      </w:r>
      <w:proofErr w:type="gramStart"/>
      <w:r w:rsidRPr="00BF5C5F">
        <w:rPr>
          <w:rFonts w:cstheme="minorHAnsi"/>
          <w:color w:val="FF0000"/>
        </w:rPr>
        <w:t>2018;12:579</w:t>
      </w:r>
      <w:proofErr w:type="gramEnd"/>
      <w:r w:rsidRPr="00BF5C5F">
        <w:rPr>
          <w:rFonts w:cstheme="minorHAnsi"/>
          <w:color w:val="FF0000"/>
        </w:rPr>
        <w:t xml:space="preserve">.e1-579.e73. PMID: </w:t>
      </w:r>
      <w:hyperlink r:id="rId28" w:history="1">
        <w:r w:rsidRPr="00BF5C5F">
          <w:rPr>
            <w:rStyle w:val="Hyperlink"/>
            <w:rFonts w:eastAsia="Calibri" w:cstheme="minorHAnsi"/>
            <w:color w:val="FF0000"/>
          </w:rPr>
          <w:t>30219548</w:t>
        </w:r>
      </w:hyperlink>
      <w:r w:rsidRPr="00BF5C5F">
        <w:rPr>
          <w:rFonts w:cstheme="minorHAnsi"/>
          <w:color w:val="FF0000"/>
        </w:rPr>
        <w:t>.</w:t>
      </w:r>
    </w:p>
    <w:p w14:paraId="39C5734C" w14:textId="77777777" w:rsidR="00BF5C5F" w:rsidRPr="00BF5C5F" w:rsidRDefault="00BF5C5F" w:rsidP="00BF5C5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BF5C5F">
        <w:rPr>
          <w:rFonts w:cstheme="minorHAnsi"/>
          <w:color w:val="FF0000"/>
        </w:rPr>
        <w:t>Grundy SM, Stone NJ, Bailey AL, et al. 2018 AHA/ACC/AACVPR/AAPA/ABC/ACPM/ADA/AGS/</w:t>
      </w:r>
      <w:proofErr w:type="spellStart"/>
      <w:r w:rsidRPr="00BF5C5F">
        <w:rPr>
          <w:rFonts w:cstheme="minorHAnsi"/>
          <w:color w:val="FF0000"/>
        </w:rPr>
        <w:t>APhA</w:t>
      </w:r>
      <w:proofErr w:type="spellEnd"/>
      <w:r w:rsidRPr="00BF5C5F">
        <w:rPr>
          <w:rFonts w:cstheme="minorHAnsi"/>
          <w:color w:val="FF0000"/>
        </w:rPr>
        <w:t xml:space="preserve">/ASPC/NLA/PCNA Guideline on the Management of Blood Cholesterol. Circulation. 2018 Nov </w:t>
      </w:r>
      <w:proofErr w:type="gramStart"/>
      <w:r w:rsidRPr="00BF5C5F">
        <w:rPr>
          <w:rFonts w:cstheme="minorHAnsi"/>
          <w:color w:val="FF0000"/>
        </w:rPr>
        <w:t>10:CIR</w:t>
      </w:r>
      <w:proofErr w:type="gramEnd"/>
      <w:r w:rsidRPr="00BF5C5F">
        <w:rPr>
          <w:rFonts w:cstheme="minorHAnsi"/>
          <w:color w:val="FF0000"/>
        </w:rPr>
        <w:t xml:space="preserve">0000000000000625. </w:t>
      </w:r>
      <w:proofErr w:type="spellStart"/>
      <w:r w:rsidRPr="00BF5C5F">
        <w:rPr>
          <w:rFonts w:cstheme="minorHAnsi"/>
          <w:color w:val="FF0000"/>
        </w:rPr>
        <w:t>doi</w:t>
      </w:r>
      <w:proofErr w:type="spellEnd"/>
      <w:r w:rsidRPr="00BF5C5F">
        <w:rPr>
          <w:rFonts w:cstheme="minorHAnsi"/>
          <w:color w:val="FF0000"/>
        </w:rPr>
        <w:t xml:space="preserve">: 10.1161/CIR.0000000000000625. PMID: </w:t>
      </w:r>
      <w:hyperlink r:id="rId29" w:history="1">
        <w:r w:rsidRPr="00BF5C5F">
          <w:rPr>
            <w:rStyle w:val="Hyperlink"/>
            <w:rFonts w:cstheme="minorHAnsi"/>
            <w:color w:val="FF0000"/>
          </w:rPr>
          <w:t>30586774</w:t>
        </w:r>
      </w:hyperlink>
      <w:r w:rsidRPr="00BF5C5F">
        <w:rPr>
          <w:rFonts w:cstheme="minorHAnsi"/>
          <w:color w:val="FF0000"/>
        </w:rPr>
        <w:t>.</w:t>
      </w:r>
    </w:p>
    <w:p w14:paraId="56726F04" w14:textId="7B92BB47" w:rsidR="00BF5C5F" w:rsidRPr="00BF5C5F" w:rsidRDefault="00BF5C5F" w:rsidP="00BF5C5F">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proofErr w:type="spellStart"/>
      <w:r w:rsidRPr="00BF5C5F">
        <w:rPr>
          <w:rFonts w:cstheme="minorHAnsi"/>
          <w:color w:val="FF0000"/>
        </w:rPr>
        <w:t>Jellinger</w:t>
      </w:r>
      <w:proofErr w:type="spellEnd"/>
      <w:r w:rsidRPr="00BF5C5F">
        <w:rPr>
          <w:rFonts w:cstheme="minorHAnsi"/>
          <w:color w:val="FF0000"/>
        </w:rPr>
        <w:t xml:space="preserve"> PS, </w:t>
      </w:r>
      <w:proofErr w:type="spellStart"/>
      <w:r w:rsidRPr="00BF5C5F">
        <w:rPr>
          <w:rFonts w:cstheme="minorHAnsi"/>
          <w:color w:val="FF0000"/>
        </w:rPr>
        <w:t>Handelsman</w:t>
      </w:r>
      <w:proofErr w:type="spellEnd"/>
      <w:r w:rsidRPr="00BF5C5F">
        <w:rPr>
          <w:rFonts w:cstheme="minorHAnsi"/>
          <w:color w:val="FF0000"/>
        </w:rPr>
        <w:t xml:space="preserve"> Y, </w:t>
      </w:r>
      <w:proofErr w:type="spellStart"/>
      <w:r w:rsidRPr="00BF5C5F">
        <w:rPr>
          <w:rFonts w:cstheme="minorHAnsi"/>
          <w:color w:val="FF0000"/>
        </w:rPr>
        <w:t>Rosenblit</w:t>
      </w:r>
      <w:proofErr w:type="spellEnd"/>
      <w:r w:rsidRPr="00BF5C5F">
        <w:rPr>
          <w:rFonts w:cstheme="minorHAnsi"/>
          <w:color w:val="FF0000"/>
        </w:rPr>
        <w:t xml:space="preserve"> PD, et al. AMERICAN ASSOCIATION OF CLINICAL ENDOCRINOLOGISTS AND AMERICAN COLLEGE OF ENDOCRINOLOGY GUIDELINES FOR MANAGEMENT OF DYSLIPIDEMIA AND PREVENTION OF CARDIOVASCULAR DISEASE. </w:t>
      </w:r>
      <w:proofErr w:type="spellStart"/>
      <w:r w:rsidRPr="00BF5C5F">
        <w:rPr>
          <w:rFonts w:cstheme="minorHAnsi"/>
          <w:color w:val="FF0000"/>
        </w:rPr>
        <w:t>Endocr</w:t>
      </w:r>
      <w:proofErr w:type="spellEnd"/>
      <w:r w:rsidRPr="00BF5C5F">
        <w:rPr>
          <w:rFonts w:cstheme="minorHAnsi"/>
          <w:color w:val="FF0000"/>
        </w:rPr>
        <w:t xml:space="preserve"> </w:t>
      </w:r>
      <w:proofErr w:type="spellStart"/>
      <w:r w:rsidRPr="00BF5C5F">
        <w:rPr>
          <w:rFonts w:cstheme="minorHAnsi"/>
          <w:color w:val="FF0000"/>
        </w:rPr>
        <w:t>Pract</w:t>
      </w:r>
      <w:proofErr w:type="spellEnd"/>
      <w:r w:rsidRPr="00BF5C5F">
        <w:rPr>
          <w:rFonts w:cstheme="minorHAnsi"/>
          <w:color w:val="FF0000"/>
        </w:rPr>
        <w:t xml:space="preserve">. 2017; 23(Suppl 2):1-87. PMID: </w:t>
      </w:r>
      <w:hyperlink r:id="rId30" w:history="1">
        <w:r w:rsidRPr="00BF5C5F">
          <w:rPr>
            <w:rStyle w:val="Hyperlink"/>
            <w:rFonts w:cstheme="minorHAnsi"/>
            <w:color w:val="FF0000"/>
          </w:rPr>
          <w:t>28437620</w:t>
        </w:r>
      </w:hyperlink>
      <w:r w:rsidRPr="00BF5C5F">
        <w:rPr>
          <w:rFonts w:cstheme="minorHAnsi"/>
          <w:color w:val="FF0000"/>
        </w:rPr>
        <w:t>.</w:t>
      </w:r>
    </w:p>
    <w:p w14:paraId="1C98FAD8" w14:textId="77777777" w:rsidR="00206D25" w:rsidRPr="00206D25" w:rsidRDefault="00BF5C5F" w:rsidP="00206D2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BF5C5F">
        <w:rPr>
          <w:rFonts w:cstheme="minorHAnsi"/>
          <w:color w:val="FF0000"/>
        </w:rPr>
        <w:t xml:space="preserve">US Preventive Services Task Force, </w:t>
      </w:r>
      <w:proofErr w:type="spellStart"/>
      <w:r w:rsidRPr="00BF5C5F">
        <w:rPr>
          <w:rFonts w:cstheme="minorHAnsi"/>
          <w:color w:val="FF0000"/>
        </w:rPr>
        <w:t>Bibbins</w:t>
      </w:r>
      <w:proofErr w:type="spellEnd"/>
      <w:r w:rsidRPr="00BF5C5F">
        <w:rPr>
          <w:rFonts w:cstheme="minorHAnsi"/>
          <w:color w:val="FF0000"/>
        </w:rPr>
        <w:t xml:space="preserve">-Domingo K, Grossman DC, Curry SJ, et al. Statin Use for the Primary Prevention of Cardiovascular Disease in Adults: US Preventive Services Task Force Recommendation Statement. JAMA. 2016; 316(19):1997-2007. PMID: </w:t>
      </w:r>
      <w:hyperlink r:id="rId31" w:history="1">
        <w:r w:rsidRPr="00BF5C5F">
          <w:rPr>
            <w:rStyle w:val="Hyperlink"/>
            <w:rFonts w:cstheme="minorHAnsi"/>
            <w:color w:val="FF0000"/>
          </w:rPr>
          <w:t>27838723</w:t>
        </w:r>
      </w:hyperlink>
      <w:r w:rsidRPr="00BF5C5F">
        <w:rPr>
          <w:rFonts w:cstheme="minorHAnsi"/>
          <w:color w:val="FF0000"/>
        </w:rPr>
        <w:t>.</w:t>
      </w:r>
    </w:p>
    <w:p w14:paraId="397BE960" w14:textId="77777777" w:rsidR="00206D25" w:rsidRPr="00206D25" w:rsidRDefault="00206D25" w:rsidP="00206D2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FF0000"/>
          <w:u w:val="none"/>
        </w:rPr>
      </w:pPr>
      <w:r w:rsidRPr="00206D25">
        <w:rPr>
          <w:rFonts w:eastAsia="Times New Roman" w:cstheme="minorHAnsi"/>
          <w:color w:val="FF0000"/>
        </w:rPr>
        <w:t xml:space="preserve">Lloyd JT, </w:t>
      </w:r>
      <w:proofErr w:type="spellStart"/>
      <w:r w:rsidRPr="00206D25">
        <w:rPr>
          <w:rFonts w:eastAsia="Times New Roman" w:cstheme="minorHAnsi"/>
          <w:color w:val="FF0000"/>
        </w:rPr>
        <w:t>Maresh</w:t>
      </w:r>
      <w:proofErr w:type="spellEnd"/>
      <w:r w:rsidRPr="00206D25">
        <w:rPr>
          <w:rFonts w:eastAsia="Times New Roman" w:cstheme="minorHAnsi"/>
          <w:color w:val="FF0000"/>
        </w:rPr>
        <w:t xml:space="preserve"> S, Powers CA, Shrank WH, Alley DE. How Much Does Medication Nonadherence Cost the Medicare Fee-for-Service Program? Med Care. </w:t>
      </w:r>
      <w:proofErr w:type="gramStart"/>
      <w:r w:rsidRPr="00206D25">
        <w:rPr>
          <w:rFonts w:eastAsia="Times New Roman" w:cstheme="minorHAnsi"/>
          <w:color w:val="FF0000"/>
        </w:rPr>
        <w:t>2019;57:218</w:t>
      </w:r>
      <w:proofErr w:type="gramEnd"/>
      <w:r w:rsidRPr="00206D25">
        <w:rPr>
          <w:rFonts w:eastAsia="Times New Roman" w:cstheme="minorHAnsi"/>
          <w:color w:val="FF0000"/>
        </w:rPr>
        <w:t xml:space="preserve">-24. PMID: </w:t>
      </w:r>
      <w:hyperlink r:id="rId32" w:history="1">
        <w:r w:rsidRPr="00206D25">
          <w:rPr>
            <w:rStyle w:val="Hyperlink"/>
            <w:rFonts w:cstheme="minorHAnsi"/>
            <w:color w:val="FF0000"/>
          </w:rPr>
          <w:t>30676355</w:t>
        </w:r>
      </w:hyperlink>
      <w:r w:rsidRPr="00206D25">
        <w:rPr>
          <w:rStyle w:val="Hyperlink"/>
          <w:rFonts w:cstheme="minorHAnsi"/>
          <w:color w:val="FF0000"/>
        </w:rPr>
        <w:t>.</w:t>
      </w:r>
    </w:p>
    <w:p w14:paraId="0C415C2B" w14:textId="61B4E516" w:rsidR="00206D25" w:rsidRDefault="00206D25" w:rsidP="00206D2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206D25">
        <w:rPr>
          <w:rFonts w:eastAsia="Times New Roman" w:cstheme="minorHAnsi"/>
          <w:color w:val="FF0000"/>
        </w:rPr>
        <w:lastRenderedPageBreak/>
        <w:t xml:space="preserve">Ritchey M, Chang A, Powers C, et al. Vital Signs: Disparities in Antihypertensive Medication Nonadherence Among Medicare Part D Beneficiaries - United States, 2014. MMWR </w:t>
      </w:r>
      <w:proofErr w:type="spellStart"/>
      <w:r w:rsidRPr="00206D25">
        <w:rPr>
          <w:rFonts w:eastAsia="Times New Roman" w:cstheme="minorHAnsi"/>
          <w:color w:val="FF0000"/>
        </w:rPr>
        <w:t>Morb</w:t>
      </w:r>
      <w:proofErr w:type="spellEnd"/>
      <w:r w:rsidRPr="00206D25">
        <w:rPr>
          <w:rFonts w:eastAsia="Times New Roman" w:cstheme="minorHAnsi"/>
          <w:color w:val="FF0000"/>
        </w:rPr>
        <w:t xml:space="preserve"> Mortal </w:t>
      </w:r>
      <w:proofErr w:type="spellStart"/>
      <w:r w:rsidRPr="00206D25">
        <w:rPr>
          <w:rFonts w:eastAsia="Times New Roman" w:cstheme="minorHAnsi"/>
          <w:color w:val="FF0000"/>
        </w:rPr>
        <w:t>Wkly</w:t>
      </w:r>
      <w:proofErr w:type="spellEnd"/>
      <w:r w:rsidRPr="00206D25">
        <w:rPr>
          <w:rFonts w:eastAsia="Times New Roman" w:cstheme="minorHAnsi"/>
          <w:color w:val="FF0000"/>
        </w:rPr>
        <w:t xml:space="preserve"> Rep. </w:t>
      </w:r>
      <w:proofErr w:type="gramStart"/>
      <w:r w:rsidRPr="00206D25">
        <w:rPr>
          <w:rFonts w:eastAsia="Times New Roman" w:cstheme="minorHAnsi"/>
          <w:color w:val="FF0000"/>
        </w:rPr>
        <w:t>2016;65:967</w:t>
      </w:r>
      <w:proofErr w:type="gramEnd"/>
      <w:r w:rsidRPr="00206D25">
        <w:rPr>
          <w:rFonts w:eastAsia="Times New Roman" w:cstheme="minorHAnsi"/>
          <w:color w:val="FF0000"/>
        </w:rPr>
        <w:t xml:space="preserve">-76. PMID: </w:t>
      </w:r>
      <w:hyperlink r:id="rId33" w:history="1">
        <w:r w:rsidRPr="00206D25">
          <w:rPr>
            <w:rStyle w:val="Hyperlink"/>
            <w:rFonts w:eastAsia="Times New Roman" w:cstheme="minorHAnsi"/>
            <w:color w:val="FF0000"/>
          </w:rPr>
          <w:t>27632693</w:t>
        </w:r>
      </w:hyperlink>
      <w:r w:rsidRPr="00206D25">
        <w:rPr>
          <w:rFonts w:eastAsia="Times New Roman" w:cstheme="minorHAnsi"/>
          <w:color w:val="FF0000"/>
        </w:rPr>
        <w:t>.</w:t>
      </w:r>
    </w:p>
    <w:p w14:paraId="0C7108B3" w14:textId="644E48EF" w:rsidR="00BA0CDC" w:rsidRPr="00206D25" w:rsidRDefault="00206D25" w:rsidP="00206D2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206D25">
        <w:rPr>
          <w:color w:val="FF0000"/>
        </w:rPr>
        <w:t xml:space="preserve">CMS. Part C and D Performance Data. Centers for Medicare &amp; Medicaid Services. Accessed on: 02/08/2019. Available at: </w:t>
      </w:r>
      <w:hyperlink r:id="rId34" w:history="1">
        <w:r w:rsidRPr="00206D25">
          <w:rPr>
            <w:rStyle w:val="Hyperlink"/>
            <w:color w:val="FF0000"/>
          </w:rPr>
          <w:t>https://www.cms.gov/medicare/prescription-drug-coverage/prescriptiondrugcovgenin/performancedata.html</w:t>
        </w:r>
      </w:hyperlink>
      <w:r>
        <w:rPr>
          <w:color w:val="FF0000"/>
        </w:rPr>
        <w:t>.</w:t>
      </w:r>
    </w:p>
    <w:p w14:paraId="210719E3" w14:textId="3EDA079E" w:rsidR="00BA0CDC" w:rsidRPr="005A048B" w:rsidRDefault="00206D25" w:rsidP="00206D2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proofErr w:type="spellStart"/>
      <w:r w:rsidRPr="00206D25">
        <w:rPr>
          <w:rFonts w:eastAsia="Times New Roman" w:cs="Courier New"/>
          <w:color w:val="FF0000"/>
        </w:rPr>
        <w:t>Raebel</w:t>
      </w:r>
      <w:proofErr w:type="spellEnd"/>
      <w:r w:rsidRPr="00206D25">
        <w:rPr>
          <w:rFonts w:eastAsia="Times New Roman" w:cs="Courier New"/>
          <w:color w:val="FF0000"/>
        </w:rPr>
        <w:t xml:space="preserve"> MA, </w:t>
      </w:r>
      <w:proofErr w:type="spellStart"/>
      <w:r w:rsidRPr="00206D25">
        <w:rPr>
          <w:rFonts w:eastAsia="Times New Roman" w:cs="Courier New"/>
          <w:color w:val="FF0000"/>
        </w:rPr>
        <w:t>Schmittdiel</w:t>
      </w:r>
      <w:proofErr w:type="spellEnd"/>
      <w:r w:rsidRPr="00206D25">
        <w:rPr>
          <w:rFonts w:eastAsia="Times New Roman" w:cs="Courier New"/>
          <w:color w:val="FF0000"/>
        </w:rPr>
        <w:t xml:space="preserve"> J, Karter AJ, </w:t>
      </w:r>
      <w:r>
        <w:rPr>
          <w:rFonts w:eastAsia="Times New Roman" w:cs="Courier New"/>
          <w:color w:val="FF0000"/>
        </w:rPr>
        <w:t>et al.</w:t>
      </w:r>
      <w:r w:rsidRPr="00206D25">
        <w:rPr>
          <w:rFonts w:eastAsia="Times New Roman" w:cs="Courier New"/>
          <w:color w:val="FF0000"/>
        </w:rPr>
        <w:t xml:space="preserve"> Standardizing</w:t>
      </w:r>
      <w:r>
        <w:rPr>
          <w:rFonts w:eastAsia="Times New Roman" w:cs="Courier New"/>
          <w:color w:val="FF0000"/>
        </w:rPr>
        <w:t xml:space="preserve"> </w:t>
      </w:r>
      <w:r w:rsidRPr="00206D25">
        <w:rPr>
          <w:rFonts w:eastAsia="Times New Roman" w:cs="Courier New"/>
          <w:color w:val="FF0000"/>
        </w:rPr>
        <w:t>terminology and definitions of medication adherence and persistence in research</w:t>
      </w:r>
      <w:r>
        <w:rPr>
          <w:rFonts w:eastAsia="Times New Roman" w:cs="Courier New"/>
          <w:color w:val="FF0000"/>
        </w:rPr>
        <w:t xml:space="preserve"> </w:t>
      </w:r>
      <w:r w:rsidRPr="00206D25">
        <w:rPr>
          <w:rFonts w:eastAsia="Times New Roman" w:cs="Courier New"/>
          <w:color w:val="FF0000"/>
        </w:rPr>
        <w:t>employing electronic databases. Med Care. 2013 Aug;51(8 Suppl 3</w:t>
      </w:r>
      <w:proofErr w:type="gramStart"/>
      <w:r w:rsidRPr="00206D25">
        <w:rPr>
          <w:rFonts w:eastAsia="Times New Roman" w:cs="Courier New"/>
          <w:color w:val="FF0000"/>
        </w:rPr>
        <w:t>):S</w:t>
      </w:r>
      <w:proofErr w:type="gramEnd"/>
      <w:r w:rsidRPr="00206D25">
        <w:rPr>
          <w:rFonts w:eastAsia="Times New Roman" w:cs="Courier New"/>
          <w:color w:val="FF0000"/>
        </w:rPr>
        <w:t xml:space="preserve">11-21. </w:t>
      </w:r>
      <w:r w:rsidRPr="00206D25">
        <w:rPr>
          <w:rFonts w:eastAsia="Times New Roman" w:cstheme="minorHAnsi"/>
          <w:color w:val="FF0000"/>
        </w:rPr>
        <w:t xml:space="preserve">PMID: </w:t>
      </w:r>
      <w:hyperlink r:id="rId35" w:history="1">
        <w:r w:rsidRPr="00206D25">
          <w:rPr>
            <w:rStyle w:val="Hyperlink"/>
            <w:rFonts w:cstheme="minorHAnsi"/>
            <w:color w:val="FF0000"/>
            <w:shd w:val="clear" w:color="auto" w:fill="FFFFFF"/>
          </w:rPr>
          <w:t>23774515</w:t>
        </w:r>
      </w:hyperlink>
      <w:r>
        <w:rPr>
          <w:rFonts w:cstheme="minorHAnsi"/>
          <w:color w:val="FF0000"/>
          <w:shd w:val="clear" w:color="auto" w:fill="FFFFFF"/>
        </w:rPr>
        <w:t>.</w:t>
      </w:r>
    </w:p>
    <w:p w14:paraId="187CD705" w14:textId="77777777" w:rsidR="005E2EB0" w:rsidRPr="005E2EB0" w:rsidRDefault="005A048B" w:rsidP="005E2EB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FF0000"/>
          <w:u w:val="none"/>
        </w:rPr>
      </w:pPr>
      <w:r w:rsidRPr="005A048B">
        <w:rPr>
          <w:rFonts w:cstheme="minorHAnsi"/>
          <w:color w:val="FF0000"/>
        </w:rPr>
        <w:t xml:space="preserve">Karve S, Cleves MA, Helm M, et al. Good and poor adherence: optimal cut-point for adherence measures using administrative claims data. </w:t>
      </w:r>
      <w:proofErr w:type="spellStart"/>
      <w:r w:rsidRPr="005A048B">
        <w:rPr>
          <w:rFonts w:cstheme="minorHAnsi"/>
          <w:color w:val="FF0000"/>
        </w:rPr>
        <w:t>Curr</w:t>
      </w:r>
      <w:proofErr w:type="spellEnd"/>
      <w:r w:rsidRPr="005A048B">
        <w:rPr>
          <w:rFonts w:cstheme="minorHAnsi"/>
          <w:color w:val="FF0000"/>
        </w:rPr>
        <w:t xml:space="preserve"> Med Res </w:t>
      </w:r>
      <w:proofErr w:type="spellStart"/>
      <w:r w:rsidRPr="005A048B">
        <w:rPr>
          <w:rFonts w:cstheme="minorHAnsi"/>
          <w:color w:val="FF0000"/>
        </w:rPr>
        <w:t>Opin</w:t>
      </w:r>
      <w:proofErr w:type="spellEnd"/>
      <w:r w:rsidRPr="005A048B">
        <w:rPr>
          <w:rFonts w:cstheme="minorHAnsi"/>
          <w:color w:val="FF0000"/>
        </w:rPr>
        <w:t xml:space="preserve">. </w:t>
      </w:r>
      <w:proofErr w:type="gramStart"/>
      <w:r w:rsidRPr="005A048B">
        <w:rPr>
          <w:rFonts w:cstheme="minorHAnsi"/>
          <w:color w:val="FF0000"/>
        </w:rPr>
        <w:t>2009;25:2303</w:t>
      </w:r>
      <w:proofErr w:type="gramEnd"/>
      <w:r w:rsidRPr="005A048B">
        <w:rPr>
          <w:rFonts w:cstheme="minorHAnsi"/>
          <w:color w:val="FF0000"/>
        </w:rPr>
        <w:t xml:space="preserve">-10. PMID: </w:t>
      </w:r>
      <w:hyperlink r:id="rId36" w:history="1">
        <w:r w:rsidRPr="005A048B">
          <w:rPr>
            <w:rStyle w:val="Hyperlink"/>
            <w:rFonts w:cstheme="minorHAnsi"/>
            <w:color w:val="FF0000"/>
          </w:rPr>
          <w:t>19635045</w:t>
        </w:r>
      </w:hyperlink>
      <w:r w:rsidRPr="005E2EB0">
        <w:rPr>
          <w:rStyle w:val="Hyperlink"/>
          <w:rFonts w:cstheme="minorHAnsi"/>
          <w:color w:val="FF0000"/>
          <w:u w:val="none"/>
        </w:rPr>
        <w:t>.</w:t>
      </w:r>
    </w:p>
    <w:p w14:paraId="4885F2C8" w14:textId="77777777" w:rsidR="005E2EB0" w:rsidRDefault="005E2EB0" w:rsidP="005E2EB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5E2EB0">
        <w:rPr>
          <w:rFonts w:cstheme="minorHAnsi"/>
          <w:color w:val="FF0000"/>
          <w:shd w:val="clear" w:color="auto" w:fill="FFFFFF"/>
        </w:rPr>
        <w:t xml:space="preserve">Hess LM, </w:t>
      </w:r>
      <w:proofErr w:type="spellStart"/>
      <w:r w:rsidRPr="005E2EB0">
        <w:rPr>
          <w:rFonts w:cstheme="minorHAnsi"/>
          <w:color w:val="FF0000"/>
          <w:shd w:val="clear" w:color="auto" w:fill="FFFFFF"/>
        </w:rPr>
        <w:t>Raebel</w:t>
      </w:r>
      <w:proofErr w:type="spellEnd"/>
      <w:r w:rsidRPr="005E2EB0">
        <w:rPr>
          <w:rFonts w:cstheme="minorHAnsi"/>
          <w:color w:val="FF0000"/>
          <w:shd w:val="clear" w:color="auto" w:fill="FFFFFF"/>
        </w:rPr>
        <w:t xml:space="preserve"> MA, Conner DA, et al. Measurement of adherence in pharmacy administrative databases: a proposal for standard definitions and preferred measures. Annals of Pharmacotherapy. 2006;40(7-8):1280-8. PMID: </w:t>
      </w:r>
      <w:hyperlink r:id="rId37" w:history="1">
        <w:r w:rsidRPr="005E2EB0">
          <w:rPr>
            <w:rStyle w:val="Hyperlink"/>
            <w:rFonts w:eastAsia="Times New Roman" w:cstheme="minorHAnsi"/>
            <w:color w:val="FF0000"/>
          </w:rPr>
          <w:t>16868217</w:t>
        </w:r>
      </w:hyperlink>
      <w:r>
        <w:rPr>
          <w:rFonts w:eastAsia="Times New Roman" w:cstheme="minorHAnsi"/>
          <w:color w:val="FF0000"/>
        </w:rPr>
        <w:t>.</w:t>
      </w:r>
    </w:p>
    <w:p w14:paraId="4CD4667F" w14:textId="77777777" w:rsidR="005E2EB0" w:rsidRPr="003556C1" w:rsidRDefault="005E2EB0" w:rsidP="005E2EB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5E2EB0">
        <w:rPr>
          <w:rFonts w:cstheme="minorHAnsi"/>
          <w:color w:val="FF0000"/>
          <w:shd w:val="clear" w:color="auto" w:fill="FFFFFF"/>
        </w:rPr>
        <w:t xml:space="preserve">Peterson AM, Nau DP, Cramer JA, et al. A checklist for medication compliance and persistence </w:t>
      </w:r>
      <w:r w:rsidRPr="003556C1">
        <w:rPr>
          <w:rFonts w:cstheme="minorHAnsi"/>
          <w:color w:val="FF0000"/>
          <w:shd w:val="clear" w:color="auto" w:fill="FFFFFF"/>
        </w:rPr>
        <w:t xml:space="preserve">studies using retrospective databases. Value in Health. </w:t>
      </w:r>
      <w:proofErr w:type="gramStart"/>
      <w:r w:rsidRPr="003556C1">
        <w:rPr>
          <w:rFonts w:cstheme="minorHAnsi"/>
          <w:color w:val="FF0000"/>
          <w:shd w:val="clear" w:color="auto" w:fill="FFFFFF"/>
        </w:rPr>
        <w:t>2007;10:3</w:t>
      </w:r>
      <w:proofErr w:type="gramEnd"/>
      <w:r w:rsidRPr="003556C1">
        <w:rPr>
          <w:rFonts w:cstheme="minorHAnsi"/>
          <w:color w:val="FF0000"/>
          <w:shd w:val="clear" w:color="auto" w:fill="FFFFFF"/>
        </w:rPr>
        <w:t xml:space="preserve">-12. PMID: </w:t>
      </w:r>
      <w:hyperlink r:id="rId38" w:history="1">
        <w:r w:rsidRPr="003556C1">
          <w:rPr>
            <w:rStyle w:val="Hyperlink"/>
            <w:rFonts w:cstheme="minorHAnsi"/>
            <w:color w:val="FF0000"/>
            <w:shd w:val="clear" w:color="auto" w:fill="FFFFFF"/>
          </w:rPr>
          <w:t>17261111</w:t>
        </w:r>
      </w:hyperlink>
      <w:r w:rsidRPr="003556C1">
        <w:rPr>
          <w:rFonts w:cstheme="minorHAnsi"/>
          <w:color w:val="FF0000"/>
          <w:shd w:val="clear" w:color="auto" w:fill="FFFFFF"/>
        </w:rPr>
        <w:t>.</w:t>
      </w:r>
    </w:p>
    <w:p w14:paraId="5B9F65FD" w14:textId="11067E4F" w:rsidR="005E2EB0" w:rsidRPr="003556C1" w:rsidRDefault="005E2EB0" w:rsidP="005E2EB0">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3556C1">
        <w:rPr>
          <w:rFonts w:cstheme="minorHAnsi"/>
          <w:color w:val="FF0000"/>
          <w:shd w:val="clear" w:color="auto" w:fill="FFFFFF"/>
        </w:rPr>
        <w:t xml:space="preserve">Andrade SE, Kahler KH, </w:t>
      </w:r>
      <w:proofErr w:type="spellStart"/>
      <w:r w:rsidRPr="003556C1">
        <w:rPr>
          <w:rFonts w:cstheme="minorHAnsi"/>
          <w:color w:val="FF0000"/>
          <w:shd w:val="clear" w:color="auto" w:fill="FFFFFF"/>
        </w:rPr>
        <w:t>Frech</w:t>
      </w:r>
      <w:proofErr w:type="spellEnd"/>
      <w:r w:rsidRPr="003556C1">
        <w:rPr>
          <w:rFonts w:cstheme="minorHAnsi"/>
          <w:color w:val="FF0000"/>
          <w:shd w:val="clear" w:color="auto" w:fill="FFFFFF"/>
        </w:rPr>
        <w:t xml:space="preserve"> F, et al. Methods for evaluation of medication adherence and persistence using automated databases. Pharmacoepidemiology and drug safety. </w:t>
      </w:r>
      <w:proofErr w:type="gramStart"/>
      <w:r w:rsidRPr="003556C1">
        <w:rPr>
          <w:rFonts w:cstheme="minorHAnsi"/>
          <w:color w:val="FF0000"/>
          <w:shd w:val="clear" w:color="auto" w:fill="FFFFFF"/>
        </w:rPr>
        <w:t>2006;15:565</w:t>
      </w:r>
      <w:proofErr w:type="gramEnd"/>
      <w:r w:rsidRPr="003556C1">
        <w:rPr>
          <w:rFonts w:cstheme="minorHAnsi"/>
          <w:color w:val="FF0000"/>
          <w:shd w:val="clear" w:color="auto" w:fill="FFFFFF"/>
        </w:rPr>
        <w:t>-74. PMID:</w:t>
      </w:r>
      <w:r w:rsidRPr="003556C1">
        <w:rPr>
          <w:rFonts w:cstheme="minorHAnsi"/>
          <w:color w:val="FF0000"/>
        </w:rPr>
        <w:t xml:space="preserve"> </w:t>
      </w:r>
      <w:hyperlink r:id="rId39" w:history="1">
        <w:r w:rsidRPr="003556C1">
          <w:rPr>
            <w:rStyle w:val="Hyperlink"/>
            <w:rFonts w:cstheme="minorHAnsi"/>
            <w:color w:val="FF0000"/>
          </w:rPr>
          <w:t>16514590</w:t>
        </w:r>
      </w:hyperlink>
      <w:r w:rsidRPr="003556C1">
        <w:rPr>
          <w:rFonts w:eastAsia="Times New Roman" w:cstheme="minorHAnsi"/>
          <w:color w:val="FF0000"/>
        </w:rPr>
        <w:t>.</w:t>
      </w:r>
    </w:p>
    <w:p w14:paraId="40212248" w14:textId="336F55CC" w:rsidR="00BA0CDC" w:rsidRPr="0018035B" w:rsidRDefault="003556C1" w:rsidP="003556C1">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0000FF"/>
        </w:rPr>
      </w:pPr>
      <w:r w:rsidRPr="0018035B">
        <w:rPr>
          <w:rFonts w:eastAsia="Times New Roman" w:cs="Courier New"/>
          <w:color w:val="0000FF"/>
        </w:rPr>
        <w:t xml:space="preserve">Wei L, Wang J, Thompson P, et al. Adherence to statin treatment and readmission of patients after myocardial infarction: a six year follow up study. Heart. </w:t>
      </w:r>
      <w:proofErr w:type="gramStart"/>
      <w:r w:rsidRPr="0018035B">
        <w:rPr>
          <w:rFonts w:eastAsia="Times New Roman" w:cs="Courier New"/>
          <w:color w:val="0000FF"/>
        </w:rPr>
        <w:t>2002;88:229</w:t>
      </w:r>
      <w:proofErr w:type="gramEnd"/>
      <w:r w:rsidRPr="0018035B">
        <w:rPr>
          <w:rFonts w:eastAsia="Times New Roman" w:cs="Courier New"/>
          <w:color w:val="0000FF"/>
        </w:rPr>
        <w:t xml:space="preserve">-33. PMID: </w:t>
      </w:r>
      <w:hyperlink r:id="rId40" w:history="1">
        <w:r w:rsidRPr="0018035B">
          <w:rPr>
            <w:rStyle w:val="Hyperlink"/>
            <w:rFonts w:eastAsia="Times New Roman" w:cs="Courier New"/>
            <w:color w:val="0000FF"/>
          </w:rPr>
          <w:t>12181210</w:t>
        </w:r>
      </w:hyperlink>
      <w:r w:rsidRPr="0018035B">
        <w:rPr>
          <w:rFonts w:eastAsia="Times New Roman" w:cs="Courier New"/>
          <w:color w:val="0000FF"/>
        </w:rPr>
        <w:t>.</w:t>
      </w:r>
    </w:p>
    <w:p w14:paraId="245AE2D3" w14:textId="23B95AA1" w:rsidR="00BA0CDC" w:rsidRPr="0018035B" w:rsidRDefault="003556C1" w:rsidP="003556C1">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0000FF"/>
          <w:u w:val="none"/>
        </w:rPr>
      </w:pPr>
      <w:r w:rsidRPr="0018035B">
        <w:rPr>
          <w:rFonts w:cstheme="minorHAnsi"/>
          <w:color w:val="0000FF"/>
        </w:rPr>
        <w:t>L</w:t>
      </w:r>
      <w:r w:rsidRPr="0018035B">
        <w:rPr>
          <w:color w:val="0000FF"/>
        </w:rPr>
        <w:t xml:space="preserve">au DT, Nau DP. Oral antihyperglycemic medication nonadherence and subsequent hospitalization among individuals with type 2 diabetes. Diabetes Care. </w:t>
      </w:r>
      <w:proofErr w:type="gramStart"/>
      <w:r w:rsidRPr="0018035B">
        <w:rPr>
          <w:color w:val="0000FF"/>
        </w:rPr>
        <w:t>2004;27:2149</w:t>
      </w:r>
      <w:proofErr w:type="gramEnd"/>
      <w:r w:rsidRPr="0018035B">
        <w:rPr>
          <w:color w:val="0000FF"/>
        </w:rPr>
        <w:t xml:space="preserve">-53. PMID: </w:t>
      </w:r>
      <w:hyperlink r:id="rId41" w:history="1">
        <w:r w:rsidRPr="0018035B">
          <w:rPr>
            <w:rStyle w:val="Hyperlink"/>
            <w:color w:val="0000FF"/>
          </w:rPr>
          <w:t>15333476</w:t>
        </w:r>
      </w:hyperlink>
      <w:r w:rsidRPr="0018035B">
        <w:rPr>
          <w:rStyle w:val="Hyperlink"/>
          <w:color w:val="0000FF"/>
          <w:u w:val="none"/>
        </w:rPr>
        <w:t>.</w:t>
      </w:r>
    </w:p>
    <w:p w14:paraId="560D804A" w14:textId="3676F334" w:rsidR="00BA0CDC" w:rsidRPr="0018035B" w:rsidRDefault="00196313" w:rsidP="00196313">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0000FF"/>
          <w:u w:val="none"/>
        </w:rPr>
      </w:pPr>
      <w:r w:rsidRPr="0018035B">
        <w:rPr>
          <w:rFonts w:cstheme="minorHAnsi"/>
          <w:color w:val="0000FF"/>
        </w:rPr>
        <w:t xml:space="preserve">Sokol MC, McGuigan KA, </w:t>
      </w:r>
      <w:proofErr w:type="spellStart"/>
      <w:r w:rsidRPr="0018035B">
        <w:rPr>
          <w:rFonts w:cstheme="minorHAnsi"/>
          <w:color w:val="0000FF"/>
        </w:rPr>
        <w:t>Verbrugge</w:t>
      </w:r>
      <w:proofErr w:type="spellEnd"/>
      <w:r w:rsidRPr="0018035B">
        <w:rPr>
          <w:rFonts w:cstheme="minorHAnsi"/>
          <w:color w:val="0000FF"/>
        </w:rPr>
        <w:t xml:space="preserve"> RR, Epstein RS. Impact of medication adherence on hospitalization risk and healthcare cost. Med Care. </w:t>
      </w:r>
      <w:proofErr w:type="gramStart"/>
      <w:r w:rsidRPr="0018035B">
        <w:rPr>
          <w:rFonts w:cstheme="minorHAnsi"/>
          <w:color w:val="0000FF"/>
        </w:rPr>
        <w:t>2005;43:521</w:t>
      </w:r>
      <w:proofErr w:type="gramEnd"/>
      <w:r w:rsidRPr="0018035B">
        <w:rPr>
          <w:rFonts w:cstheme="minorHAnsi"/>
          <w:color w:val="0000FF"/>
        </w:rPr>
        <w:t xml:space="preserve">-30. PMID: </w:t>
      </w:r>
      <w:hyperlink r:id="rId42" w:history="1">
        <w:r w:rsidRPr="0018035B">
          <w:rPr>
            <w:rStyle w:val="Hyperlink"/>
            <w:rFonts w:cstheme="minorHAnsi"/>
            <w:color w:val="0000FF"/>
          </w:rPr>
          <w:t>15908846</w:t>
        </w:r>
      </w:hyperlink>
      <w:r w:rsidRPr="0018035B">
        <w:rPr>
          <w:rStyle w:val="Hyperlink"/>
          <w:rFonts w:cstheme="minorHAnsi"/>
          <w:color w:val="0000FF"/>
          <w:u w:val="none"/>
        </w:rPr>
        <w:t>.</w:t>
      </w:r>
    </w:p>
    <w:p w14:paraId="751249A9" w14:textId="46BB5CF9" w:rsidR="00196313" w:rsidRPr="0018035B" w:rsidRDefault="00196313" w:rsidP="00196313">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0000FF"/>
          <w:u w:val="none"/>
        </w:rPr>
      </w:pPr>
      <w:r w:rsidRPr="0018035B">
        <w:rPr>
          <w:rFonts w:cstheme="minorHAnsi"/>
          <w:color w:val="0000FF"/>
        </w:rPr>
        <w:t xml:space="preserve">Ho PM, </w:t>
      </w:r>
      <w:proofErr w:type="spellStart"/>
      <w:r w:rsidRPr="0018035B">
        <w:rPr>
          <w:rFonts w:cstheme="minorHAnsi"/>
          <w:color w:val="0000FF"/>
        </w:rPr>
        <w:t>Magid</w:t>
      </w:r>
      <w:proofErr w:type="spellEnd"/>
      <w:r w:rsidRPr="0018035B">
        <w:rPr>
          <w:rFonts w:cstheme="minorHAnsi"/>
          <w:color w:val="0000FF"/>
        </w:rPr>
        <w:t xml:space="preserve"> DJ, </w:t>
      </w:r>
      <w:proofErr w:type="spellStart"/>
      <w:r w:rsidRPr="0018035B">
        <w:rPr>
          <w:rFonts w:cstheme="minorHAnsi"/>
          <w:color w:val="0000FF"/>
        </w:rPr>
        <w:t>Masoudi</w:t>
      </w:r>
      <w:proofErr w:type="spellEnd"/>
      <w:r w:rsidRPr="0018035B">
        <w:rPr>
          <w:rFonts w:cstheme="minorHAnsi"/>
          <w:color w:val="0000FF"/>
        </w:rPr>
        <w:t xml:space="preserve"> FA, et al. Adherence to cardioprotective medications and mortality among patients with diabetes and ischemic heart disease. BMC Cardiovasc </w:t>
      </w:r>
      <w:proofErr w:type="spellStart"/>
      <w:r w:rsidRPr="0018035B">
        <w:rPr>
          <w:rFonts w:cstheme="minorHAnsi"/>
          <w:color w:val="0000FF"/>
        </w:rPr>
        <w:t>Disord</w:t>
      </w:r>
      <w:proofErr w:type="spellEnd"/>
      <w:r w:rsidRPr="0018035B">
        <w:rPr>
          <w:rFonts w:cstheme="minorHAnsi"/>
          <w:color w:val="0000FF"/>
        </w:rPr>
        <w:t xml:space="preserve">. </w:t>
      </w:r>
      <w:proofErr w:type="gramStart"/>
      <w:r w:rsidRPr="0018035B">
        <w:rPr>
          <w:rFonts w:cstheme="minorHAnsi"/>
          <w:color w:val="0000FF"/>
        </w:rPr>
        <w:t>2006;6:48</w:t>
      </w:r>
      <w:proofErr w:type="gramEnd"/>
      <w:r w:rsidRPr="0018035B">
        <w:rPr>
          <w:rFonts w:cstheme="minorHAnsi"/>
          <w:color w:val="0000FF"/>
        </w:rPr>
        <w:t xml:space="preserve">. PMID: </w:t>
      </w:r>
      <w:hyperlink r:id="rId43" w:history="1">
        <w:r w:rsidRPr="0018035B">
          <w:rPr>
            <w:rStyle w:val="Hyperlink"/>
            <w:rFonts w:cstheme="minorHAnsi"/>
            <w:color w:val="0000FF"/>
          </w:rPr>
          <w:t>17173679</w:t>
        </w:r>
      </w:hyperlink>
      <w:r w:rsidR="00CB7B62" w:rsidRPr="0018035B">
        <w:rPr>
          <w:rStyle w:val="Hyperlink"/>
          <w:rFonts w:cstheme="minorHAnsi"/>
          <w:color w:val="0000FF"/>
          <w:u w:val="none"/>
        </w:rPr>
        <w:t>.</w:t>
      </w:r>
    </w:p>
    <w:p w14:paraId="09B0C232" w14:textId="07EFE278" w:rsidR="00196313" w:rsidRPr="0018035B" w:rsidRDefault="00CB7B62" w:rsidP="00CB7B62">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0000FF"/>
        </w:rPr>
      </w:pPr>
      <w:r w:rsidRPr="0018035B">
        <w:rPr>
          <w:rFonts w:cstheme="minorHAnsi"/>
          <w:color w:val="0000FF"/>
        </w:rPr>
        <w:t xml:space="preserve">Roebuck MC, Liberman JN, Gemmill-Toyama M, et al. Medication adherence leads to lower health care use and costs despite increased drug spending. Health </w:t>
      </w:r>
      <w:proofErr w:type="spellStart"/>
      <w:r w:rsidRPr="0018035B">
        <w:rPr>
          <w:rFonts w:cstheme="minorHAnsi"/>
          <w:color w:val="0000FF"/>
        </w:rPr>
        <w:t>Aff</w:t>
      </w:r>
      <w:proofErr w:type="spellEnd"/>
      <w:r w:rsidRPr="0018035B">
        <w:rPr>
          <w:rFonts w:cstheme="minorHAnsi"/>
          <w:color w:val="0000FF"/>
        </w:rPr>
        <w:t xml:space="preserve">. 2011; 30:91-9. PMID: </w:t>
      </w:r>
      <w:hyperlink r:id="rId44" w:history="1">
        <w:r w:rsidRPr="0018035B">
          <w:rPr>
            <w:rStyle w:val="Hyperlink"/>
            <w:rFonts w:cstheme="minorHAnsi"/>
            <w:color w:val="0000FF"/>
          </w:rPr>
          <w:t>21209444</w:t>
        </w:r>
      </w:hyperlink>
      <w:r w:rsidRPr="0018035B">
        <w:rPr>
          <w:rFonts w:cstheme="minorHAnsi"/>
          <w:color w:val="0000FF"/>
        </w:rPr>
        <w:t>.</w:t>
      </w:r>
    </w:p>
    <w:p w14:paraId="4AE01772" w14:textId="17314E73" w:rsidR="00196313" w:rsidRPr="0018035B" w:rsidRDefault="00CB7B62" w:rsidP="00CB7B62">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Style w:val="Hyperlink"/>
          <w:rFonts w:eastAsia="Times New Roman" w:cstheme="minorHAnsi"/>
          <w:color w:val="0000FF"/>
          <w:u w:val="none"/>
        </w:rPr>
      </w:pPr>
      <w:r w:rsidRPr="0018035B">
        <w:rPr>
          <w:rFonts w:cstheme="minorHAnsi"/>
          <w:color w:val="0000FF"/>
        </w:rPr>
        <w:t xml:space="preserve">Choudhry NK, Glynn RJ, </w:t>
      </w:r>
      <w:proofErr w:type="spellStart"/>
      <w:r w:rsidRPr="0018035B">
        <w:rPr>
          <w:rFonts w:cstheme="minorHAnsi"/>
          <w:color w:val="0000FF"/>
        </w:rPr>
        <w:t>Avorn</w:t>
      </w:r>
      <w:proofErr w:type="spellEnd"/>
      <w:r w:rsidRPr="0018035B">
        <w:rPr>
          <w:rFonts w:cstheme="minorHAnsi"/>
          <w:color w:val="0000FF"/>
        </w:rPr>
        <w:t xml:space="preserve"> J, et al. Untangling the relationship between medication adherence and post-myocardial infarction outcomes: medication adherence and clinical outcomes. Am Heart J. </w:t>
      </w:r>
      <w:proofErr w:type="gramStart"/>
      <w:r w:rsidRPr="0018035B">
        <w:rPr>
          <w:rFonts w:cstheme="minorHAnsi"/>
          <w:color w:val="0000FF"/>
        </w:rPr>
        <w:t>2014;167:51</w:t>
      </w:r>
      <w:proofErr w:type="gramEnd"/>
      <w:r w:rsidRPr="0018035B">
        <w:rPr>
          <w:rFonts w:cstheme="minorHAnsi"/>
          <w:color w:val="0000FF"/>
        </w:rPr>
        <w:t xml:space="preserve">-58.e5. PMID: </w:t>
      </w:r>
      <w:hyperlink r:id="rId45" w:history="1">
        <w:r w:rsidRPr="0018035B">
          <w:rPr>
            <w:rStyle w:val="Hyperlink"/>
            <w:rFonts w:cstheme="minorHAnsi"/>
            <w:color w:val="0000FF"/>
          </w:rPr>
          <w:t>24332142</w:t>
        </w:r>
      </w:hyperlink>
      <w:r w:rsidRPr="0018035B">
        <w:rPr>
          <w:rStyle w:val="Hyperlink"/>
          <w:rFonts w:cstheme="minorHAnsi"/>
          <w:color w:val="0000FF"/>
          <w:u w:val="none"/>
        </w:rPr>
        <w:t>.</w:t>
      </w:r>
    </w:p>
    <w:p w14:paraId="599B4447" w14:textId="3A8C3B22" w:rsidR="0018035B" w:rsidRPr="00CB7B62" w:rsidRDefault="00094EC8" w:rsidP="00CB7B62">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eastAsia="Times New Roman" w:cstheme="minorHAnsi"/>
          <w:color w:val="FF0000"/>
        </w:rPr>
      </w:pPr>
      <w:r w:rsidRPr="000E047C">
        <w:rPr>
          <w:rFonts w:cstheme="minorHAnsi"/>
          <w:color w:val="FF0000"/>
        </w:rPr>
        <w:t xml:space="preserve">Korhonen MJ, </w:t>
      </w:r>
      <w:proofErr w:type="spellStart"/>
      <w:r w:rsidRPr="000E047C">
        <w:rPr>
          <w:rFonts w:cstheme="minorHAnsi"/>
          <w:color w:val="FF0000"/>
        </w:rPr>
        <w:t>Ruokoniemi</w:t>
      </w:r>
      <w:proofErr w:type="spellEnd"/>
      <w:r w:rsidRPr="000E047C">
        <w:rPr>
          <w:rFonts w:cstheme="minorHAnsi"/>
          <w:color w:val="FF0000"/>
        </w:rPr>
        <w:t xml:space="preserve"> P, </w:t>
      </w:r>
      <w:proofErr w:type="spellStart"/>
      <w:r w:rsidRPr="000E047C">
        <w:rPr>
          <w:rFonts w:cstheme="minorHAnsi"/>
          <w:color w:val="FF0000"/>
        </w:rPr>
        <w:t>Ilomäki</w:t>
      </w:r>
      <w:proofErr w:type="spellEnd"/>
      <w:r w:rsidRPr="000E047C">
        <w:rPr>
          <w:rFonts w:cstheme="minorHAnsi"/>
          <w:color w:val="FF0000"/>
        </w:rPr>
        <w:t xml:space="preserve"> J, et al. Adherence to statin therapy and the incidence of ischemic stroke in patients with diabetes. </w:t>
      </w:r>
      <w:proofErr w:type="spellStart"/>
      <w:r w:rsidRPr="000E047C">
        <w:rPr>
          <w:rFonts w:cstheme="minorHAnsi"/>
          <w:color w:val="FF0000"/>
        </w:rPr>
        <w:t>Pharmacoepidemiol</w:t>
      </w:r>
      <w:proofErr w:type="spellEnd"/>
      <w:r w:rsidRPr="000E047C">
        <w:rPr>
          <w:rFonts w:cstheme="minorHAnsi"/>
          <w:color w:val="FF0000"/>
        </w:rPr>
        <w:t xml:space="preserve"> Drug </w:t>
      </w:r>
      <w:proofErr w:type="spellStart"/>
      <w:r w:rsidRPr="000E047C">
        <w:rPr>
          <w:rFonts w:cstheme="minorHAnsi"/>
          <w:color w:val="FF0000"/>
        </w:rPr>
        <w:t>Saf</w:t>
      </w:r>
      <w:proofErr w:type="spellEnd"/>
      <w:r w:rsidRPr="000E047C">
        <w:rPr>
          <w:rFonts w:cstheme="minorHAnsi"/>
          <w:color w:val="FF0000"/>
        </w:rPr>
        <w:t xml:space="preserve">. </w:t>
      </w:r>
      <w:proofErr w:type="gramStart"/>
      <w:r w:rsidRPr="000E047C">
        <w:rPr>
          <w:rFonts w:cstheme="minorHAnsi"/>
          <w:color w:val="FF0000"/>
        </w:rPr>
        <w:t>2016;25:161</w:t>
      </w:r>
      <w:proofErr w:type="gramEnd"/>
      <w:r w:rsidRPr="000E047C">
        <w:rPr>
          <w:rFonts w:cstheme="minorHAnsi"/>
          <w:color w:val="FF0000"/>
        </w:rPr>
        <w:t xml:space="preserve">-9. PMID: </w:t>
      </w:r>
      <w:hyperlink r:id="rId46" w:history="1">
        <w:r w:rsidRPr="000E047C">
          <w:rPr>
            <w:rStyle w:val="Hyperlink"/>
            <w:rFonts w:cstheme="minorHAnsi"/>
            <w:color w:val="FF0000"/>
          </w:rPr>
          <w:t>26687512</w:t>
        </w:r>
      </w:hyperlink>
      <w:r w:rsidRPr="00094EC8">
        <w:rPr>
          <w:rStyle w:val="Hyperlink"/>
          <w:rFonts w:cstheme="minorHAnsi"/>
          <w:color w:val="FF0000"/>
          <w:u w:val="none"/>
        </w:rPr>
        <w:t>.</w:t>
      </w:r>
    </w:p>
    <w:p w14:paraId="005B1F28" w14:textId="1A7FB260" w:rsidR="00094EC8" w:rsidRPr="00E95502" w:rsidRDefault="00094EC8" w:rsidP="00094EC8">
      <w:pPr>
        <w:pStyle w:val="FootnoteText"/>
        <w:numPr>
          <w:ilvl w:val="0"/>
          <w:numId w:val="12"/>
        </w:numPr>
        <w:ind w:left="360"/>
        <w:rPr>
          <w:rFonts w:asciiTheme="minorHAnsi" w:hAnsiTheme="minorHAnsi" w:cstheme="minorHAnsi"/>
          <w:color w:val="FF0000"/>
          <w:sz w:val="22"/>
          <w:szCs w:val="22"/>
        </w:rPr>
      </w:pPr>
      <w:proofErr w:type="spellStart"/>
      <w:r w:rsidRPr="000E047C">
        <w:rPr>
          <w:rFonts w:asciiTheme="minorHAnsi" w:hAnsiTheme="minorHAnsi" w:cstheme="minorHAnsi"/>
          <w:color w:val="FF0000"/>
          <w:sz w:val="22"/>
          <w:szCs w:val="22"/>
        </w:rPr>
        <w:t>Boye</w:t>
      </w:r>
      <w:proofErr w:type="spellEnd"/>
      <w:r w:rsidRPr="000E047C">
        <w:rPr>
          <w:rFonts w:asciiTheme="minorHAnsi" w:hAnsiTheme="minorHAnsi" w:cstheme="minorHAnsi"/>
          <w:color w:val="FF0000"/>
          <w:sz w:val="22"/>
          <w:szCs w:val="22"/>
        </w:rPr>
        <w:t xml:space="preserve"> KS, Curtis SE, Lage MJ, et al. Associations between adherence and outcomes among older, type 2 diabetes patients: evidence from a Medicare Supplemental database. Patient Prefer Adherence. </w:t>
      </w:r>
      <w:proofErr w:type="gramStart"/>
      <w:r w:rsidRPr="00E95502">
        <w:rPr>
          <w:rFonts w:asciiTheme="minorHAnsi" w:hAnsiTheme="minorHAnsi" w:cstheme="minorHAnsi"/>
          <w:color w:val="FF0000"/>
          <w:sz w:val="22"/>
          <w:szCs w:val="22"/>
        </w:rPr>
        <w:t>2016;10:1573</w:t>
      </w:r>
      <w:proofErr w:type="gramEnd"/>
      <w:r w:rsidRPr="00E95502">
        <w:rPr>
          <w:rFonts w:asciiTheme="minorHAnsi" w:hAnsiTheme="minorHAnsi" w:cstheme="minorHAnsi"/>
          <w:color w:val="FF0000"/>
          <w:sz w:val="22"/>
          <w:szCs w:val="22"/>
        </w:rPr>
        <w:t xml:space="preserve">-81. PMID: </w:t>
      </w:r>
      <w:hyperlink r:id="rId47" w:history="1">
        <w:r w:rsidRPr="00E95502">
          <w:rPr>
            <w:rStyle w:val="Hyperlink"/>
            <w:rFonts w:asciiTheme="minorHAnsi" w:hAnsiTheme="minorHAnsi" w:cstheme="minorHAnsi"/>
            <w:color w:val="FF0000"/>
            <w:sz w:val="22"/>
            <w:szCs w:val="22"/>
          </w:rPr>
          <w:t>27574406</w:t>
        </w:r>
      </w:hyperlink>
      <w:r w:rsidRPr="00E95502">
        <w:rPr>
          <w:rFonts w:asciiTheme="minorHAnsi" w:hAnsiTheme="minorHAnsi" w:cstheme="minorHAnsi"/>
          <w:color w:val="FF0000"/>
          <w:sz w:val="22"/>
          <w:szCs w:val="22"/>
        </w:rPr>
        <w:t>.</w:t>
      </w:r>
    </w:p>
    <w:p w14:paraId="2624E896" w14:textId="29CF1B75" w:rsidR="00CB7B62" w:rsidRPr="00E95502" w:rsidRDefault="00094EC8" w:rsidP="00094EC8">
      <w:pPr>
        <w:pStyle w:val="FootnoteText"/>
        <w:numPr>
          <w:ilvl w:val="0"/>
          <w:numId w:val="12"/>
        </w:numPr>
        <w:ind w:left="360"/>
        <w:rPr>
          <w:rStyle w:val="Hyperlink"/>
          <w:rFonts w:asciiTheme="minorHAnsi" w:hAnsiTheme="minorHAnsi" w:cstheme="minorHAnsi"/>
          <w:color w:val="FF0000"/>
          <w:sz w:val="22"/>
          <w:szCs w:val="22"/>
          <w:u w:val="none"/>
        </w:rPr>
      </w:pPr>
      <w:r w:rsidRPr="00E95502">
        <w:rPr>
          <w:rFonts w:asciiTheme="minorHAnsi" w:hAnsiTheme="minorHAnsi" w:cstheme="minorHAnsi"/>
          <w:color w:val="FF0000"/>
          <w:sz w:val="22"/>
          <w:szCs w:val="22"/>
        </w:rPr>
        <w:t xml:space="preserve">Roebuck MC, </w:t>
      </w:r>
      <w:proofErr w:type="spellStart"/>
      <w:r w:rsidRPr="00E95502">
        <w:rPr>
          <w:rFonts w:asciiTheme="minorHAnsi" w:hAnsiTheme="minorHAnsi" w:cstheme="minorHAnsi"/>
          <w:color w:val="FF0000"/>
          <w:sz w:val="22"/>
          <w:szCs w:val="22"/>
        </w:rPr>
        <w:t>Kaestner</w:t>
      </w:r>
      <w:proofErr w:type="spellEnd"/>
      <w:r w:rsidRPr="00E95502">
        <w:rPr>
          <w:rFonts w:asciiTheme="minorHAnsi" w:hAnsiTheme="minorHAnsi" w:cstheme="minorHAnsi"/>
          <w:color w:val="FF0000"/>
          <w:sz w:val="22"/>
          <w:szCs w:val="22"/>
        </w:rPr>
        <w:t xml:space="preserve"> RJ, Dougherty JS. Impact of Medication Adherence on Health Services Utilization in Medicaid. Med Care. </w:t>
      </w:r>
      <w:proofErr w:type="gramStart"/>
      <w:r w:rsidRPr="00E95502">
        <w:rPr>
          <w:rFonts w:asciiTheme="minorHAnsi" w:hAnsiTheme="minorHAnsi" w:cstheme="minorHAnsi"/>
          <w:color w:val="FF0000"/>
          <w:sz w:val="22"/>
          <w:szCs w:val="22"/>
        </w:rPr>
        <w:t>2018;56:266</w:t>
      </w:r>
      <w:proofErr w:type="gramEnd"/>
      <w:r w:rsidRPr="00E95502">
        <w:rPr>
          <w:rFonts w:asciiTheme="minorHAnsi" w:hAnsiTheme="minorHAnsi" w:cstheme="minorHAnsi"/>
          <w:color w:val="FF0000"/>
          <w:sz w:val="22"/>
          <w:szCs w:val="22"/>
        </w:rPr>
        <w:t xml:space="preserve">-273. PMID: </w:t>
      </w:r>
      <w:hyperlink r:id="rId48" w:history="1">
        <w:r w:rsidRPr="00E95502">
          <w:rPr>
            <w:rStyle w:val="Hyperlink"/>
            <w:rFonts w:asciiTheme="minorHAnsi" w:hAnsiTheme="minorHAnsi" w:cstheme="minorHAnsi"/>
            <w:color w:val="FF0000"/>
            <w:sz w:val="22"/>
            <w:szCs w:val="22"/>
          </w:rPr>
          <w:t>29309392</w:t>
        </w:r>
      </w:hyperlink>
      <w:r w:rsidRPr="00E95502">
        <w:rPr>
          <w:rStyle w:val="Hyperlink"/>
          <w:rFonts w:asciiTheme="minorHAnsi" w:hAnsiTheme="minorHAnsi" w:cstheme="minorHAnsi"/>
          <w:color w:val="FF0000"/>
          <w:sz w:val="22"/>
          <w:szCs w:val="22"/>
          <w:u w:val="none"/>
        </w:rPr>
        <w:t>.</w:t>
      </w:r>
    </w:p>
    <w:p w14:paraId="438A403C" w14:textId="3F56F668" w:rsidR="00E95502" w:rsidRPr="00E95502" w:rsidRDefault="00E95502" w:rsidP="00E95502">
      <w:pPr>
        <w:pStyle w:val="FootnoteText"/>
        <w:numPr>
          <w:ilvl w:val="0"/>
          <w:numId w:val="12"/>
        </w:numPr>
        <w:ind w:left="360"/>
        <w:rPr>
          <w:rFonts w:asciiTheme="minorHAnsi" w:hAnsiTheme="minorHAnsi" w:cstheme="minorHAnsi"/>
          <w:color w:val="FF0000"/>
          <w:sz w:val="22"/>
          <w:szCs w:val="22"/>
        </w:rPr>
      </w:pPr>
      <w:r w:rsidRPr="00E95502">
        <w:rPr>
          <w:rFonts w:asciiTheme="minorHAnsi" w:eastAsia="Times New Roman" w:hAnsiTheme="minorHAnsi" w:cstheme="minorHAnsi"/>
          <w:color w:val="FF0000"/>
          <w:sz w:val="22"/>
          <w:szCs w:val="22"/>
        </w:rPr>
        <w:t xml:space="preserve">Campbell P, Axon D, </w:t>
      </w:r>
      <w:proofErr w:type="spellStart"/>
      <w:r w:rsidRPr="00E95502">
        <w:rPr>
          <w:rFonts w:asciiTheme="minorHAnsi" w:eastAsia="Times New Roman" w:hAnsiTheme="minorHAnsi" w:cstheme="minorHAnsi"/>
          <w:color w:val="FF0000"/>
          <w:sz w:val="22"/>
          <w:szCs w:val="22"/>
        </w:rPr>
        <w:t>Mollon</w:t>
      </w:r>
      <w:proofErr w:type="spellEnd"/>
      <w:r w:rsidRPr="00E95502">
        <w:rPr>
          <w:rFonts w:asciiTheme="minorHAnsi" w:eastAsia="Times New Roman" w:hAnsiTheme="minorHAnsi" w:cstheme="minorHAnsi"/>
          <w:color w:val="FF0000"/>
          <w:sz w:val="22"/>
          <w:szCs w:val="22"/>
        </w:rPr>
        <w:t xml:space="preserve"> L, et al.  A retrospective database analysis evaluating the association between Pharmacy Quality Alliance antidiabetic medication measure adherence, healthcare use, and expenditures among commercially insured patients. </w:t>
      </w:r>
      <w:r w:rsidR="00A00562" w:rsidRPr="00E95502">
        <w:rPr>
          <w:rFonts w:asciiTheme="minorHAnsi" w:eastAsia="Times New Roman" w:hAnsiTheme="minorHAnsi" w:cstheme="minorHAnsi"/>
          <w:color w:val="FF0000"/>
          <w:sz w:val="22"/>
          <w:szCs w:val="22"/>
        </w:rPr>
        <w:t xml:space="preserve">J </w:t>
      </w:r>
      <w:proofErr w:type="spellStart"/>
      <w:r w:rsidR="00A00562" w:rsidRPr="00E95502">
        <w:rPr>
          <w:rFonts w:asciiTheme="minorHAnsi" w:eastAsia="Times New Roman" w:hAnsiTheme="minorHAnsi" w:cstheme="minorHAnsi"/>
          <w:color w:val="FF0000"/>
          <w:sz w:val="22"/>
          <w:szCs w:val="22"/>
        </w:rPr>
        <w:t>Manag</w:t>
      </w:r>
      <w:proofErr w:type="spellEnd"/>
      <w:r w:rsidR="00A00562" w:rsidRPr="00E95502">
        <w:rPr>
          <w:rFonts w:asciiTheme="minorHAnsi" w:eastAsia="Times New Roman" w:hAnsiTheme="minorHAnsi" w:cstheme="minorHAnsi"/>
          <w:color w:val="FF0000"/>
          <w:sz w:val="22"/>
          <w:szCs w:val="22"/>
        </w:rPr>
        <w:t xml:space="preserve"> Care Spec Pharm</w:t>
      </w:r>
      <w:r w:rsidRPr="00E95502">
        <w:rPr>
          <w:rFonts w:asciiTheme="minorHAnsi" w:eastAsia="Times New Roman" w:hAnsiTheme="minorHAnsi" w:cstheme="minorHAnsi"/>
          <w:color w:val="FF0000"/>
          <w:sz w:val="22"/>
          <w:szCs w:val="22"/>
        </w:rPr>
        <w:t>. </w:t>
      </w:r>
      <w:proofErr w:type="gramStart"/>
      <w:r w:rsidRPr="00E95502">
        <w:rPr>
          <w:rFonts w:asciiTheme="minorHAnsi" w:eastAsia="Times New Roman" w:hAnsiTheme="minorHAnsi" w:cstheme="minorHAnsi"/>
          <w:color w:val="FF0000"/>
          <w:sz w:val="22"/>
          <w:szCs w:val="22"/>
        </w:rPr>
        <w:t>2019;25:3</w:t>
      </w:r>
      <w:proofErr w:type="gramEnd"/>
      <w:r w:rsidRPr="00E95502">
        <w:rPr>
          <w:rFonts w:asciiTheme="minorHAnsi" w:eastAsia="Times New Roman" w:hAnsiTheme="minorHAnsi" w:cstheme="minorHAnsi"/>
          <w:color w:val="FF0000"/>
          <w:sz w:val="22"/>
          <w:szCs w:val="22"/>
        </w:rPr>
        <w:t xml:space="preserve">-a Suppl, S38.  PMID: </w:t>
      </w:r>
      <w:hyperlink r:id="rId49" w:history="1">
        <w:r w:rsidRPr="00E95502">
          <w:rPr>
            <w:rStyle w:val="Hyperlink"/>
            <w:rFonts w:asciiTheme="minorHAnsi" w:hAnsiTheme="minorHAnsi" w:cstheme="minorHAnsi"/>
            <w:color w:val="FF0000"/>
            <w:sz w:val="22"/>
            <w:szCs w:val="22"/>
          </w:rPr>
          <w:t>30854912</w:t>
        </w:r>
      </w:hyperlink>
      <w:r w:rsidRPr="00E95502">
        <w:rPr>
          <w:rFonts w:asciiTheme="minorHAnsi" w:eastAsia="Times New Roman" w:hAnsiTheme="minorHAnsi" w:cstheme="minorHAnsi"/>
          <w:color w:val="FF0000"/>
          <w:sz w:val="22"/>
          <w:szCs w:val="22"/>
        </w:rPr>
        <w:t>.</w:t>
      </w:r>
    </w:p>
    <w:p w14:paraId="3E89342D" w14:textId="2610908B" w:rsidR="00E95502" w:rsidRPr="00E95502" w:rsidRDefault="00E95502" w:rsidP="00E95502">
      <w:pPr>
        <w:pStyle w:val="FootnoteText"/>
        <w:numPr>
          <w:ilvl w:val="0"/>
          <w:numId w:val="12"/>
        </w:numPr>
        <w:ind w:left="360"/>
        <w:rPr>
          <w:rFonts w:asciiTheme="minorHAnsi" w:hAnsiTheme="minorHAnsi" w:cstheme="minorHAnsi"/>
          <w:color w:val="FF0000"/>
          <w:sz w:val="22"/>
          <w:szCs w:val="22"/>
        </w:rPr>
      </w:pPr>
      <w:proofErr w:type="spellStart"/>
      <w:r w:rsidRPr="00E95502">
        <w:rPr>
          <w:rFonts w:asciiTheme="minorHAnsi" w:eastAsia="Times New Roman" w:hAnsiTheme="minorHAnsi" w:cstheme="minorHAnsi"/>
          <w:color w:val="FF0000"/>
          <w:sz w:val="22"/>
          <w:szCs w:val="22"/>
        </w:rPr>
        <w:t>Chinthammit</w:t>
      </w:r>
      <w:proofErr w:type="spellEnd"/>
      <w:r w:rsidRPr="00E95502">
        <w:rPr>
          <w:rFonts w:asciiTheme="minorHAnsi" w:eastAsia="Times New Roman" w:hAnsiTheme="minorHAnsi" w:cstheme="minorHAnsi"/>
          <w:color w:val="FF0000"/>
          <w:sz w:val="22"/>
          <w:szCs w:val="22"/>
        </w:rPr>
        <w:t xml:space="preserve"> C, Axon D, Anderson S, et al.  A retrospective database analysis evaluating the association between Pharmacy Quality Alliance cholesterol medication adherence measure and </w:t>
      </w:r>
      <w:r w:rsidRPr="00E95502">
        <w:rPr>
          <w:rFonts w:asciiTheme="minorHAnsi" w:eastAsia="Times New Roman" w:hAnsiTheme="minorHAnsi" w:cstheme="minorHAnsi"/>
          <w:color w:val="FF0000"/>
          <w:sz w:val="22"/>
          <w:szCs w:val="22"/>
        </w:rPr>
        <w:lastRenderedPageBreak/>
        <w:t xml:space="preserve">economic outcomes for commercially insured patients. </w:t>
      </w:r>
      <w:r w:rsidR="00FA1880" w:rsidRPr="00E95502">
        <w:rPr>
          <w:rFonts w:asciiTheme="minorHAnsi" w:eastAsia="Times New Roman" w:hAnsiTheme="minorHAnsi" w:cstheme="minorHAnsi"/>
          <w:color w:val="FF0000"/>
          <w:sz w:val="22"/>
          <w:szCs w:val="22"/>
        </w:rPr>
        <w:t xml:space="preserve">J </w:t>
      </w:r>
      <w:proofErr w:type="spellStart"/>
      <w:r w:rsidR="00FA1880" w:rsidRPr="00E95502">
        <w:rPr>
          <w:rFonts w:asciiTheme="minorHAnsi" w:eastAsia="Times New Roman" w:hAnsiTheme="minorHAnsi" w:cstheme="minorHAnsi"/>
          <w:color w:val="FF0000"/>
          <w:sz w:val="22"/>
          <w:szCs w:val="22"/>
        </w:rPr>
        <w:t>Manag</w:t>
      </w:r>
      <w:proofErr w:type="spellEnd"/>
      <w:r w:rsidR="00FA1880" w:rsidRPr="00E95502">
        <w:rPr>
          <w:rFonts w:asciiTheme="minorHAnsi" w:eastAsia="Times New Roman" w:hAnsiTheme="minorHAnsi" w:cstheme="minorHAnsi"/>
          <w:color w:val="FF0000"/>
          <w:sz w:val="22"/>
          <w:szCs w:val="22"/>
        </w:rPr>
        <w:t xml:space="preserve"> Care Spec Pharm</w:t>
      </w:r>
      <w:r w:rsidRPr="00E95502">
        <w:rPr>
          <w:rFonts w:asciiTheme="minorHAnsi" w:eastAsia="Times New Roman" w:hAnsiTheme="minorHAnsi" w:cstheme="minorHAnsi"/>
          <w:color w:val="FF0000"/>
          <w:sz w:val="22"/>
          <w:szCs w:val="22"/>
        </w:rPr>
        <w:t>. </w:t>
      </w:r>
      <w:proofErr w:type="gramStart"/>
      <w:r w:rsidRPr="00E95502">
        <w:rPr>
          <w:rFonts w:asciiTheme="minorHAnsi" w:eastAsia="Times New Roman" w:hAnsiTheme="minorHAnsi" w:cstheme="minorHAnsi"/>
          <w:color w:val="FF0000"/>
          <w:sz w:val="22"/>
          <w:szCs w:val="22"/>
        </w:rPr>
        <w:t>2019;25:3</w:t>
      </w:r>
      <w:proofErr w:type="gramEnd"/>
      <w:r w:rsidRPr="00E95502">
        <w:rPr>
          <w:rFonts w:asciiTheme="minorHAnsi" w:eastAsia="Times New Roman" w:hAnsiTheme="minorHAnsi" w:cstheme="minorHAnsi"/>
          <w:color w:val="FF0000"/>
          <w:sz w:val="22"/>
          <w:szCs w:val="22"/>
        </w:rPr>
        <w:t xml:space="preserve">-a Suppl, I17. PMID: </w:t>
      </w:r>
      <w:hyperlink r:id="rId50" w:history="1">
        <w:r w:rsidRPr="00E95502">
          <w:rPr>
            <w:rStyle w:val="Hyperlink"/>
            <w:rFonts w:asciiTheme="minorHAnsi" w:eastAsia="Times New Roman" w:hAnsiTheme="minorHAnsi" w:cstheme="minorHAnsi"/>
            <w:color w:val="FF0000"/>
            <w:sz w:val="22"/>
            <w:szCs w:val="22"/>
          </w:rPr>
          <w:t>30854912</w:t>
        </w:r>
      </w:hyperlink>
      <w:r w:rsidRPr="00E95502">
        <w:rPr>
          <w:rFonts w:asciiTheme="minorHAnsi" w:eastAsia="Times New Roman" w:hAnsiTheme="minorHAnsi" w:cstheme="minorHAnsi"/>
          <w:color w:val="FF0000"/>
          <w:sz w:val="22"/>
          <w:szCs w:val="22"/>
        </w:rPr>
        <w:t>.</w:t>
      </w:r>
    </w:p>
    <w:p w14:paraId="38D28EB7" w14:textId="63F0EE8D" w:rsidR="000E047C" w:rsidRPr="001D58F8" w:rsidRDefault="00E95502" w:rsidP="001D58F8">
      <w:pPr>
        <w:pStyle w:val="FootnoteText"/>
        <w:numPr>
          <w:ilvl w:val="0"/>
          <w:numId w:val="12"/>
        </w:numPr>
        <w:ind w:left="360"/>
        <w:rPr>
          <w:rFonts w:asciiTheme="minorHAnsi" w:hAnsiTheme="minorHAnsi" w:cstheme="minorHAnsi"/>
          <w:color w:val="FF0000"/>
          <w:sz w:val="22"/>
          <w:szCs w:val="22"/>
        </w:rPr>
      </w:pPr>
      <w:r w:rsidRPr="00E95502">
        <w:rPr>
          <w:rFonts w:asciiTheme="minorHAnsi" w:eastAsia="Times New Roman" w:hAnsiTheme="minorHAnsi" w:cstheme="minorHAnsi"/>
          <w:color w:val="FF0000"/>
          <w:sz w:val="22"/>
          <w:szCs w:val="22"/>
        </w:rPr>
        <w:t xml:space="preserve">Axon D, </w:t>
      </w:r>
      <w:proofErr w:type="spellStart"/>
      <w:r w:rsidRPr="00E95502">
        <w:rPr>
          <w:rFonts w:asciiTheme="minorHAnsi" w:eastAsia="Times New Roman" w:hAnsiTheme="minorHAnsi" w:cstheme="minorHAnsi"/>
          <w:color w:val="FF0000"/>
          <w:sz w:val="22"/>
          <w:szCs w:val="22"/>
        </w:rPr>
        <w:t>Chinthammit</w:t>
      </w:r>
      <w:proofErr w:type="spellEnd"/>
      <w:r w:rsidRPr="00E95502">
        <w:rPr>
          <w:rFonts w:asciiTheme="minorHAnsi" w:eastAsia="Times New Roman" w:hAnsiTheme="minorHAnsi" w:cstheme="minorHAnsi"/>
          <w:color w:val="FF0000"/>
          <w:sz w:val="22"/>
          <w:szCs w:val="22"/>
        </w:rPr>
        <w:t xml:space="preserve"> C, Taylor A, et al.  A retrospective database analysis </w:t>
      </w:r>
      <w:r w:rsidR="00E25F82" w:rsidRPr="00E95502">
        <w:rPr>
          <w:rFonts w:asciiTheme="minorHAnsi" w:eastAsia="Times New Roman" w:hAnsiTheme="minorHAnsi" w:cstheme="minorHAnsi"/>
          <w:color w:val="FF0000"/>
          <w:sz w:val="22"/>
          <w:szCs w:val="22"/>
        </w:rPr>
        <w:t>revaluating</w:t>
      </w:r>
      <w:r w:rsidRPr="00E95502">
        <w:rPr>
          <w:rFonts w:asciiTheme="minorHAnsi" w:eastAsia="Times New Roman" w:hAnsiTheme="minorHAnsi" w:cstheme="minorHAnsi"/>
          <w:color w:val="FF0000"/>
          <w:sz w:val="22"/>
          <w:szCs w:val="22"/>
        </w:rPr>
        <w:t xml:space="preserve"> the relationship between Pharmacy Quality Alliance-defined adherence and healthcare costs and utilization for commercially insured patients on renin-angiotensin system antagonists. J Manag Care Spec Pharm. </w:t>
      </w:r>
      <w:proofErr w:type="gramStart"/>
      <w:r w:rsidRPr="00E95502">
        <w:rPr>
          <w:rFonts w:asciiTheme="minorHAnsi" w:eastAsia="Times New Roman" w:hAnsiTheme="minorHAnsi" w:cstheme="minorHAnsi"/>
          <w:color w:val="FF0000"/>
          <w:sz w:val="22"/>
          <w:szCs w:val="22"/>
        </w:rPr>
        <w:t>2019;25:3</w:t>
      </w:r>
      <w:proofErr w:type="gramEnd"/>
      <w:r w:rsidRPr="00E95502">
        <w:rPr>
          <w:rFonts w:asciiTheme="minorHAnsi" w:eastAsia="Times New Roman" w:hAnsiTheme="minorHAnsi" w:cstheme="minorHAnsi"/>
          <w:color w:val="FF0000"/>
          <w:sz w:val="22"/>
          <w:szCs w:val="22"/>
        </w:rPr>
        <w:t xml:space="preserve">-a Suppl, I1. PMID: </w:t>
      </w:r>
      <w:hyperlink r:id="rId51" w:history="1">
        <w:r w:rsidRPr="00E95502">
          <w:rPr>
            <w:rStyle w:val="Hyperlink"/>
            <w:rFonts w:asciiTheme="minorHAnsi" w:eastAsia="Times New Roman" w:hAnsiTheme="minorHAnsi" w:cstheme="minorHAnsi"/>
            <w:color w:val="FF0000"/>
            <w:sz w:val="22"/>
            <w:szCs w:val="22"/>
          </w:rPr>
          <w:t>30854912</w:t>
        </w:r>
      </w:hyperlink>
      <w:r w:rsidRPr="00E95502">
        <w:rPr>
          <w:rFonts w:asciiTheme="minorHAnsi" w:eastAsia="Times New Roman" w:hAnsiTheme="minorHAnsi" w:cstheme="minorHAnsi"/>
          <w:color w:val="FF0000"/>
          <w:sz w:val="22"/>
          <w:szCs w:val="22"/>
        </w:rPr>
        <w:t>.</w:t>
      </w:r>
    </w:p>
    <w:sectPr w:rsidR="000E047C" w:rsidRPr="001D58F8">
      <w:headerReference w:type="default" r:id="rId52"/>
      <w:footerReference w:type="defaul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D62AD" w14:textId="77777777" w:rsidR="002930F0" w:rsidRDefault="002930F0" w:rsidP="007E37A5">
      <w:r>
        <w:separator/>
      </w:r>
    </w:p>
  </w:endnote>
  <w:endnote w:type="continuationSeparator" w:id="0">
    <w:p w14:paraId="1853858B" w14:textId="77777777" w:rsidR="002930F0" w:rsidRDefault="002930F0"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Berkeley-Book">
    <w:altName w:val="Cambria"/>
    <w:panose1 w:val="00000000000000000000"/>
    <w:charset w:val="00"/>
    <w:family w:val="roman"/>
    <w:notTrueType/>
    <w:pitch w:val="default"/>
    <w:sig w:usb0="00000003" w:usb1="00000000" w:usb2="00000000" w:usb3="00000000" w:csb0="00000001" w:csb1="00000000"/>
  </w:font>
  <w:font w:name="AdvOT3f82cb7c">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18F37" w14:textId="77777777" w:rsidR="008A25B7" w:rsidRDefault="008A25B7">
    <w:pPr>
      <w:pStyle w:val="Footer"/>
    </w:pPr>
    <w:r w:rsidRPr="00395263">
      <w:t xml:space="preserve">Version </w:t>
    </w:r>
    <w:proofErr w:type="gramStart"/>
    <w:r>
      <w:t xml:space="preserve">7.1 </w:t>
    </w:r>
    <w:r w:rsidRPr="00395263">
      <w:t xml:space="preserve"> </w:t>
    </w:r>
    <w:r>
      <w:t>9</w:t>
    </w:r>
    <w:proofErr w:type="gramEnd"/>
    <w:r>
      <w:t>/6/17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3CA63" w14:textId="77777777" w:rsidR="002930F0" w:rsidRDefault="002930F0" w:rsidP="007E37A5">
      <w:r>
        <w:separator/>
      </w:r>
    </w:p>
  </w:footnote>
  <w:footnote w:type="continuationSeparator" w:id="0">
    <w:p w14:paraId="7AA31ECC" w14:textId="77777777" w:rsidR="002930F0" w:rsidRDefault="002930F0"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EE2FA" w14:textId="77777777" w:rsidR="008A25B7" w:rsidRDefault="008A25B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E43E3"/>
    <w:multiLevelType w:val="hybridMultilevel"/>
    <w:tmpl w:val="1C3CA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E503FE9"/>
    <w:multiLevelType w:val="hybridMultilevel"/>
    <w:tmpl w:val="02DAE5E8"/>
    <w:lvl w:ilvl="0" w:tplc="BB0E84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F476AFF"/>
    <w:multiLevelType w:val="hybridMultilevel"/>
    <w:tmpl w:val="1C3CA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2D0070"/>
    <w:multiLevelType w:val="hybridMultilevel"/>
    <w:tmpl w:val="1C3CA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F04ED6"/>
    <w:multiLevelType w:val="hybridMultilevel"/>
    <w:tmpl w:val="471EB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03FD2"/>
    <w:multiLevelType w:val="hybridMultilevel"/>
    <w:tmpl w:val="3AF05F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3"/>
  </w:num>
  <w:num w:numId="8">
    <w:abstractNumId w:val="12"/>
  </w:num>
  <w:num w:numId="9">
    <w:abstractNumId w:val="14"/>
  </w:num>
  <w:num w:numId="10">
    <w:abstractNumId w:val="0"/>
  </w:num>
  <w:num w:numId="11">
    <w:abstractNumId w:val="8"/>
  </w:num>
  <w:num w:numId="12">
    <w:abstractNumId w:val="10"/>
  </w:num>
  <w:num w:numId="13">
    <w:abstractNumId w:val="15"/>
  </w:num>
  <w:num w:numId="14">
    <w:abstractNumId w:val="1"/>
  </w:num>
  <w:num w:numId="15">
    <w:abstractNumId w:val="11"/>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0D14"/>
    <w:rsid w:val="00013090"/>
    <w:rsid w:val="00015986"/>
    <w:rsid w:val="000160E6"/>
    <w:rsid w:val="000161F2"/>
    <w:rsid w:val="000174B8"/>
    <w:rsid w:val="00024526"/>
    <w:rsid w:val="00030F43"/>
    <w:rsid w:val="00040DCF"/>
    <w:rsid w:val="00046624"/>
    <w:rsid w:val="00050DA0"/>
    <w:rsid w:val="00052C0B"/>
    <w:rsid w:val="00053D6C"/>
    <w:rsid w:val="00061CF3"/>
    <w:rsid w:val="00063601"/>
    <w:rsid w:val="0006647A"/>
    <w:rsid w:val="00073079"/>
    <w:rsid w:val="00074225"/>
    <w:rsid w:val="0007593F"/>
    <w:rsid w:val="000801E2"/>
    <w:rsid w:val="00083B1F"/>
    <w:rsid w:val="00084D8B"/>
    <w:rsid w:val="00094EC8"/>
    <w:rsid w:val="00095EC9"/>
    <w:rsid w:val="00096A37"/>
    <w:rsid w:val="00097999"/>
    <w:rsid w:val="000A0810"/>
    <w:rsid w:val="000B627F"/>
    <w:rsid w:val="000B7328"/>
    <w:rsid w:val="000C2EF5"/>
    <w:rsid w:val="000C6C81"/>
    <w:rsid w:val="000D089A"/>
    <w:rsid w:val="000D649E"/>
    <w:rsid w:val="000D6D06"/>
    <w:rsid w:val="000E047C"/>
    <w:rsid w:val="000E2572"/>
    <w:rsid w:val="000E5C93"/>
    <w:rsid w:val="000E6FF1"/>
    <w:rsid w:val="000F4A7F"/>
    <w:rsid w:val="0010523E"/>
    <w:rsid w:val="00114848"/>
    <w:rsid w:val="00115B93"/>
    <w:rsid w:val="00120061"/>
    <w:rsid w:val="00120934"/>
    <w:rsid w:val="00132070"/>
    <w:rsid w:val="00141875"/>
    <w:rsid w:val="0014347E"/>
    <w:rsid w:val="001453F8"/>
    <w:rsid w:val="00154257"/>
    <w:rsid w:val="00154438"/>
    <w:rsid w:val="001545B8"/>
    <w:rsid w:val="001551F6"/>
    <w:rsid w:val="0015535B"/>
    <w:rsid w:val="00162036"/>
    <w:rsid w:val="001632DD"/>
    <w:rsid w:val="00174F57"/>
    <w:rsid w:val="0017611E"/>
    <w:rsid w:val="00176E60"/>
    <w:rsid w:val="0018035B"/>
    <w:rsid w:val="0018515A"/>
    <w:rsid w:val="00187560"/>
    <w:rsid w:val="001935BF"/>
    <w:rsid w:val="00194913"/>
    <w:rsid w:val="00194D9A"/>
    <w:rsid w:val="00196313"/>
    <w:rsid w:val="001A196B"/>
    <w:rsid w:val="001A6D05"/>
    <w:rsid w:val="001B38BF"/>
    <w:rsid w:val="001B772D"/>
    <w:rsid w:val="001D58F8"/>
    <w:rsid w:val="001D5B5D"/>
    <w:rsid w:val="001E4E89"/>
    <w:rsid w:val="001E6153"/>
    <w:rsid w:val="001F7FBB"/>
    <w:rsid w:val="00201FF9"/>
    <w:rsid w:val="00205857"/>
    <w:rsid w:val="00206D25"/>
    <w:rsid w:val="002170EB"/>
    <w:rsid w:val="00222288"/>
    <w:rsid w:val="0022490C"/>
    <w:rsid w:val="0023325A"/>
    <w:rsid w:val="00235ADC"/>
    <w:rsid w:val="00236F87"/>
    <w:rsid w:val="002429BE"/>
    <w:rsid w:val="00242B7C"/>
    <w:rsid w:val="00242E1F"/>
    <w:rsid w:val="00246D48"/>
    <w:rsid w:val="002522AA"/>
    <w:rsid w:val="00252B20"/>
    <w:rsid w:val="00265702"/>
    <w:rsid w:val="002662B2"/>
    <w:rsid w:val="002717C7"/>
    <w:rsid w:val="002810F2"/>
    <w:rsid w:val="002857CD"/>
    <w:rsid w:val="002875E9"/>
    <w:rsid w:val="00287EB3"/>
    <w:rsid w:val="002930F0"/>
    <w:rsid w:val="002A11E0"/>
    <w:rsid w:val="002A47BA"/>
    <w:rsid w:val="002A6777"/>
    <w:rsid w:val="002A7FC0"/>
    <w:rsid w:val="002B06BD"/>
    <w:rsid w:val="002C0E48"/>
    <w:rsid w:val="002C6F04"/>
    <w:rsid w:val="002D3868"/>
    <w:rsid w:val="002E2177"/>
    <w:rsid w:val="002E2E41"/>
    <w:rsid w:val="002E78CD"/>
    <w:rsid w:val="002F20A7"/>
    <w:rsid w:val="003008F4"/>
    <w:rsid w:val="00302B1D"/>
    <w:rsid w:val="00303197"/>
    <w:rsid w:val="00307FA5"/>
    <w:rsid w:val="00314910"/>
    <w:rsid w:val="00324D64"/>
    <w:rsid w:val="00335834"/>
    <w:rsid w:val="00336445"/>
    <w:rsid w:val="00346F1C"/>
    <w:rsid w:val="0035263B"/>
    <w:rsid w:val="00352B52"/>
    <w:rsid w:val="003550EA"/>
    <w:rsid w:val="003556C1"/>
    <w:rsid w:val="003575FE"/>
    <w:rsid w:val="0035760D"/>
    <w:rsid w:val="0036237D"/>
    <w:rsid w:val="00363ECC"/>
    <w:rsid w:val="00375AEC"/>
    <w:rsid w:val="00390072"/>
    <w:rsid w:val="0039020B"/>
    <w:rsid w:val="00395263"/>
    <w:rsid w:val="003956E0"/>
    <w:rsid w:val="0039609A"/>
    <w:rsid w:val="00397500"/>
    <w:rsid w:val="003A5CBF"/>
    <w:rsid w:val="003B1CC5"/>
    <w:rsid w:val="003B65CE"/>
    <w:rsid w:val="003B6F87"/>
    <w:rsid w:val="003D6721"/>
    <w:rsid w:val="003E039E"/>
    <w:rsid w:val="003F486D"/>
    <w:rsid w:val="0040230E"/>
    <w:rsid w:val="00414BE9"/>
    <w:rsid w:val="0041662F"/>
    <w:rsid w:val="00422917"/>
    <w:rsid w:val="004404E7"/>
    <w:rsid w:val="00440687"/>
    <w:rsid w:val="0044131D"/>
    <w:rsid w:val="00441885"/>
    <w:rsid w:val="00441ADA"/>
    <w:rsid w:val="0045514F"/>
    <w:rsid w:val="00457E46"/>
    <w:rsid w:val="00474030"/>
    <w:rsid w:val="004922E4"/>
    <w:rsid w:val="004925DC"/>
    <w:rsid w:val="00496AF8"/>
    <w:rsid w:val="004A575D"/>
    <w:rsid w:val="004B1436"/>
    <w:rsid w:val="004B65C6"/>
    <w:rsid w:val="004B774F"/>
    <w:rsid w:val="004D1DC7"/>
    <w:rsid w:val="004D41AB"/>
    <w:rsid w:val="004E7215"/>
    <w:rsid w:val="004F0190"/>
    <w:rsid w:val="004F7D7E"/>
    <w:rsid w:val="00500B0C"/>
    <w:rsid w:val="00513E49"/>
    <w:rsid w:val="00516243"/>
    <w:rsid w:val="005208AE"/>
    <w:rsid w:val="00537150"/>
    <w:rsid w:val="00540984"/>
    <w:rsid w:val="005437BC"/>
    <w:rsid w:val="00543851"/>
    <w:rsid w:val="0054760B"/>
    <w:rsid w:val="00551B0C"/>
    <w:rsid w:val="005526B4"/>
    <w:rsid w:val="0055559D"/>
    <w:rsid w:val="005569AE"/>
    <w:rsid w:val="00567B78"/>
    <w:rsid w:val="005729D6"/>
    <w:rsid w:val="005857F8"/>
    <w:rsid w:val="005A048B"/>
    <w:rsid w:val="005A19FC"/>
    <w:rsid w:val="005B0D18"/>
    <w:rsid w:val="005B12C3"/>
    <w:rsid w:val="005B409D"/>
    <w:rsid w:val="005D09CA"/>
    <w:rsid w:val="005D0FDB"/>
    <w:rsid w:val="005D25E9"/>
    <w:rsid w:val="005D6D59"/>
    <w:rsid w:val="005E2EB0"/>
    <w:rsid w:val="0061327A"/>
    <w:rsid w:val="00617390"/>
    <w:rsid w:val="006224D5"/>
    <w:rsid w:val="00623420"/>
    <w:rsid w:val="00623B5A"/>
    <w:rsid w:val="00627B43"/>
    <w:rsid w:val="00634768"/>
    <w:rsid w:val="0063596F"/>
    <w:rsid w:val="006709EB"/>
    <w:rsid w:val="00672824"/>
    <w:rsid w:val="00676BD4"/>
    <w:rsid w:val="0068184A"/>
    <w:rsid w:val="0069498A"/>
    <w:rsid w:val="0069514F"/>
    <w:rsid w:val="006A0249"/>
    <w:rsid w:val="006B4F1B"/>
    <w:rsid w:val="006B5C51"/>
    <w:rsid w:val="006C2EFD"/>
    <w:rsid w:val="006C3BFA"/>
    <w:rsid w:val="006C7F30"/>
    <w:rsid w:val="006D43FF"/>
    <w:rsid w:val="006E6FDD"/>
    <w:rsid w:val="006F4B7F"/>
    <w:rsid w:val="006F760B"/>
    <w:rsid w:val="00701CC3"/>
    <w:rsid w:val="007036FA"/>
    <w:rsid w:val="007066C4"/>
    <w:rsid w:val="0071535C"/>
    <w:rsid w:val="007167B9"/>
    <w:rsid w:val="007176F6"/>
    <w:rsid w:val="00720B1C"/>
    <w:rsid w:val="00724801"/>
    <w:rsid w:val="00727F82"/>
    <w:rsid w:val="00734949"/>
    <w:rsid w:val="00735760"/>
    <w:rsid w:val="00736AEC"/>
    <w:rsid w:val="00736E0F"/>
    <w:rsid w:val="007434FA"/>
    <w:rsid w:val="007573F0"/>
    <w:rsid w:val="007603DA"/>
    <w:rsid w:val="00765156"/>
    <w:rsid w:val="00767669"/>
    <w:rsid w:val="00773485"/>
    <w:rsid w:val="00776E8F"/>
    <w:rsid w:val="00776F6D"/>
    <w:rsid w:val="007802D8"/>
    <w:rsid w:val="007905CF"/>
    <w:rsid w:val="007C0297"/>
    <w:rsid w:val="007C1887"/>
    <w:rsid w:val="007C3E5E"/>
    <w:rsid w:val="007D320F"/>
    <w:rsid w:val="007D4775"/>
    <w:rsid w:val="007D5DC6"/>
    <w:rsid w:val="007E37A5"/>
    <w:rsid w:val="007E5FBA"/>
    <w:rsid w:val="007F49D8"/>
    <w:rsid w:val="00805940"/>
    <w:rsid w:val="0081156B"/>
    <w:rsid w:val="0081599C"/>
    <w:rsid w:val="008214C0"/>
    <w:rsid w:val="0082405E"/>
    <w:rsid w:val="00837121"/>
    <w:rsid w:val="00843C91"/>
    <w:rsid w:val="008471E5"/>
    <w:rsid w:val="00850C35"/>
    <w:rsid w:val="00851466"/>
    <w:rsid w:val="00851B8A"/>
    <w:rsid w:val="00863E43"/>
    <w:rsid w:val="008647C3"/>
    <w:rsid w:val="008659ED"/>
    <w:rsid w:val="008708DC"/>
    <w:rsid w:val="00870987"/>
    <w:rsid w:val="0087310E"/>
    <w:rsid w:val="0087564A"/>
    <w:rsid w:val="00881160"/>
    <w:rsid w:val="00882CF5"/>
    <w:rsid w:val="0088371C"/>
    <w:rsid w:val="00890A0C"/>
    <w:rsid w:val="008A25B7"/>
    <w:rsid w:val="008A379D"/>
    <w:rsid w:val="008A45F3"/>
    <w:rsid w:val="008B51D9"/>
    <w:rsid w:val="008B652E"/>
    <w:rsid w:val="008D04F8"/>
    <w:rsid w:val="008D05B7"/>
    <w:rsid w:val="008E2E27"/>
    <w:rsid w:val="008E4031"/>
    <w:rsid w:val="008F1DC6"/>
    <w:rsid w:val="008F6F51"/>
    <w:rsid w:val="00905C5B"/>
    <w:rsid w:val="00913A85"/>
    <w:rsid w:val="0091785A"/>
    <w:rsid w:val="00923295"/>
    <w:rsid w:val="00925F11"/>
    <w:rsid w:val="00935265"/>
    <w:rsid w:val="00942D29"/>
    <w:rsid w:val="0094689F"/>
    <w:rsid w:val="009477D6"/>
    <w:rsid w:val="00953ED3"/>
    <w:rsid w:val="00965FF6"/>
    <w:rsid w:val="009846D6"/>
    <w:rsid w:val="0098657F"/>
    <w:rsid w:val="00995F22"/>
    <w:rsid w:val="009964ED"/>
    <w:rsid w:val="009A3236"/>
    <w:rsid w:val="009A77D5"/>
    <w:rsid w:val="009B5A93"/>
    <w:rsid w:val="009B5BEA"/>
    <w:rsid w:val="009B7CDF"/>
    <w:rsid w:val="009C0BCC"/>
    <w:rsid w:val="009C291F"/>
    <w:rsid w:val="009D26F7"/>
    <w:rsid w:val="009D4A2C"/>
    <w:rsid w:val="009E1AE6"/>
    <w:rsid w:val="009E37BD"/>
    <w:rsid w:val="009E3C1D"/>
    <w:rsid w:val="009E6B86"/>
    <w:rsid w:val="009F5225"/>
    <w:rsid w:val="00A00562"/>
    <w:rsid w:val="00A03301"/>
    <w:rsid w:val="00A12762"/>
    <w:rsid w:val="00A13867"/>
    <w:rsid w:val="00A206E8"/>
    <w:rsid w:val="00A24761"/>
    <w:rsid w:val="00A26FED"/>
    <w:rsid w:val="00A421D4"/>
    <w:rsid w:val="00A44FF0"/>
    <w:rsid w:val="00A50E55"/>
    <w:rsid w:val="00A54454"/>
    <w:rsid w:val="00A578D0"/>
    <w:rsid w:val="00A67EB1"/>
    <w:rsid w:val="00A87836"/>
    <w:rsid w:val="00A9011D"/>
    <w:rsid w:val="00A910A7"/>
    <w:rsid w:val="00A9146A"/>
    <w:rsid w:val="00A91A47"/>
    <w:rsid w:val="00A95D2B"/>
    <w:rsid w:val="00AA2776"/>
    <w:rsid w:val="00AA5587"/>
    <w:rsid w:val="00AB4ECE"/>
    <w:rsid w:val="00AC1E53"/>
    <w:rsid w:val="00AC3FAD"/>
    <w:rsid w:val="00AD01BE"/>
    <w:rsid w:val="00AD03DA"/>
    <w:rsid w:val="00AD23F1"/>
    <w:rsid w:val="00AD29DC"/>
    <w:rsid w:val="00AD79C8"/>
    <w:rsid w:val="00AE6CE0"/>
    <w:rsid w:val="00B02279"/>
    <w:rsid w:val="00B058A6"/>
    <w:rsid w:val="00B0657C"/>
    <w:rsid w:val="00B1018B"/>
    <w:rsid w:val="00B117D0"/>
    <w:rsid w:val="00B13998"/>
    <w:rsid w:val="00B35C5F"/>
    <w:rsid w:val="00B439DD"/>
    <w:rsid w:val="00B52E0F"/>
    <w:rsid w:val="00B5358B"/>
    <w:rsid w:val="00B570C2"/>
    <w:rsid w:val="00B715BF"/>
    <w:rsid w:val="00B74629"/>
    <w:rsid w:val="00B85EF2"/>
    <w:rsid w:val="00B91F58"/>
    <w:rsid w:val="00B96D60"/>
    <w:rsid w:val="00BA0CDC"/>
    <w:rsid w:val="00BA4095"/>
    <w:rsid w:val="00BA579E"/>
    <w:rsid w:val="00BB031E"/>
    <w:rsid w:val="00BD1363"/>
    <w:rsid w:val="00BE2295"/>
    <w:rsid w:val="00BE6373"/>
    <w:rsid w:val="00BF008E"/>
    <w:rsid w:val="00BF28B4"/>
    <w:rsid w:val="00BF28EF"/>
    <w:rsid w:val="00BF3BF6"/>
    <w:rsid w:val="00BF533A"/>
    <w:rsid w:val="00BF5C5F"/>
    <w:rsid w:val="00C112D6"/>
    <w:rsid w:val="00C146B7"/>
    <w:rsid w:val="00C4156E"/>
    <w:rsid w:val="00C41794"/>
    <w:rsid w:val="00C46677"/>
    <w:rsid w:val="00C5180E"/>
    <w:rsid w:val="00C54E40"/>
    <w:rsid w:val="00C55F56"/>
    <w:rsid w:val="00C57BA4"/>
    <w:rsid w:val="00C613EB"/>
    <w:rsid w:val="00C67763"/>
    <w:rsid w:val="00C71C1A"/>
    <w:rsid w:val="00C7571A"/>
    <w:rsid w:val="00C84623"/>
    <w:rsid w:val="00CA7F18"/>
    <w:rsid w:val="00CB06C9"/>
    <w:rsid w:val="00CB0FAD"/>
    <w:rsid w:val="00CB1E41"/>
    <w:rsid w:val="00CB271C"/>
    <w:rsid w:val="00CB7B62"/>
    <w:rsid w:val="00CC0F87"/>
    <w:rsid w:val="00CE1A10"/>
    <w:rsid w:val="00CE39CB"/>
    <w:rsid w:val="00CE4CBA"/>
    <w:rsid w:val="00CE4F96"/>
    <w:rsid w:val="00CF0AB1"/>
    <w:rsid w:val="00CF0C33"/>
    <w:rsid w:val="00CF32A9"/>
    <w:rsid w:val="00CF4B9B"/>
    <w:rsid w:val="00CF55E6"/>
    <w:rsid w:val="00CF772F"/>
    <w:rsid w:val="00D048DB"/>
    <w:rsid w:val="00D10D6E"/>
    <w:rsid w:val="00D11181"/>
    <w:rsid w:val="00D14F0B"/>
    <w:rsid w:val="00D15CA5"/>
    <w:rsid w:val="00D171AF"/>
    <w:rsid w:val="00D178CA"/>
    <w:rsid w:val="00D317D1"/>
    <w:rsid w:val="00D3311C"/>
    <w:rsid w:val="00D36878"/>
    <w:rsid w:val="00D36AE8"/>
    <w:rsid w:val="00D42EC3"/>
    <w:rsid w:val="00D53405"/>
    <w:rsid w:val="00D5457B"/>
    <w:rsid w:val="00D72995"/>
    <w:rsid w:val="00D73685"/>
    <w:rsid w:val="00D825DF"/>
    <w:rsid w:val="00DA378C"/>
    <w:rsid w:val="00DA628F"/>
    <w:rsid w:val="00DA7FA2"/>
    <w:rsid w:val="00DC1348"/>
    <w:rsid w:val="00DC2D8D"/>
    <w:rsid w:val="00DC7F67"/>
    <w:rsid w:val="00DD6413"/>
    <w:rsid w:val="00DE17BB"/>
    <w:rsid w:val="00DE1F5D"/>
    <w:rsid w:val="00DE50D8"/>
    <w:rsid w:val="00DE6DEF"/>
    <w:rsid w:val="00DF278A"/>
    <w:rsid w:val="00E116DD"/>
    <w:rsid w:val="00E1664B"/>
    <w:rsid w:val="00E24F68"/>
    <w:rsid w:val="00E25F82"/>
    <w:rsid w:val="00E26A75"/>
    <w:rsid w:val="00E30D12"/>
    <w:rsid w:val="00E3394E"/>
    <w:rsid w:val="00E35241"/>
    <w:rsid w:val="00E40D6D"/>
    <w:rsid w:val="00E41417"/>
    <w:rsid w:val="00E42FAA"/>
    <w:rsid w:val="00E536D3"/>
    <w:rsid w:val="00E57BE2"/>
    <w:rsid w:val="00E62A95"/>
    <w:rsid w:val="00E63DB0"/>
    <w:rsid w:val="00E746A2"/>
    <w:rsid w:val="00E80A4C"/>
    <w:rsid w:val="00E90D06"/>
    <w:rsid w:val="00E95502"/>
    <w:rsid w:val="00E97E59"/>
    <w:rsid w:val="00EA6138"/>
    <w:rsid w:val="00EA79C9"/>
    <w:rsid w:val="00EB66AC"/>
    <w:rsid w:val="00EC1225"/>
    <w:rsid w:val="00EC2247"/>
    <w:rsid w:val="00ED4175"/>
    <w:rsid w:val="00EE0D4E"/>
    <w:rsid w:val="00EE1F87"/>
    <w:rsid w:val="00EE27D2"/>
    <w:rsid w:val="00EE3931"/>
    <w:rsid w:val="00EE5AF6"/>
    <w:rsid w:val="00EF2CEF"/>
    <w:rsid w:val="00F1092D"/>
    <w:rsid w:val="00F30C1A"/>
    <w:rsid w:val="00F32931"/>
    <w:rsid w:val="00F33516"/>
    <w:rsid w:val="00F33C27"/>
    <w:rsid w:val="00F42C20"/>
    <w:rsid w:val="00F431D8"/>
    <w:rsid w:val="00F47B8F"/>
    <w:rsid w:val="00F47F63"/>
    <w:rsid w:val="00F63E8D"/>
    <w:rsid w:val="00F67706"/>
    <w:rsid w:val="00F766FF"/>
    <w:rsid w:val="00F81FE3"/>
    <w:rsid w:val="00F90F82"/>
    <w:rsid w:val="00F92D75"/>
    <w:rsid w:val="00F97327"/>
    <w:rsid w:val="00FA1880"/>
    <w:rsid w:val="00FA296F"/>
    <w:rsid w:val="00FA3D4D"/>
    <w:rsid w:val="00FA517C"/>
    <w:rsid w:val="00FA7323"/>
    <w:rsid w:val="00FB1299"/>
    <w:rsid w:val="00FC32D3"/>
    <w:rsid w:val="00FC42D5"/>
    <w:rsid w:val="00FD4D82"/>
    <w:rsid w:val="00FE57AE"/>
    <w:rsid w:val="00FF6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26A14"/>
  <w15:docId w15:val="{1144DBB3-55F1-48D6-8713-FEACF461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252B2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uiPriority w:val="99"/>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FootnoteReference">
    <w:name w:val="footnote reference"/>
    <w:basedOn w:val="DefaultParagraphFont"/>
    <w:uiPriority w:val="99"/>
    <w:unhideWhenUsed/>
    <w:rsid w:val="009D26F7"/>
    <w:rPr>
      <w:vertAlign w:val="superscript"/>
    </w:rPr>
  </w:style>
  <w:style w:type="paragraph" w:styleId="BodyText">
    <w:name w:val="Body Text"/>
    <w:basedOn w:val="Normal"/>
    <w:link w:val="BodyTextChar"/>
    <w:uiPriority w:val="1"/>
    <w:qFormat/>
    <w:rsid w:val="009D26F7"/>
    <w:pPr>
      <w:widowControl w:val="0"/>
      <w:ind w:left="0" w:firstLine="0"/>
    </w:pPr>
    <w:rPr>
      <w:rFonts w:ascii="Arial" w:eastAsia="Arial" w:hAnsi="Arial" w:cs="Arial"/>
      <w:w w:val="105"/>
      <w:sz w:val="19"/>
      <w:szCs w:val="19"/>
    </w:rPr>
  </w:style>
  <w:style w:type="character" w:customStyle="1" w:styleId="BodyTextChar">
    <w:name w:val="Body Text Char"/>
    <w:basedOn w:val="DefaultParagraphFont"/>
    <w:link w:val="BodyText"/>
    <w:uiPriority w:val="1"/>
    <w:rsid w:val="009D26F7"/>
    <w:rPr>
      <w:rFonts w:ascii="Arial" w:eastAsia="Arial" w:hAnsi="Arial" w:cs="Arial"/>
      <w:w w:val="105"/>
      <w:sz w:val="19"/>
      <w:szCs w:val="19"/>
    </w:rPr>
  </w:style>
  <w:style w:type="paragraph" w:styleId="HTMLPreformatted">
    <w:name w:val="HTML Preformatted"/>
    <w:basedOn w:val="Normal"/>
    <w:link w:val="HTMLPreformattedChar"/>
    <w:uiPriority w:val="99"/>
    <w:unhideWhenUsed/>
    <w:rsid w:val="009D2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D26F7"/>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252B20"/>
    <w:rPr>
      <w:rFonts w:asciiTheme="majorHAnsi" w:eastAsiaTheme="majorEastAsia" w:hAnsiTheme="majorHAnsi" w:cstheme="majorBidi"/>
      <w:i/>
      <w:iCs/>
      <w:color w:val="365F91" w:themeColor="accent1" w:themeShade="BF"/>
    </w:rPr>
  </w:style>
  <w:style w:type="paragraph" w:styleId="NormalWeb">
    <w:name w:val="Normal (Web)"/>
    <w:basedOn w:val="Normal"/>
    <w:uiPriority w:val="99"/>
    <w:semiHidden/>
    <w:unhideWhenUsed/>
    <w:rsid w:val="00252B2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highlight">
    <w:name w:val="highlight"/>
    <w:basedOn w:val="DefaultParagraphFont"/>
    <w:rsid w:val="00AA2776"/>
  </w:style>
  <w:style w:type="paragraph" w:customStyle="1" w:styleId="Default">
    <w:name w:val="Default"/>
    <w:rsid w:val="007C3E5E"/>
    <w:pPr>
      <w:autoSpaceDE w:val="0"/>
      <w:autoSpaceDN w:val="0"/>
      <w:adjustRightInd w:val="0"/>
      <w:ind w:left="0" w:firstLine="0"/>
    </w:pPr>
    <w:rPr>
      <w:rFonts w:ascii="Times New Roman PS" w:hAnsi="Times New Roman PS" w:cs="Times New Roman PS"/>
      <w:color w:val="000000"/>
      <w:sz w:val="24"/>
      <w:szCs w:val="24"/>
    </w:rPr>
  </w:style>
  <w:style w:type="character" w:customStyle="1" w:styleId="journalname">
    <w:name w:val="journalname"/>
    <w:basedOn w:val="DefaultParagraphFont"/>
    <w:rsid w:val="007036FA"/>
  </w:style>
  <w:style w:type="character" w:customStyle="1" w:styleId="year">
    <w:name w:val="year"/>
    <w:basedOn w:val="DefaultParagraphFont"/>
    <w:rsid w:val="007036FA"/>
  </w:style>
  <w:style w:type="character" w:customStyle="1" w:styleId="volume">
    <w:name w:val="volume"/>
    <w:basedOn w:val="DefaultParagraphFont"/>
    <w:rsid w:val="007036FA"/>
  </w:style>
  <w:style w:type="character" w:customStyle="1" w:styleId="issue">
    <w:name w:val="issue"/>
    <w:basedOn w:val="DefaultParagraphFont"/>
    <w:rsid w:val="007036FA"/>
  </w:style>
  <w:style w:type="character" w:customStyle="1" w:styleId="page">
    <w:name w:val="page"/>
    <w:basedOn w:val="DefaultParagraphFont"/>
    <w:rsid w:val="007036FA"/>
  </w:style>
  <w:style w:type="character" w:styleId="UnresolvedMention">
    <w:name w:val="Unresolved Mention"/>
    <w:basedOn w:val="DefaultParagraphFont"/>
    <w:uiPriority w:val="99"/>
    <w:semiHidden/>
    <w:unhideWhenUsed/>
    <w:rsid w:val="00CE1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4739">
      <w:bodyDiv w:val="1"/>
      <w:marLeft w:val="0"/>
      <w:marRight w:val="0"/>
      <w:marTop w:val="0"/>
      <w:marBottom w:val="0"/>
      <w:divBdr>
        <w:top w:val="none" w:sz="0" w:space="0" w:color="auto"/>
        <w:left w:val="none" w:sz="0" w:space="0" w:color="auto"/>
        <w:bottom w:val="none" w:sz="0" w:space="0" w:color="auto"/>
        <w:right w:val="none" w:sz="0" w:space="0" w:color="auto"/>
      </w:divBdr>
    </w:div>
    <w:div w:id="745690254">
      <w:bodyDiv w:val="1"/>
      <w:marLeft w:val="0"/>
      <w:marRight w:val="0"/>
      <w:marTop w:val="0"/>
      <w:marBottom w:val="0"/>
      <w:divBdr>
        <w:top w:val="none" w:sz="0" w:space="0" w:color="auto"/>
        <w:left w:val="none" w:sz="0" w:space="0" w:color="auto"/>
        <w:bottom w:val="none" w:sz="0" w:space="0" w:color="auto"/>
        <w:right w:val="none" w:sz="0" w:space="0" w:color="auto"/>
      </w:divBdr>
    </w:div>
    <w:div w:id="1112826047">
      <w:bodyDiv w:val="1"/>
      <w:marLeft w:val="0"/>
      <w:marRight w:val="0"/>
      <w:marTop w:val="0"/>
      <w:marBottom w:val="0"/>
      <w:divBdr>
        <w:top w:val="none" w:sz="0" w:space="0" w:color="auto"/>
        <w:left w:val="none" w:sz="0" w:space="0" w:color="auto"/>
        <w:bottom w:val="none" w:sz="0" w:space="0" w:color="auto"/>
        <w:right w:val="none" w:sz="0" w:space="0" w:color="auto"/>
      </w:divBdr>
    </w:div>
    <w:div w:id="1174298771">
      <w:bodyDiv w:val="1"/>
      <w:marLeft w:val="0"/>
      <w:marRight w:val="0"/>
      <w:marTop w:val="0"/>
      <w:marBottom w:val="0"/>
      <w:divBdr>
        <w:top w:val="none" w:sz="0" w:space="0" w:color="auto"/>
        <w:left w:val="none" w:sz="0" w:space="0" w:color="auto"/>
        <w:bottom w:val="none" w:sz="0" w:space="0" w:color="auto"/>
        <w:right w:val="none" w:sz="0" w:space="0" w:color="auto"/>
      </w:divBdr>
    </w:div>
    <w:div w:id="1329599128">
      <w:bodyDiv w:val="1"/>
      <w:marLeft w:val="0"/>
      <w:marRight w:val="0"/>
      <w:marTop w:val="0"/>
      <w:marBottom w:val="0"/>
      <w:divBdr>
        <w:top w:val="none" w:sz="0" w:space="0" w:color="auto"/>
        <w:left w:val="none" w:sz="0" w:space="0" w:color="auto"/>
        <w:bottom w:val="none" w:sz="0" w:space="0" w:color="auto"/>
        <w:right w:val="none" w:sz="0" w:space="0" w:color="auto"/>
      </w:divBdr>
    </w:div>
    <w:div w:id="1503199976">
      <w:bodyDiv w:val="1"/>
      <w:marLeft w:val="0"/>
      <w:marRight w:val="0"/>
      <w:marTop w:val="0"/>
      <w:marBottom w:val="0"/>
      <w:divBdr>
        <w:top w:val="none" w:sz="0" w:space="0" w:color="auto"/>
        <w:left w:val="none" w:sz="0" w:space="0" w:color="auto"/>
        <w:bottom w:val="none" w:sz="0" w:space="0" w:color="auto"/>
        <w:right w:val="none" w:sz="0" w:space="0" w:color="auto"/>
      </w:divBdr>
    </w:div>
    <w:div w:id="157654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hyperlink" Target="https://www.ncbi.nlm.nih.gov/pubmed/30559235" TargetMode="External"/><Relationship Id="rId39" Type="http://schemas.openxmlformats.org/officeDocument/2006/relationships/hyperlink" Target="https://www.ncbi.nlm.nih.gov/pubmed/16514590" TargetMode="External"/><Relationship Id="rId21" Type="http://schemas.openxmlformats.org/officeDocument/2006/relationships/hyperlink" Target="https://www.ncbi.nlm.nih.gov/pubmed/30676355" TargetMode="External"/><Relationship Id="rId34" Type="http://schemas.openxmlformats.org/officeDocument/2006/relationships/hyperlink" Target="https://www.cms.gov/medicare/prescription-drug-coverage/prescriptiondrugcovgenin/performancedata.html" TargetMode="External"/><Relationship Id="rId42" Type="http://schemas.openxmlformats.org/officeDocument/2006/relationships/hyperlink" Target="https://www.ncbi.nlm.nih.gov/pubmed/15908846" TargetMode="External"/><Relationship Id="rId47" Type="http://schemas.openxmlformats.org/officeDocument/2006/relationships/hyperlink" Target="https://www.ncbi.nlm.nih.gov/pubmed/27574406" TargetMode="External"/><Relationship Id="rId50" Type="http://schemas.openxmlformats.org/officeDocument/2006/relationships/hyperlink" Target="https://www.ncbi.nlm.nih.gov/pubmed/30854912" TargetMode="External"/><Relationship Id="rId55"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hyperlink" Target="https://www.ncbi.nlm.nih.gov/pubmed/30561486" TargetMode="External"/><Relationship Id="rId33" Type="http://schemas.openxmlformats.org/officeDocument/2006/relationships/hyperlink" Target="https://www.ncbi.nlm.nih.gov/pubmed/27632693" TargetMode="External"/><Relationship Id="rId38" Type="http://schemas.openxmlformats.org/officeDocument/2006/relationships/hyperlink" Target="https://www.ncbi.nlm.nih.gov/pubmed/17261111" TargetMode="External"/><Relationship Id="rId46" Type="http://schemas.openxmlformats.org/officeDocument/2006/relationships/hyperlink" Target="https://www.ncbi.nlm.nih.gov/pubmed/26687512" TargetMode="Externa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hyperlink" Target="https://www.ncbi.nlm.nih.gov/pubmed/30586774" TargetMode="External"/><Relationship Id="rId41" Type="http://schemas.openxmlformats.org/officeDocument/2006/relationships/hyperlink" Target="https://www.ncbi.nlm.nih.gov/pubmed/15333476"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ncbi.nlm.nih.gov/pubmed/22964778" TargetMode="External"/><Relationship Id="rId32" Type="http://schemas.openxmlformats.org/officeDocument/2006/relationships/hyperlink" Target="https://www.ncbi.nlm.nih.gov/pubmed/30676355" TargetMode="External"/><Relationship Id="rId37" Type="http://schemas.openxmlformats.org/officeDocument/2006/relationships/hyperlink" Target="https://www.ncbi.nlm.nih.gov/pubmed/16868217" TargetMode="External"/><Relationship Id="rId40" Type="http://schemas.openxmlformats.org/officeDocument/2006/relationships/hyperlink" Target="https://www.ncbi.nlm.nih.gov/pubmed/12181210" TargetMode="External"/><Relationship Id="rId45" Type="http://schemas.openxmlformats.org/officeDocument/2006/relationships/hyperlink" Target="https://www.ncbi.nlm.nih.gov/pubmed/24332142" TargetMode="External"/><Relationship Id="rId53"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yperlink" Target="https://www.cms.gov/medicare/prescription-drug-coverage/prescriptiondrugcovgenin/performancedata.html" TargetMode="External"/><Relationship Id="rId28" Type="http://schemas.openxmlformats.org/officeDocument/2006/relationships/hyperlink" Target="https://www.ncbi.nlm.nih.gov/pubmed/30219548" TargetMode="External"/><Relationship Id="rId36" Type="http://schemas.openxmlformats.org/officeDocument/2006/relationships/hyperlink" Target="https://www.ncbi.nlm.nih.gov/pubmed/19635045" TargetMode="External"/><Relationship Id="rId49" Type="http://schemas.openxmlformats.org/officeDocument/2006/relationships/hyperlink" Target="https://www.ncbi.nlm.nih.gov/pubmed/30854912" TargetMode="External"/><Relationship Id="rId10" Type="http://schemas.openxmlformats.org/officeDocument/2006/relationships/footnotes" Target="footnotes.xml"/><Relationship Id="rId19" Type="http://schemas.openxmlformats.org/officeDocument/2006/relationships/diagramColors" Target="diagrams/colors1.xml"/><Relationship Id="rId31" Type="http://schemas.openxmlformats.org/officeDocument/2006/relationships/hyperlink" Target="https://www.ncbi.nlm.nih.gov/pubmed/27838723" TargetMode="External"/><Relationship Id="rId44" Type="http://schemas.openxmlformats.org/officeDocument/2006/relationships/hyperlink" Target="https://www.ncbi.nlm.nih.gov/pubmed/21209444"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www.ncbi.nlm.nih.gov/pubmed/27632693" TargetMode="External"/><Relationship Id="rId27" Type="http://schemas.openxmlformats.org/officeDocument/2006/relationships/hyperlink" Target="https://www.ncbi.nlm.nih.gov/pubmed/30559236" TargetMode="External"/><Relationship Id="rId30" Type="http://schemas.openxmlformats.org/officeDocument/2006/relationships/hyperlink" Target="https://www.ncbi.nlm.nih.gov/pubmed/28437620" TargetMode="External"/><Relationship Id="rId35" Type="http://schemas.openxmlformats.org/officeDocument/2006/relationships/hyperlink" Target="https://www.ncbi.nlm.nih.gov/pubmed/?term=Standardizing+terminology+and+definitions+of+medication+adherence+and+persistence+in+research+employing+electronic+databases" TargetMode="External"/><Relationship Id="rId43" Type="http://schemas.openxmlformats.org/officeDocument/2006/relationships/hyperlink" Target="https://www.ncbi.nlm.nih.gov/pubmed/17173679" TargetMode="External"/><Relationship Id="rId48" Type="http://schemas.openxmlformats.org/officeDocument/2006/relationships/hyperlink" Target="https://www.ncbi.nlm.nih.gov/pubmed/29309392"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ncbi.nlm.nih.gov/pubmed/30854912" TargetMode="External"/><Relationship Id="rId3" Type="http://schemas.openxmlformats.org/officeDocument/2006/relationships/customXml" Target="../customXml/item3.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F5236F-6761-4D8F-B125-200F7A0FFB84}" type="doc">
      <dgm:prSet loTypeId="urn:microsoft.com/office/officeart/2005/8/layout/process1" loCatId="hierarchy" qsTypeId="urn:microsoft.com/office/officeart/2005/8/quickstyle/simple1" qsCatId="simple" csTypeId="urn:microsoft.com/office/officeart/2005/8/colors/accent0_1" csCatId="mainScheme" phldr="1"/>
      <dgm:spPr/>
      <dgm:t>
        <a:bodyPr/>
        <a:lstStyle/>
        <a:p>
          <a:endParaRPr lang="en-US"/>
        </a:p>
      </dgm:t>
    </dgm:pt>
    <dgm:pt modelId="{1AE89E70-69DF-475C-B599-0BF288688E1C}">
      <dgm:prSet phldrT="[Text]"/>
      <dgm:spPr/>
      <dgm:t>
        <a:bodyPr/>
        <a:lstStyle/>
        <a:p>
          <a:r>
            <a:rPr lang="en-US">
              <a:solidFill>
                <a:srgbClr val="FF0000"/>
              </a:solidFill>
            </a:rPr>
            <a:t>Medical Conditions</a:t>
          </a:r>
        </a:p>
      </dgm:t>
    </dgm:pt>
    <dgm:pt modelId="{32C5647D-E3C5-48D7-988B-D7963192FD5C}" type="parTrans" cxnId="{3F2EDE12-07EF-4F36-B5E5-9720F0FF382A}">
      <dgm:prSet/>
      <dgm:spPr/>
      <dgm:t>
        <a:bodyPr/>
        <a:lstStyle/>
        <a:p>
          <a:endParaRPr lang="en-US"/>
        </a:p>
      </dgm:t>
    </dgm:pt>
    <dgm:pt modelId="{B254A11A-3C70-4EA9-9071-C4EAB8541287}" type="sibTrans" cxnId="{3F2EDE12-07EF-4F36-B5E5-9720F0FF382A}">
      <dgm:prSet/>
      <dgm:spPr/>
      <dgm:t>
        <a:bodyPr/>
        <a:lstStyle/>
        <a:p>
          <a:endParaRPr lang="en-US"/>
        </a:p>
      </dgm:t>
    </dgm:pt>
    <dgm:pt modelId="{7E6A8143-A3F7-4CD0-BB66-0B6546003919}">
      <dgm:prSet phldrT="[Text]"/>
      <dgm:spPr/>
      <dgm:t>
        <a:bodyPr/>
        <a:lstStyle/>
        <a:p>
          <a:r>
            <a:rPr lang="en-US">
              <a:solidFill>
                <a:srgbClr val="FF0000"/>
              </a:solidFill>
            </a:rPr>
            <a:t>Treatment with Medications</a:t>
          </a:r>
        </a:p>
      </dgm:t>
    </dgm:pt>
    <dgm:pt modelId="{8FE14E46-C21E-4EEF-8230-C873E533DEFF}" type="parTrans" cxnId="{DF2AA55B-D63F-492A-A1B7-50B24B52F9F4}">
      <dgm:prSet/>
      <dgm:spPr/>
      <dgm:t>
        <a:bodyPr/>
        <a:lstStyle/>
        <a:p>
          <a:endParaRPr lang="en-US"/>
        </a:p>
      </dgm:t>
    </dgm:pt>
    <dgm:pt modelId="{85D9B7FE-316F-4109-8C2A-9E59522B4946}" type="sibTrans" cxnId="{DF2AA55B-D63F-492A-A1B7-50B24B52F9F4}">
      <dgm:prSet/>
      <dgm:spPr/>
      <dgm:t>
        <a:bodyPr/>
        <a:lstStyle/>
        <a:p>
          <a:endParaRPr lang="en-US"/>
        </a:p>
      </dgm:t>
    </dgm:pt>
    <dgm:pt modelId="{ACDB9C31-05EC-4676-B303-914D4BE6D80C}">
      <dgm:prSet phldrT="[Text]"/>
      <dgm:spPr/>
      <dgm:t>
        <a:bodyPr/>
        <a:lstStyle/>
        <a:p>
          <a:r>
            <a:rPr lang="en-US">
              <a:solidFill>
                <a:srgbClr val="FF0000"/>
              </a:solidFill>
            </a:rPr>
            <a:t>Improved Clinical Outcomes &amp; Lower Healthcare Costs</a:t>
          </a:r>
        </a:p>
      </dgm:t>
    </dgm:pt>
    <dgm:pt modelId="{F50C31C0-1349-4ACB-9A58-42B60BA2062A}" type="parTrans" cxnId="{ACC44E9E-50EB-466F-9190-6EBD942F1290}">
      <dgm:prSet/>
      <dgm:spPr/>
      <dgm:t>
        <a:bodyPr/>
        <a:lstStyle/>
        <a:p>
          <a:endParaRPr lang="en-US"/>
        </a:p>
      </dgm:t>
    </dgm:pt>
    <dgm:pt modelId="{00130FD8-3897-4635-94EE-605DB1AFE045}" type="sibTrans" cxnId="{ACC44E9E-50EB-466F-9190-6EBD942F1290}">
      <dgm:prSet/>
      <dgm:spPr/>
      <dgm:t>
        <a:bodyPr/>
        <a:lstStyle/>
        <a:p>
          <a:endParaRPr lang="en-US"/>
        </a:p>
      </dgm:t>
    </dgm:pt>
    <dgm:pt modelId="{46F55A53-F378-4758-A17E-6E3CBAE17748}">
      <dgm:prSet phldrT="[Text]"/>
      <dgm:spPr/>
      <dgm:t>
        <a:bodyPr/>
        <a:lstStyle/>
        <a:p>
          <a:r>
            <a:rPr lang="en-US">
              <a:solidFill>
                <a:srgbClr val="FF0000"/>
              </a:solidFill>
            </a:rPr>
            <a:t>Medication Adherence</a:t>
          </a:r>
        </a:p>
      </dgm:t>
    </dgm:pt>
    <dgm:pt modelId="{11BC89B6-70C2-405F-86D0-3B26A35686DD}" type="parTrans" cxnId="{F7C5016C-256D-4C75-99F0-AFEEC21DCFE1}">
      <dgm:prSet/>
      <dgm:spPr/>
      <dgm:t>
        <a:bodyPr/>
        <a:lstStyle/>
        <a:p>
          <a:endParaRPr lang="en-US"/>
        </a:p>
      </dgm:t>
    </dgm:pt>
    <dgm:pt modelId="{98AEBD60-A472-4899-9BF8-9B71E9ED1E25}" type="sibTrans" cxnId="{F7C5016C-256D-4C75-99F0-AFEEC21DCFE1}">
      <dgm:prSet/>
      <dgm:spPr/>
      <dgm:t>
        <a:bodyPr/>
        <a:lstStyle/>
        <a:p>
          <a:endParaRPr lang="en-US"/>
        </a:p>
      </dgm:t>
    </dgm:pt>
    <dgm:pt modelId="{223B305D-8DD3-EF4E-A753-FF30AAD99B8C}">
      <dgm:prSet phldrT="[Text]"/>
      <dgm:spPr/>
      <dgm:t>
        <a:bodyPr/>
        <a:lstStyle/>
        <a:p>
          <a:r>
            <a:rPr lang="en-US">
              <a:solidFill>
                <a:srgbClr val="FF0000"/>
              </a:solidFill>
            </a:rPr>
            <a:t>Diabetes</a:t>
          </a:r>
        </a:p>
      </dgm:t>
    </dgm:pt>
    <dgm:pt modelId="{E571C832-904C-EA41-AF09-80D8659C9B99}" type="parTrans" cxnId="{486D8C5A-9C17-7A48-8E4D-5D0CED3079CD}">
      <dgm:prSet/>
      <dgm:spPr/>
      <dgm:t>
        <a:bodyPr/>
        <a:lstStyle/>
        <a:p>
          <a:endParaRPr lang="en-US"/>
        </a:p>
      </dgm:t>
    </dgm:pt>
    <dgm:pt modelId="{BCBFD6E7-3A17-D44A-BBF2-86609A9B82EF}" type="sibTrans" cxnId="{486D8C5A-9C17-7A48-8E4D-5D0CED3079CD}">
      <dgm:prSet/>
      <dgm:spPr/>
      <dgm:t>
        <a:bodyPr/>
        <a:lstStyle/>
        <a:p>
          <a:endParaRPr lang="en-US"/>
        </a:p>
      </dgm:t>
    </dgm:pt>
    <dgm:pt modelId="{70E7E387-3753-DD44-BB0B-BC33137658F7}">
      <dgm:prSet phldrT="[Text]"/>
      <dgm:spPr/>
      <dgm:t>
        <a:bodyPr/>
        <a:lstStyle/>
        <a:p>
          <a:r>
            <a:rPr lang="en-US">
              <a:solidFill>
                <a:srgbClr val="FF0000"/>
              </a:solidFill>
            </a:rPr>
            <a:t>Hypertension</a:t>
          </a:r>
        </a:p>
      </dgm:t>
    </dgm:pt>
    <dgm:pt modelId="{1482E7A0-89A1-3C4E-BA4B-FBFA30634295}" type="parTrans" cxnId="{C7938647-B2A3-844C-8DDF-378C28058FCF}">
      <dgm:prSet/>
      <dgm:spPr/>
      <dgm:t>
        <a:bodyPr/>
        <a:lstStyle/>
        <a:p>
          <a:endParaRPr lang="en-US"/>
        </a:p>
      </dgm:t>
    </dgm:pt>
    <dgm:pt modelId="{394F72FF-71F9-5E43-8FF2-08A1C3CBD2E7}" type="sibTrans" cxnId="{C7938647-B2A3-844C-8DDF-378C28058FCF}">
      <dgm:prSet/>
      <dgm:spPr/>
      <dgm:t>
        <a:bodyPr/>
        <a:lstStyle/>
        <a:p>
          <a:endParaRPr lang="en-US"/>
        </a:p>
      </dgm:t>
    </dgm:pt>
    <dgm:pt modelId="{8F60647A-CA48-4C46-AB79-47DFAB89DFDC}">
      <dgm:prSet phldrT="[Text]"/>
      <dgm:spPr/>
      <dgm:t>
        <a:bodyPr/>
        <a:lstStyle/>
        <a:p>
          <a:r>
            <a:rPr lang="en-US">
              <a:solidFill>
                <a:srgbClr val="FF0000"/>
              </a:solidFill>
            </a:rPr>
            <a:t>Hyperlipidemia</a:t>
          </a:r>
        </a:p>
      </dgm:t>
    </dgm:pt>
    <dgm:pt modelId="{EADF4C3B-AE72-A04F-972D-2B7D7574069F}" type="parTrans" cxnId="{3B0B115C-E958-324C-9BDF-061B7C2DA174}">
      <dgm:prSet/>
      <dgm:spPr/>
      <dgm:t>
        <a:bodyPr/>
        <a:lstStyle/>
        <a:p>
          <a:endParaRPr lang="en-US"/>
        </a:p>
      </dgm:t>
    </dgm:pt>
    <dgm:pt modelId="{AC3AB745-A5C7-9B44-9F4D-5994DDB80C78}" type="sibTrans" cxnId="{3B0B115C-E958-324C-9BDF-061B7C2DA174}">
      <dgm:prSet/>
      <dgm:spPr/>
      <dgm:t>
        <a:bodyPr/>
        <a:lstStyle/>
        <a:p>
          <a:endParaRPr lang="en-US"/>
        </a:p>
      </dgm:t>
    </dgm:pt>
    <dgm:pt modelId="{342D85D6-E029-CF41-98D5-C03BE53B9DCA}">
      <dgm:prSet phldrT="[Text]"/>
      <dgm:spPr/>
      <dgm:t>
        <a:bodyPr/>
        <a:lstStyle/>
        <a:p>
          <a:r>
            <a:rPr lang="en-US">
              <a:solidFill>
                <a:srgbClr val="FF0000"/>
              </a:solidFill>
            </a:rPr>
            <a:t>Antihyperglycemic agents</a:t>
          </a:r>
        </a:p>
      </dgm:t>
    </dgm:pt>
    <dgm:pt modelId="{5A21683B-9E84-C048-9BCE-53A4C58E9E60}" type="parTrans" cxnId="{363F53F6-9ED8-6446-9EAC-786ECCE4A715}">
      <dgm:prSet/>
      <dgm:spPr/>
      <dgm:t>
        <a:bodyPr/>
        <a:lstStyle/>
        <a:p>
          <a:endParaRPr lang="en-US"/>
        </a:p>
      </dgm:t>
    </dgm:pt>
    <dgm:pt modelId="{294E2CE6-8EE7-374C-BB6C-B9E17ABB269A}" type="sibTrans" cxnId="{363F53F6-9ED8-6446-9EAC-786ECCE4A715}">
      <dgm:prSet/>
      <dgm:spPr/>
      <dgm:t>
        <a:bodyPr/>
        <a:lstStyle/>
        <a:p>
          <a:endParaRPr lang="en-US"/>
        </a:p>
      </dgm:t>
    </dgm:pt>
    <dgm:pt modelId="{5AFB3C0B-F26A-8E42-8A37-81B0AA158882}">
      <dgm:prSet phldrT="[Text]"/>
      <dgm:spPr/>
      <dgm:t>
        <a:bodyPr/>
        <a:lstStyle/>
        <a:p>
          <a:r>
            <a:rPr lang="en-US">
              <a:solidFill>
                <a:srgbClr val="FF0000"/>
              </a:solidFill>
            </a:rPr>
            <a:t>Renin-angiotensin system antagonists</a:t>
          </a:r>
        </a:p>
      </dgm:t>
    </dgm:pt>
    <dgm:pt modelId="{FA591DB3-818E-9F42-9A5F-2D160DE7C40C}" type="parTrans" cxnId="{65BD3170-9F95-0444-A757-99FA5140B3CA}">
      <dgm:prSet/>
      <dgm:spPr/>
      <dgm:t>
        <a:bodyPr/>
        <a:lstStyle/>
        <a:p>
          <a:endParaRPr lang="en-US"/>
        </a:p>
      </dgm:t>
    </dgm:pt>
    <dgm:pt modelId="{90D2DDFB-FF0D-2842-A6D9-4B12028F518C}" type="sibTrans" cxnId="{65BD3170-9F95-0444-A757-99FA5140B3CA}">
      <dgm:prSet/>
      <dgm:spPr/>
      <dgm:t>
        <a:bodyPr/>
        <a:lstStyle/>
        <a:p>
          <a:endParaRPr lang="en-US"/>
        </a:p>
      </dgm:t>
    </dgm:pt>
    <dgm:pt modelId="{7E98E042-C59F-7548-8A82-DF1B369BD2CD}">
      <dgm:prSet phldrT="[Text]"/>
      <dgm:spPr/>
      <dgm:t>
        <a:bodyPr/>
        <a:lstStyle/>
        <a:p>
          <a:r>
            <a:rPr lang="en-US">
              <a:solidFill>
                <a:srgbClr val="FF0000"/>
              </a:solidFill>
            </a:rPr>
            <a:t>Statins</a:t>
          </a:r>
        </a:p>
      </dgm:t>
    </dgm:pt>
    <dgm:pt modelId="{CE8BC688-05F0-2B4D-9BC4-AEF24D16F785}" type="parTrans" cxnId="{12011177-6FC8-9547-873D-84B9133F5111}">
      <dgm:prSet/>
      <dgm:spPr/>
      <dgm:t>
        <a:bodyPr/>
        <a:lstStyle/>
        <a:p>
          <a:endParaRPr lang="en-US"/>
        </a:p>
      </dgm:t>
    </dgm:pt>
    <dgm:pt modelId="{CCD8432A-C66F-0448-94F7-538A93965994}" type="sibTrans" cxnId="{12011177-6FC8-9547-873D-84B9133F5111}">
      <dgm:prSet/>
      <dgm:spPr/>
      <dgm:t>
        <a:bodyPr/>
        <a:lstStyle/>
        <a:p>
          <a:endParaRPr lang="en-US"/>
        </a:p>
      </dgm:t>
    </dgm:pt>
    <dgm:pt modelId="{DB1F4397-4D36-CA49-A37A-BA4F5F985655}">
      <dgm:prSet phldrT="[Text]"/>
      <dgm:spPr/>
      <dgm:t>
        <a:bodyPr/>
        <a:lstStyle/>
        <a:p>
          <a:r>
            <a:rPr lang="en-US">
              <a:solidFill>
                <a:srgbClr val="FF0000"/>
              </a:solidFill>
            </a:rPr>
            <a:t>Proportion of Days covered ≥80%</a:t>
          </a:r>
        </a:p>
      </dgm:t>
    </dgm:pt>
    <dgm:pt modelId="{1B518546-83A5-3947-AF96-49910F94A0DC}" type="parTrans" cxnId="{0EBAE1A4-65DD-AA4D-BDDB-EBCB2CD1977F}">
      <dgm:prSet/>
      <dgm:spPr/>
      <dgm:t>
        <a:bodyPr/>
        <a:lstStyle/>
        <a:p>
          <a:endParaRPr lang="en-US"/>
        </a:p>
      </dgm:t>
    </dgm:pt>
    <dgm:pt modelId="{20A9BF32-8F1B-6346-8C43-70D05D8D763C}" type="sibTrans" cxnId="{0EBAE1A4-65DD-AA4D-BDDB-EBCB2CD1977F}">
      <dgm:prSet/>
      <dgm:spPr/>
      <dgm:t>
        <a:bodyPr/>
        <a:lstStyle/>
        <a:p>
          <a:endParaRPr lang="en-US"/>
        </a:p>
      </dgm:t>
    </dgm:pt>
    <dgm:pt modelId="{75844CFC-CA77-4043-898E-E317A5A6B164}">
      <dgm:prSet phldrT="[Text]"/>
      <dgm:spPr/>
      <dgm:t>
        <a:bodyPr/>
        <a:lstStyle/>
        <a:p>
          <a:r>
            <a:rPr lang="en-US">
              <a:solidFill>
                <a:srgbClr val="FF0000"/>
              </a:solidFill>
            </a:rPr>
            <a:t>e.g., decreased A1C, major cardiovascular events, emergency department visits, hospitizations</a:t>
          </a:r>
        </a:p>
      </dgm:t>
    </dgm:pt>
    <dgm:pt modelId="{6C33235A-4AE2-4C41-AAD3-C143E5AF3A84}" type="parTrans" cxnId="{9BC7DF8A-409B-1149-B0FE-E174B6623EE9}">
      <dgm:prSet/>
      <dgm:spPr/>
      <dgm:t>
        <a:bodyPr/>
        <a:lstStyle/>
        <a:p>
          <a:endParaRPr lang="en-US"/>
        </a:p>
      </dgm:t>
    </dgm:pt>
    <dgm:pt modelId="{948BE5E9-126B-1144-8055-B1C9BBDFB56A}" type="sibTrans" cxnId="{9BC7DF8A-409B-1149-B0FE-E174B6623EE9}">
      <dgm:prSet/>
      <dgm:spPr/>
      <dgm:t>
        <a:bodyPr/>
        <a:lstStyle/>
        <a:p>
          <a:endParaRPr lang="en-US"/>
        </a:p>
      </dgm:t>
    </dgm:pt>
    <dgm:pt modelId="{59AC69DF-83CC-4B45-B6F9-07CBE46970D8}" type="pres">
      <dgm:prSet presAssocID="{34F5236F-6761-4D8F-B125-200F7A0FFB84}" presName="Name0" presStyleCnt="0">
        <dgm:presLayoutVars>
          <dgm:dir/>
          <dgm:resizeHandles val="exact"/>
        </dgm:presLayoutVars>
      </dgm:prSet>
      <dgm:spPr/>
    </dgm:pt>
    <dgm:pt modelId="{0350FC72-99E5-6C49-8A8A-88B9F013C371}" type="pres">
      <dgm:prSet presAssocID="{1AE89E70-69DF-475C-B599-0BF288688E1C}" presName="node" presStyleLbl="node1" presStyleIdx="0" presStyleCnt="4">
        <dgm:presLayoutVars>
          <dgm:bulletEnabled val="1"/>
        </dgm:presLayoutVars>
      </dgm:prSet>
      <dgm:spPr/>
    </dgm:pt>
    <dgm:pt modelId="{6236881A-3CFD-154D-83B7-2513D52FBF9B}" type="pres">
      <dgm:prSet presAssocID="{B254A11A-3C70-4EA9-9071-C4EAB8541287}" presName="sibTrans" presStyleLbl="sibTrans2D1" presStyleIdx="0" presStyleCnt="3"/>
      <dgm:spPr/>
    </dgm:pt>
    <dgm:pt modelId="{058B1DD2-3897-E246-8EB2-086DB8C56901}" type="pres">
      <dgm:prSet presAssocID="{B254A11A-3C70-4EA9-9071-C4EAB8541287}" presName="connectorText" presStyleLbl="sibTrans2D1" presStyleIdx="0" presStyleCnt="3"/>
      <dgm:spPr/>
    </dgm:pt>
    <dgm:pt modelId="{90A452F6-3C6C-344B-AD74-68FE561ACE5B}" type="pres">
      <dgm:prSet presAssocID="{7E6A8143-A3F7-4CD0-BB66-0B6546003919}" presName="node" presStyleLbl="node1" presStyleIdx="1" presStyleCnt="4">
        <dgm:presLayoutVars>
          <dgm:bulletEnabled val="1"/>
        </dgm:presLayoutVars>
      </dgm:prSet>
      <dgm:spPr/>
    </dgm:pt>
    <dgm:pt modelId="{C5BA8953-B3E6-804F-AD57-D1EABC2880A3}" type="pres">
      <dgm:prSet presAssocID="{85D9B7FE-316F-4109-8C2A-9E59522B4946}" presName="sibTrans" presStyleLbl="sibTrans2D1" presStyleIdx="1" presStyleCnt="3"/>
      <dgm:spPr/>
    </dgm:pt>
    <dgm:pt modelId="{3B2683BD-AAA7-8F47-8236-89AEB87B9A5A}" type="pres">
      <dgm:prSet presAssocID="{85D9B7FE-316F-4109-8C2A-9E59522B4946}" presName="connectorText" presStyleLbl="sibTrans2D1" presStyleIdx="1" presStyleCnt="3"/>
      <dgm:spPr/>
    </dgm:pt>
    <dgm:pt modelId="{E8CF1091-FD2C-F846-8CD7-09ADED924C50}" type="pres">
      <dgm:prSet presAssocID="{46F55A53-F378-4758-A17E-6E3CBAE17748}" presName="node" presStyleLbl="node1" presStyleIdx="2" presStyleCnt="4">
        <dgm:presLayoutVars>
          <dgm:bulletEnabled val="1"/>
        </dgm:presLayoutVars>
      </dgm:prSet>
      <dgm:spPr/>
    </dgm:pt>
    <dgm:pt modelId="{7180D741-C6CF-0D41-891A-81C91A1001D3}" type="pres">
      <dgm:prSet presAssocID="{98AEBD60-A472-4899-9BF8-9B71E9ED1E25}" presName="sibTrans" presStyleLbl="sibTrans2D1" presStyleIdx="2" presStyleCnt="3"/>
      <dgm:spPr/>
    </dgm:pt>
    <dgm:pt modelId="{505594A0-1720-A943-9356-DAA3839A51EE}" type="pres">
      <dgm:prSet presAssocID="{98AEBD60-A472-4899-9BF8-9B71E9ED1E25}" presName="connectorText" presStyleLbl="sibTrans2D1" presStyleIdx="2" presStyleCnt="3"/>
      <dgm:spPr/>
    </dgm:pt>
    <dgm:pt modelId="{667A633C-314B-5B49-BFEF-C475D9114840}" type="pres">
      <dgm:prSet presAssocID="{ACDB9C31-05EC-4676-B303-914D4BE6D80C}" presName="node" presStyleLbl="node1" presStyleIdx="3" presStyleCnt="4">
        <dgm:presLayoutVars>
          <dgm:bulletEnabled val="1"/>
        </dgm:presLayoutVars>
      </dgm:prSet>
      <dgm:spPr/>
    </dgm:pt>
  </dgm:ptLst>
  <dgm:cxnLst>
    <dgm:cxn modelId="{348D6E07-9EB8-2E45-BFC8-1E1A5D7045F1}" type="presOf" srcId="{98AEBD60-A472-4899-9BF8-9B71E9ED1E25}" destId="{505594A0-1720-A943-9356-DAA3839A51EE}" srcOrd="1" destOrd="0" presId="urn:microsoft.com/office/officeart/2005/8/layout/process1"/>
    <dgm:cxn modelId="{404FDE0F-F589-884E-BD5E-4A909CFAD408}" type="presOf" srcId="{B254A11A-3C70-4EA9-9071-C4EAB8541287}" destId="{058B1DD2-3897-E246-8EB2-086DB8C56901}" srcOrd="1" destOrd="0" presId="urn:microsoft.com/office/officeart/2005/8/layout/process1"/>
    <dgm:cxn modelId="{3F2EDE12-07EF-4F36-B5E5-9720F0FF382A}" srcId="{34F5236F-6761-4D8F-B125-200F7A0FFB84}" destId="{1AE89E70-69DF-475C-B599-0BF288688E1C}" srcOrd="0" destOrd="0" parTransId="{32C5647D-E3C5-48D7-988B-D7963192FD5C}" sibTransId="{B254A11A-3C70-4EA9-9071-C4EAB8541287}"/>
    <dgm:cxn modelId="{1F2A4013-F2E0-4241-A1D7-89510E6930BB}" type="presOf" srcId="{70E7E387-3753-DD44-BB0B-BC33137658F7}" destId="{0350FC72-99E5-6C49-8A8A-88B9F013C371}" srcOrd="0" destOrd="2" presId="urn:microsoft.com/office/officeart/2005/8/layout/process1"/>
    <dgm:cxn modelId="{977E1C2F-A4A1-F043-9AD7-B6260BE42531}" type="presOf" srcId="{ACDB9C31-05EC-4676-B303-914D4BE6D80C}" destId="{667A633C-314B-5B49-BFEF-C475D9114840}" srcOrd="0" destOrd="0" presId="urn:microsoft.com/office/officeart/2005/8/layout/process1"/>
    <dgm:cxn modelId="{79A25632-8819-544D-A44D-E8FF377B05F9}" type="presOf" srcId="{98AEBD60-A472-4899-9BF8-9B71E9ED1E25}" destId="{7180D741-C6CF-0D41-891A-81C91A1001D3}" srcOrd="0" destOrd="0" presId="urn:microsoft.com/office/officeart/2005/8/layout/process1"/>
    <dgm:cxn modelId="{DF2AA55B-D63F-492A-A1B7-50B24B52F9F4}" srcId="{34F5236F-6761-4D8F-B125-200F7A0FFB84}" destId="{7E6A8143-A3F7-4CD0-BB66-0B6546003919}" srcOrd="1" destOrd="0" parTransId="{8FE14E46-C21E-4EEF-8230-C873E533DEFF}" sibTransId="{85D9B7FE-316F-4109-8C2A-9E59522B4946}"/>
    <dgm:cxn modelId="{3B0B115C-E958-324C-9BDF-061B7C2DA174}" srcId="{1AE89E70-69DF-475C-B599-0BF288688E1C}" destId="{8F60647A-CA48-4C46-AB79-47DFAB89DFDC}" srcOrd="2" destOrd="0" parTransId="{EADF4C3B-AE72-A04F-972D-2B7D7574069F}" sibTransId="{AC3AB745-A5C7-9B44-9F4D-5994DDB80C78}"/>
    <dgm:cxn modelId="{E5FD5160-5483-4945-B0DA-320109776FC0}" type="presOf" srcId="{8F60647A-CA48-4C46-AB79-47DFAB89DFDC}" destId="{0350FC72-99E5-6C49-8A8A-88B9F013C371}" srcOrd="0" destOrd="3" presId="urn:microsoft.com/office/officeart/2005/8/layout/process1"/>
    <dgm:cxn modelId="{3E290D41-6581-5F4A-A558-8C65E7AD82E2}" type="presOf" srcId="{85D9B7FE-316F-4109-8C2A-9E59522B4946}" destId="{C5BA8953-B3E6-804F-AD57-D1EABC2880A3}" srcOrd="0" destOrd="0" presId="urn:microsoft.com/office/officeart/2005/8/layout/process1"/>
    <dgm:cxn modelId="{D0BC0363-EEC2-024A-B86F-704EB1CB9A2C}" type="presOf" srcId="{34F5236F-6761-4D8F-B125-200F7A0FFB84}" destId="{59AC69DF-83CC-4B45-B6F9-07CBE46970D8}" srcOrd="0" destOrd="0" presId="urn:microsoft.com/office/officeart/2005/8/layout/process1"/>
    <dgm:cxn modelId="{C7938647-B2A3-844C-8DDF-378C28058FCF}" srcId="{1AE89E70-69DF-475C-B599-0BF288688E1C}" destId="{70E7E387-3753-DD44-BB0B-BC33137658F7}" srcOrd="1" destOrd="0" parTransId="{1482E7A0-89A1-3C4E-BA4B-FBFA30634295}" sibTransId="{394F72FF-71F9-5E43-8FF2-08A1C3CBD2E7}"/>
    <dgm:cxn modelId="{F7C5016C-256D-4C75-99F0-AFEEC21DCFE1}" srcId="{34F5236F-6761-4D8F-B125-200F7A0FFB84}" destId="{46F55A53-F378-4758-A17E-6E3CBAE17748}" srcOrd="2" destOrd="0" parTransId="{11BC89B6-70C2-405F-86D0-3B26A35686DD}" sibTransId="{98AEBD60-A472-4899-9BF8-9B71E9ED1E25}"/>
    <dgm:cxn modelId="{65BD3170-9F95-0444-A757-99FA5140B3CA}" srcId="{7E6A8143-A3F7-4CD0-BB66-0B6546003919}" destId="{5AFB3C0B-F26A-8E42-8A37-81B0AA158882}" srcOrd="1" destOrd="0" parTransId="{FA591DB3-818E-9F42-9A5F-2D160DE7C40C}" sibTransId="{90D2DDFB-FF0D-2842-A6D9-4B12028F518C}"/>
    <dgm:cxn modelId="{0037AF73-D587-5647-8E6A-291385460710}" type="presOf" srcId="{342D85D6-E029-CF41-98D5-C03BE53B9DCA}" destId="{90A452F6-3C6C-344B-AD74-68FE561ACE5B}" srcOrd="0" destOrd="1" presId="urn:microsoft.com/office/officeart/2005/8/layout/process1"/>
    <dgm:cxn modelId="{12011177-6FC8-9547-873D-84B9133F5111}" srcId="{7E6A8143-A3F7-4CD0-BB66-0B6546003919}" destId="{7E98E042-C59F-7548-8A82-DF1B369BD2CD}" srcOrd="2" destOrd="0" parTransId="{CE8BC688-05F0-2B4D-9BC4-AEF24D16F785}" sibTransId="{CCD8432A-C66F-0448-94F7-538A93965994}"/>
    <dgm:cxn modelId="{A12F5A58-C6B6-D44E-8300-D5FDDCDAC732}" type="presOf" srcId="{75844CFC-CA77-4043-898E-E317A5A6B164}" destId="{667A633C-314B-5B49-BFEF-C475D9114840}" srcOrd="0" destOrd="1" presId="urn:microsoft.com/office/officeart/2005/8/layout/process1"/>
    <dgm:cxn modelId="{486D8C5A-9C17-7A48-8E4D-5D0CED3079CD}" srcId="{1AE89E70-69DF-475C-B599-0BF288688E1C}" destId="{223B305D-8DD3-EF4E-A753-FF30AAD99B8C}" srcOrd="0" destOrd="0" parTransId="{E571C832-904C-EA41-AF09-80D8659C9B99}" sibTransId="{BCBFD6E7-3A17-D44A-BBF2-86609A9B82EF}"/>
    <dgm:cxn modelId="{EEAE2C80-DDFA-744C-8A71-2FF893B4C1FC}" type="presOf" srcId="{7E6A8143-A3F7-4CD0-BB66-0B6546003919}" destId="{90A452F6-3C6C-344B-AD74-68FE561ACE5B}" srcOrd="0" destOrd="0" presId="urn:microsoft.com/office/officeart/2005/8/layout/process1"/>
    <dgm:cxn modelId="{9BC7DF8A-409B-1149-B0FE-E174B6623EE9}" srcId="{ACDB9C31-05EC-4676-B303-914D4BE6D80C}" destId="{75844CFC-CA77-4043-898E-E317A5A6B164}" srcOrd="0" destOrd="0" parTransId="{6C33235A-4AE2-4C41-AAD3-C143E5AF3A84}" sibTransId="{948BE5E9-126B-1144-8055-B1C9BBDFB56A}"/>
    <dgm:cxn modelId="{7BBCA18E-38CC-0B48-9EBA-3E23327A39F3}" type="presOf" srcId="{46F55A53-F378-4758-A17E-6E3CBAE17748}" destId="{E8CF1091-FD2C-F846-8CD7-09ADED924C50}" srcOrd="0" destOrd="0" presId="urn:microsoft.com/office/officeart/2005/8/layout/process1"/>
    <dgm:cxn modelId="{5B1AB38F-AC58-B94E-AEA8-135178817EC6}" type="presOf" srcId="{5AFB3C0B-F26A-8E42-8A37-81B0AA158882}" destId="{90A452F6-3C6C-344B-AD74-68FE561ACE5B}" srcOrd="0" destOrd="2" presId="urn:microsoft.com/office/officeart/2005/8/layout/process1"/>
    <dgm:cxn modelId="{663BA791-40EF-154E-8EA5-0D864CB4F9D1}" type="presOf" srcId="{85D9B7FE-316F-4109-8C2A-9E59522B4946}" destId="{3B2683BD-AAA7-8F47-8236-89AEB87B9A5A}" srcOrd="1" destOrd="0" presId="urn:microsoft.com/office/officeart/2005/8/layout/process1"/>
    <dgm:cxn modelId="{B78DDF94-7D35-C645-AFB4-B401790693E2}" type="presOf" srcId="{7E98E042-C59F-7548-8A82-DF1B369BD2CD}" destId="{90A452F6-3C6C-344B-AD74-68FE561ACE5B}" srcOrd="0" destOrd="3" presId="urn:microsoft.com/office/officeart/2005/8/layout/process1"/>
    <dgm:cxn modelId="{ACC44E9E-50EB-466F-9190-6EBD942F1290}" srcId="{34F5236F-6761-4D8F-B125-200F7A0FFB84}" destId="{ACDB9C31-05EC-4676-B303-914D4BE6D80C}" srcOrd="3" destOrd="0" parTransId="{F50C31C0-1349-4ACB-9A58-42B60BA2062A}" sibTransId="{00130FD8-3897-4635-94EE-605DB1AFE045}"/>
    <dgm:cxn modelId="{0EBAE1A4-65DD-AA4D-BDDB-EBCB2CD1977F}" srcId="{46F55A53-F378-4758-A17E-6E3CBAE17748}" destId="{DB1F4397-4D36-CA49-A37A-BA4F5F985655}" srcOrd="0" destOrd="0" parTransId="{1B518546-83A5-3947-AF96-49910F94A0DC}" sibTransId="{20A9BF32-8F1B-6346-8C43-70D05D8D763C}"/>
    <dgm:cxn modelId="{3C47F5D8-6235-024A-82A6-492193E9E948}" type="presOf" srcId="{1AE89E70-69DF-475C-B599-0BF288688E1C}" destId="{0350FC72-99E5-6C49-8A8A-88B9F013C371}" srcOrd="0" destOrd="0" presId="urn:microsoft.com/office/officeart/2005/8/layout/process1"/>
    <dgm:cxn modelId="{5C5313E1-91AF-4248-A1E5-773867E9C137}" type="presOf" srcId="{B254A11A-3C70-4EA9-9071-C4EAB8541287}" destId="{6236881A-3CFD-154D-83B7-2513D52FBF9B}" srcOrd="0" destOrd="0" presId="urn:microsoft.com/office/officeart/2005/8/layout/process1"/>
    <dgm:cxn modelId="{C3E26AEE-6974-F842-B1F2-4493401E22BF}" type="presOf" srcId="{223B305D-8DD3-EF4E-A753-FF30AAD99B8C}" destId="{0350FC72-99E5-6C49-8A8A-88B9F013C371}" srcOrd="0" destOrd="1" presId="urn:microsoft.com/office/officeart/2005/8/layout/process1"/>
    <dgm:cxn modelId="{95B350EF-FC84-2349-817D-0807B78A777A}" type="presOf" srcId="{DB1F4397-4D36-CA49-A37A-BA4F5F985655}" destId="{E8CF1091-FD2C-F846-8CD7-09ADED924C50}" srcOrd="0" destOrd="1" presId="urn:microsoft.com/office/officeart/2005/8/layout/process1"/>
    <dgm:cxn modelId="{363F53F6-9ED8-6446-9EAC-786ECCE4A715}" srcId="{7E6A8143-A3F7-4CD0-BB66-0B6546003919}" destId="{342D85D6-E029-CF41-98D5-C03BE53B9DCA}" srcOrd="0" destOrd="0" parTransId="{5A21683B-9E84-C048-9BCE-53A4C58E9E60}" sibTransId="{294E2CE6-8EE7-374C-BB6C-B9E17ABB269A}"/>
    <dgm:cxn modelId="{F2B835C3-20C2-FE46-91B1-219D82FC6FA0}" type="presParOf" srcId="{59AC69DF-83CC-4B45-B6F9-07CBE46970D8}" destId="{0350FC72-99E5-6C49-8A8A-88B9F013C371}" srcOrd="0" destOrd="0" presId="urn:microsoft.com/office/officeart/2005/8/layout/process1"/>
    <dgm:cxn modelId="{B4EB0E85-DA97-8B4F-BB24-5B6A3DEEF3C2}" type="presParOf" srcId="{59AC69DF-83CC-4B45-B6F9-07CBE46970D8}" destId="{6236881A-3CFD-154D-83B7-2513D52FBF9B}" srcOrd="1" destOrd="0" presId="urn:microsoft.com/office/officeart/2005/8/layout/process1"/>
    <dgm:cxn modelId="{7FC2B9B3-B472-4C49-9122-AECDAC7DF1A4}" type="presParOf" srcId="{6236881A-3CFD-154D-83B7-2513D52FBF9B}" destId="{058B1DD2-3897-E246-8EB2-086DB8C56901}" srcOrd="0" destOrd="0" presId="urn:microsoft.com/office/officeart/2005/8/layout/process1"/>
    <dgm:cxn modelId="{833005A4-C806-B840-9182-472A8ABB968E}" type="presParOf" srcId="{59AC69DF-83CC-4B45-B6F9-07CBE46970D8}" destId="{90A452F6-3C6C-344B-AD74-68FE561ACE5B}" srcOrd="2" destOrd="0" presId="urn:microsoft.com/office/officeart/2005/8/layout/process1"/>
    <dgm:cxn modelId="{E181B55B-33B1-744F-8656-3E2D1B92E67A}" type="presParOf" srcId="{59AC69DF-83CC-4B45-B6F9-07CBE46970D8}" destId="{C5BA8953-B3E6-804F-AD57-D1EABC2880A3}" srcOrd="3" destOrd="0" presId="urn:microsoft.com/office/officeart/2005/8/layout/process1"/>
    <dgm:cxn modelId="{F9A80E12-CDD5-BD4E-A3C8-5795BD6B7FF4}" type="presParOf" srcId="{C5BA8953-B3E6-804F-AD57-D1EABC2880A3}" destId="{3B2683BD-AAA7-8F47-8236-89AEB87B9A5A}" srcOrd="0" destOrd="0" presId="urn:microsoft.com/office/officeart/2005/8/layout/process1"/>
    <dgm:cxn modelId="{3A29B107-3D16-6F47-9FBD-6F34B92DA67C}" type="presParOf" srcId="{59AC69DF-83CC-4B45-B6F9-07CBE46970D8}" destId="{E8CF1091-FD2C-F846-8CD7-09ADED924C50}" srcOrd="4" destOrd="0" presId="urn:microsoft.com/office/officeart/2005/8/layout/process1"/>
    <dgm:cxn modelId="{9969B309-2132-5448-8F26-A9771402C2D9}" type="presParOf" srcId="{59AC69DF-83CC-4B45-B6F9-07CBE46970D8}" destId="{7180D741-C6CF-0D41-891A-81C91A1001D3}" srcOrd="5" destOrd="0" presId="urn:microsoft.com/office/officeart/2005/8/layout/process1"/>
    <dgm:cxn modelId="{EF7FECCD-D3E3-294A-8EB1-7E549F0E04EE}" type="presParOf" srcId="{7180D741-C6CF-0D41-891A-81C91A1001D3}" destId="{505594A0-1720-A943-9356-DAA3839A51EE}" srcOrd="0" destOrd="0" presId="urn:microsoft.com/office/officeart/2005/8/layout/process1"/>
    <dgm:cxn modelId="{BB5CD98D-BA97-E247-843C-76495AF6B9ED}" type="presParOf" srcId="{59AC69DF-83CC-4B45-B6F9-07CBE46970D8}" destId="{667A633C-314B-5B49-BFEF-C475D9114840}"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50FC72-99E5-6C49-8A8A-88B9F013C371}">
      <dsp:nvSpPr>
        <dsp:cNvPr id="0" name=""/>
        <dsp:cNvSpPr/>
      </dsp:nvSpPr>
      <dsp:spPr>
        <a:xfrm>
          <a:off x="2611" y="135390"/>
          <a:ext cx="1141995" cy="15865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solidFill>
                <a:srgbClr val="FF0000"/>
              </a:solidFill>
            </a:rPr>
            <a:t>Medical Conditions</a:t>
          </a:r>
        </a:p>
        <a:p>
          <a:pPr marL="57150" lvl="1" indent="-57150" algn="l" defTabSz="400050">
            <a:lnSpc>
              <a:spcPct val="90000"/>
            </a:lnSpc>
            <a:spcBef>
              <a:spcPct val="0"/>
            </a:spcBef>
            <a:spcAft>
              <a:spcPct val="15000"/>
            </a:spcAft>
            <a:buChar char="•"/>
          </a:pPr>
          <a:r>
            <a:rPr lang="en-US" sz="900" kern="1200">
              <a:solidFill>
                <a:srgbClr val="FF0000"/>
              </a:solidFill>
            </a:rPr>
            <a:t>Diabetes</a:t>
          </a:r>
        </a:p>
        <a:p>
          <a:pPr marL="57150" lvl="1" indent="-57150" algn="l" defTabSz="400050">
            <a:lnSpc>
              <a:spcPct val="90000"/>
            </a:lnSpc>
            <a:spcBef>
              <a:spcPct val="0"/>
            </a:spcBef>
            <a:spcAft>
              <a:spcPct val="15000"/>
            </a:spcAft>
            <a:buChar char="•"/>
          </a:pPr>
          <a:r>
            <a:rPr lang="en-US" sz="900" kern="1200">
              <a:solidFill>
                <a:srgbClr val="FF0000"/>
              </a:solidFill>
            </a:rPr>
            <a:t>Hypertension</a:t>
          </a:r>
        </a:p>
        <a:p>
          <a:pPr marL="57150" lvl="1" indent="-57150" algn="l" defTabSz="400050">
            <a:lnSpc>
              <a:spcPct val="90000"/>
            </a:lnSpc>
            <a:spcBef>
              <a:spcPct val="0"/>
            </a:spcBef>
            <a:spcAft>
              <a:spcPct val="15000"/>
            </a:spcAft>
            <a:buChar char="•"/>
          </a:pPr>
          <a:r>
            <a:rPr lang="en-US" sz="900" kern="1200">
              <a:solidFill>
                <a:srgbClr val="FF0000"/>
              </a:solidFill>
            </a:rPr>
            <a:t>Hyperlipidemia</a:t>
          </a:r>
        </a:p>
      </dsp:txBody>
      <dsp:txXfrm>
        <a:off x="36059" y="168838"/>
        <a:ext cx="1075099" cy="1519630"/>
      </dsp:txXfrm>
    </dsp:sp>
    <dsp:sp modelId="{6236881A-3CFD-154D-83B7-2513D52FBF9B}">
      <dsp:nvSpPr>
        <dsp:cNvPr id="0" name=""/>
        <dsp:cNvSpPr/>
      </dsp:nvSpPr>
      <dsp:spPr>
        <a:xfrm>
          <a:off x="1258806" y="787046"/>
          <a:ext cx="242103" cy="2832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1258806" y="843689"/>
        <a:ext cx="169472" cy="169928"/>
      </dsp:txXfrm>
    </dsp:sp>
    <dsp:sp modelId="{90A452F6-3C6C-344B-AD74-68FE561ACE5B}">
      <dsp:nvSpPr>
        <dsp:cNvPr id="0" name=""/>
        <dsp:cNvSpPr/>
      </dsp:nvSpPr>
      <dsp:spPr>
        <a:xfrm>
          <a:off x="1601405" y="135390"/>
          <a:ext cx="1141995" cy="15865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solidFill>
                <a:srgbClr val="FF0000"/>
              </a:solidFill>
            </a:rPr>
            <a:t>Treatment with Medications</a:t>
          </a:r>
        </a:p>
        <a:p>
          <a:pPr marL="57150" lvl="1" indent="-57150" algn="l" defTabSz="400050">
            <a:lnSpc>
              <a:spcPct val="90000"/>
            </a:lnSpc>
            <a:spcBef>
              <a:spcPct val="0"/>
            </a:spcBef>
            <a:spcAft>
              <a:spcPct val="15000"/>
            </a:spcAft>
            <a:buChar char="•"/>
          </a:pPr>
          <a:r>
            <a:rPr lang="en-US" sz="900" kern="1200">
              <a:solidFill>
                <a:srgbClr val="FF0000"/>
              </a:solidFill>
            </a:rPr>
            <a:t>Antihyperglycemic agents</a:t>
          </a:r>
        </a:p>
        <a:p>
          <a:pPr marL="57150" lvl="1" indent="-57150" algn="l" defTabSz="400050">
            <a:lnSpc>
              <a:spcPct val="90000"/>
            </a:lnSpc>
            <a:spcBef>
              <a:spcPct val="0"/>
            </a:spcBef>
            <a:spcAft>
              <a:spcPct val="15000"/>
            </a:spcAft>
            <a:buChar char="•"/>
          </a:pPr>
          <a:r>
            <a:rPr lang="en-US" sz="900" kern="1200">
              <a:solidFill>
                <a:srgbClr val="FF0000"/>
              </a:solidFill>
            </a:rPr>
            <a:t>Renin-angiotensin system antagonists</a:t>
          </a:r>
        </a:p>
        <a:p>
          <a:pPr marL="57150" lvl="1" indent="-57150" algn="l" defTabSz="400050">
            <a:lnSpc>
              <a:spcPct val="90000"/>
            </a:lnSpc>
            <a:spcBef>
              <a:spcPct val="0"/>
            </a:spcBef>
            <a:spcAft>
              <a:spcPct val="15000"/>
            </a:spcAft>
            <a:buChar char="•"/>
          </a:pPr>
          <a:r>
            <a:rPr lang="en-US" sz="900" kern="1200">
              <a:solidFill>
                <a:srgbClr val="FF0000"/>
              </a:solidFill>
            </a:rPr>
            <a:t>Statins</a:t>
          </a:r>
        </a:p>
      </dsp:txBody>
      <dsp:txXfrm>
        <a:off x="1634853" y="168838"/>
        <a:ext cx="1075099" cy="1519630"/>
      </dsp:txXfrm>
    </dsp:sp>
    <dsp:sp modelId="{C5BA8953-B3E6-804F-AD57-D1EABC2880A3}">
      <dsp:nvSpPr>
        <dsp:cNvPr id="0" name=""/>
        <dsp:cNvSpPr/>
      </dsp:nvSpPr>
      <dsp:spPr>
        <a:xfrm>
          <a:off x="2857600" y="787046"/>
          <a:ext cx="242103" cy="2832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2857600" y="843689"/>
        <a:ext cx="169472" cy="169928"/>
      </dsp:txXfrm>
    </dsp:sp>
    <dsp:sp modelId="{E8CF1091-FD2C-F846-8CD7-09ADED924C50}">
      <dsp:nvSpPr>
        <dsp:cNvPr id="0" name=""/>
        <dsp:cNvSpPr/>
      </dsp:nvSpPr>
      <dsp:spPr>
        <a:xfrm>
          <a:off x="3200199" y="135390"/>
          <a:ext cx="1141995" cy="15865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solidFill>
                <a:srgbClr val="FF0000"/>
              </a:solidFill>
            </a:rPr>
            <a:t>Medication Adherence</a:t>
          </a:r>
        </a:p>
        <a:p>
          <a:pPr marL="57150" lvl="1" indent="-57150" algn="l" defTabSz="400050">
            <a:lnSpc>
              <a:spcPct val="90000"/>
            </a:lnSpc>
            <a:spcBef>
              <a:spcPct val="0"/>
            </a:spcBef>
            <a:spcAft>
              <a:spcPct val="15000"/>
            </a:spcAft>
            <a:buChar char="•"/>
          </a:pPr>
          <a:r>
            <a:rPr lang="en-US" sz="900" kern="1200">
              <a:solidFill>
                <a:srgbClr val="FF0000"/>
              </a:solidFill>
            </a:rPr>
            <a:t>Proportion of Days covered ≥80%</a:t>
          </a:r>
        </a:p>
      </dsp:txBody>
      <dsp:txXfrm>
        <a:off x="3233647" y="168838"/>
        <a:ext cx="1075099" cy="1519630"/>
      </dsp:txXfrm>
    </dsp:sp>
    <dsp:sp modelId="{7180D741-C6CF-0D41-891A-81C91A1001D3}">
      <dsp:nvSpPr>
        <dsp:cNvPr id="0" name=""/>
        <dsp:cNvSpPr/>
      </dsp:nvSpPr>
      <dsp:spPr>
        <a:xfrm>
          <a:off x="4456394" y="787046"/>
          <a:ext cx="242103" cy="28321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4456394" y="843689"/>
        <a:ext cx="169472" cy="169928"/>
      </dsp:txXfrm>
    </dsp:sp>
    <dsp:sp modelId="{667A633C-314B-5B49-BFEF-C475D9114840}">
      <dsp:nvSpPr>
        <dsp:cNvPr id="0" name=""/>
        <dsp:cNvSpPr/>
      </dsp:nvSpPr>
      <dsp:spPr>
        <a:xfrm>
          <a:off x="4798992" y="135390"/>
          <a:ext cx="1141995" cy="158652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kern="1200">
              <a:solidFill>
                <a:srgbClr val="FF0000"/>
              </a:solidFill>
            </a:rPr>
            <a:t>Improved Clinical Outcomes &amp; Lower Healthcare Costs</a:t>
          </a:r>
        </a:p>
        <a:p>
          <a:pPr marL="57150" lvl="1" indent="-57150" algn="l" defTabSz="400050">
            <a:lnSpc>
              <a:spcPct val="90000"/>
            </a:lnSpc>
            <a:spcBef>
              <a:spcPct val="0"/>
            </a:spcBef>
            <a:spcAft>
              <a:spcPct val="15000"/>
            </a:spcAft>
            <a:buChar char="•"/>
          </a:pPr>
          <a:r>
            <a:rPr lang="en-US" sz="900" kern="1200">
              <a:solidFill>
                <a:srgbClr val="FF0000"/>
              </a:solidFill>
            </a:rPr>
            <a:t>e.g., decreased A1C, major cardiovascular events, emergency department visits, hospitizations</a:t>
          </a:r>
        </a:p>
      </dsp:txBody>
      <dsp:txXfrm>
        <a:off x="4832440" y="168838"/>
        <a:ext cx="1075099" cy="151963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Berkeley-Book">
    <w:altName w:val="Cambria"/>
    <w:panose1 w:val="00000000000000000000"/>
    <w:charset w:val="00"/>
    <w:family w:val="roman"/>
    <w:notTrueType/>
    <w:pitch w:val="default"/>
    <w:sig w:usb0="00000003" w:usb1="00000000" w:usb2="00000000" w:usb3="00000000" w:csb0="00000001" w:csb1="00000000"/>
  </w:font>
  <w:font w:name="AdvOT3f82cb7c">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1680F"/>
    <w:rsid w:val="00026B55"/>
    <w:rsid w:val="00160241"/>
    <w:rsid w:val="001F47A0"/>
    <w:rsid w:val="0023253C"/>
    <w:rsid w:val="0028277B"/>
    <w:rsid w:val="002B5F47"/>
    <w:rsid w:val="0036723B"/>
    <w:rsid w:val="003A1E4B"/>
    <w:rsid w:val="00455EB5"/>
    <w:rsid w:val="00461C1C"/>
    <w:rsid w:val="004E2027"/>
    <w:rsid w:val="004E6B2F"/>
    <w:rsid w:val="004F5102"/>
    <w:rsid w:val="005F21F3"/>
    <w:rsid w:val="006161D9"/>
    <w:rsid w:val="00746068"/>
    <w:rsid w:val="008F6A9B"/>
    <w:rsid w:val="00A77B15"/>
    <w:rsid w:val="00AD30A6"/>
    <w:rsid w:val="00BE0F2D"/>
    <w:rsid w:val="00C03643"/>
    <w:rsid w:val="00C15369"/>
    <w:rsid w:val="00C2797F"/>
    <w:rsid w:val="00C80225"/>
    <w:rsid w:val="00D228C9"/>
    <w:rsid w:val="00D2552B"/>
    <w:rsid w:val="00D75B64"/>
    <w:rsid w:val="00DB5324"/>
    <w:rsid w:val="00DD57CC"/>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C6C5DB-BF60-4354-BBB6-EA0DEE4E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4217</Words>
  <Characters>24038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Lisa Hines</cp:lastModifiedBy>
  <cp:revision>4</cp:revision>
  <cp:lastPrinted>2019-04-09T00:12:00Z</cp:lastPrinted>
  <dcterms:created xsi:type="dcterms:W3CDTF">2019-04-09T00:11:00Z</dcterms:created>
  <dcterms:modified xsi:type="dcterms:W3CDTF">2019-04-09T00:15:00Z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