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ABB70F"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369A9843" w14:textId="77777777" w:rsidR="00496AF8" w:rsidRPr="00496AF8" w:rsidRDefault="00496AF8" w:rsidP="002E2177">
      <w:pPr>
        <w:ind w:left="0" w:firstLine="0"/>
        <w:rPr>
          <w:noProof/>
        </w:rPr>
      </w:pPr>
    </w:p>
    <w:p w14:paraId="63D005B3"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14:paraId="3E77892E"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9755D9">
            <w:rPr>
              <w:rStyle w:val="Style1"/>
            </w:rPr>
            <w:t xml:space="preserve">Rheumatoid Arthritis: </w:t>
          </w:r>
          <w:r w:rsidR="000B70C4">
            <w:rPr>
              <w:rStyle w:val="Style1"/>
            </w:rPr>
            <w:t>Assessment of Disease Activity</w:t>
          </w:r>
        </w:sdtContent>
      </w:sdt>
    </w:p>
    <w:p w14:paraId="0AD68BCC"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3BDBBAB" w14:textId="77777777" w:rsidR="00114848" w:rsidRPr="003B1CC5" w:rsidRDefault="00114848" w:rsidP="002E2177">
      <w:pPr>
        <w:ind w:left="0" w:firstLine="0"/>
        <w:rPr>
          <w:b/>
          <w:noProof/>
        </w:rPr>
      </w:pPr>
    </w:p>
    <w:p w14:paraId="00D56F8F"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2-14T00:00:00Z">
            <w:dateFormat w:val="M/d/yyyy"/>
            <w:lid w:val="en-US"/>
            <w:storeMappedDataAs w:val="dateTime"/>
            <w:calendar w:val="gregorian"/>
          </w:date>
        </w:sdtPr>
        <w:sdtEndPr>
          <w:rPr>
            <w:rStyle w:val="DefaultParagraphFont"/>
            <w:noProof/>
            <w:color w:val="auto"/>
            <w:u w:val="none"/>
          </w:rPr>
        </w:sdtEndPr>
        <w:sdtContent>
          <w:r w:rsidR="009755D9">
            <w:rPr>
              <w:rStyle w:val="Style2"/>
            </w:rPr>
            <w:t>2/14/2014</w:t>
          </w:r>
        </w:sdtContent>
      </w:sdt>
    </w:p>
    <w:p w14:paraId="17256BA9"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529CC36D" w14:textId="77777777" w:rsidTr="00176E60">
        <w:trPr>
          <w:jc w:val="center"/>
        </w:trPr>
        <w:tc>
          <w:tcPr>
            <w:tcW w:w="9576" w:type="dxa"/>
          </w:tcPr>
          <w:p w14:paraId="119FFA68"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415615C0"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1E8D3E2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2B9646C5"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3F25BCEC"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25CD7CE8"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73D9B95"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71869205"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14:paraId="6301FEF1"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4B52C73A" w14:textId="77777777" w:rsidTr="00176E60">
        <w:trPr>
          <w:jc w:val="center"/>
        </w:trPr>
        <w:tc>
          <w:tcPr>
            <w:tcW w:w="9576" w:type="dxa"/>
          </w:tcPr>
          <w:p w14:paraId="5E9E554A"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7B3AEDBE" w14:textId="77777777" w:rsidR="008659ED" w:rsidRPr="003B1CC5" w:rsidRDefault="008659ED" w:rsidP="008659ED">
            <w:pPr>
              <w:ind w:left="90" w:hanging="90"/>
              <w:rPr>
                <w:sz w:val="20"/>
                <w:szCs w:val="20"/>
              </w:rPr>
            </w:pPr>
            <w:bookmarkStart w:id="0" w:name="Note2"/>
            <w:bookmarkEnd w:id="0"/>
          </w:p>
          <w:p w14:paraId="1EBF8783"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4BE7F3D"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0B24080D"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005599BE"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6EF7B848"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30658D1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42E22849"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79304132" w14:textId="77777777" w:rsidR="00CB1E41" w:rsidRPr="003B1CC5" w:rsidRDefault="00CB1E41" w:rsidP="008659ED">
            <w:pPr>
              <w:autoSpaceDE w:val="0"/>
              <w:autoSpaceDN w:val="0"/>
              <w:adjustRightInd w:val="0"/>
              <w:rPr>
                <w:rFonts w:eastAsia="Calibri" w:cs="Calibri"/>
                <w:b/>
                <w:bCs/>
                <w:iCs/>
                <w:sz w:val="18"/>
              </w:rPr>
            </w:pPr>
          </w:p>
          <w:p w14:paraId="4B4222B5"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433A6A3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309D8D6"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1BD05233"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21EE3ACE"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41B1E678"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60E360BC"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0E02EFA8" w14:textId="77777777" w:rsidR="00496AF8" w:rsidRPr="003B1CC5" w:rsidRDefault="00BC384F"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67515D">
            <w:rPr>
              <w:rStyle w:val="Style2"/>
              <w:rFonts w:cstheme="minorHAnsi"/>
            </w:rPr>
            <w:t>Rheumatoid Arthritis Disease Activity</w:t>
          </w:r>
        </w:sdtContent>
      </w:sdt>
    </w:p>
    <w:p w14:paraId="21B0ADF7" w14:textId="77777777" w:rsidR="00236F87" w:rsidRPr="003B1CC5" w:rsidRDefault="00BC384F"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dtPr>
        <w:sdtEndPr>
          <w:rPr>
            <w:rStyle w:val="DefaultParagraphFont"/>
            <w:rFonts w:cstheme="minorBidi"/>
            <w:color w:val="auto"/>
            <w:u w:val="none"/>
          </w:rPr>
        </w:sdtEndPr>
        <w:sdtContent>
          <w:r w:rsidR="007379E6">
            <w:rPr>
              <w:rStyle w:val="Style2"/>
              <w:rFonts w:cstheme="minorHAnsi"/>
            </w:rPr>
            <w:t>All</w:t>
          </w:r>
          <w:r w:rsidR="0067515D">
            <w:rPr>
              <w:rStyle w:val="Style2"/>
              <w:rFonts w:cstheme="minorHAnsi"/>
            </w:rPr>
            <w:t xml:space="preserve"> have a patient-reported component</w:t>
          </w:r>
        </w:sdtContent>
      </w:sdt>
    </w:p>
    <w:p w14:paraId="120E9D79"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55BBDC09" w14:textId="77777777" w:rsidR="00496AF8" w:rsidRPr="003B1CC5" w:rsidRDefault="00BC384F"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22F51E23" w14:textId="77777777" w:rsidR="00496AF8" w:rsidRPr="003B1CC5" w:rsidRDefault="00BC384F"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9755D9">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9755D9">
            <w:rPr>
              <w:rStyle w:val="Style2"/>
              <w:rFonts w:cstheme="minorHAnsi"/>
            </w:rPr>
            <w:t xml:space="preserve">Rheumatoid Arthritis: </w:t>
          </w:r>
          <w:r w:rsidR="000B70C4">
            <w:rPr>
              <w:rStyle w:val="Style2"/>
              <w:rFonts w:cstheme="minorHAnsi"/>
            </w:rPr>
            <w:t>Assessment of Disease Activity</w:t>
          </w:r>
          <w:r w:rsidR="0067515D">
            <w:rPr>
              <w:rStyle w:val="Style2"/>
              <w:rFonts w:cstheme="minorHAnsi"/>
            </w:rPr>
            <w:t xml:space="preserve"> (collection of outcome score)</w:t>
          </w:r>
        </w:sdtContent>
      </w:sdt>
    </w:p>
    <w:p w14:paraId="3091E887" w14:textId="77777777" w:rsidR="00496AF8" w:rsidRPr="003B1CC5" w:rsidRDefault="00BC384F"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68924547" w14:textId="77777777" w:rsidR="00496AF8" w:rsidRPr="003B1CC5" w:rsidRDefault="00BC384F" w:rsidP="00CD0A29">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4E78A483" w14:textId="77777777" w:rsidR="003A6407" w:rsidRDefault="003A6407" w:rsidP="002E2177">
      <w:pPr>
        <w:ind w:left="0" w:firstLine="0"/>
        <w:rPr>
          <w:b/>
          <w:iCs/>
          <w:caps/>
        </w:rPr>
      </w:pPr>
    </w:p>
    <w:p w14:paraId="054C08C4" w14:textId="5F40555E" w:rsidR="003A6407" w:rsidRDefault="003A6407" w:rsidP="003A6407">
      <w:pPr>
        <w:ind w:left="0" w:firstLine="0"/>
      </w:pPr>
      <w:r w:rsidRPr="0067515D">
        <w:t>The proposed measure</w:t>
      </w:r>
      <w:r>
        <w:t xml:space="preserve"> is a </w:t>
      </w:r>
      <w:r w:rsidRPr="0067515D">
        <w:rPr>
          <w:i/>
        </w:rPr>
        <w:t>process</w:t>
      </w:r>
      <w:r>
        <w:t xml:space="preserve"> measure that requires collection of a key </w:t>
      </w:r>
      <w:r w:rsidRPr="0067515D">
        <w:rPr>
          <w:i/>
        </w:rPr>
        <w:t>health outcome</w:t>
      </w:r>
      <w:r>
        <w:rPr>
          <w:i/>
        </w:rPr>
        <w:t xml:space="preserve"> </w:t>
      </w:r>
      <w:r>
        <w:t>using a standardized score.  Collecting this outcome measure in routine clinical care is supported by American College of Rheumatology (ACR) guidelines (</w:t>
      </w:r>
      <w:r w:rsidR="008604FF">
        <w:rPr>
          <w:i/>
        </w:rPr>
        <w:t>Singh J et al.</w:t>
      </w:r>
      <w:r w:rsidRPr="005A195C">
        <w:rPr>
          <w:i/>
        </w:rPr>
        <w:t xml:space="preserve"> 2012 update of the 2008 American College of Rheumatology recommendations for the use of disease-modifying </w:t>
      </w:r>
      <w:proofErr w:type="spellStart"/>
      <w:r w:rsidRPr="005A195C">
        <w:rPr>
          <w:i/>
        </w:rPr>
        <w:t>antirheumatic</w:t>
      </w:r>
      <w:proofErr w:type="spellEnd"/>
      <w:r w:rsidRPr="005A195C">
        <w:rPr>
          <w:i/>
        </w:rPr>
        <w:t xml:space="preserve"> drugs and biologic agents in the treatment of rheumatoid arthritis. </w:t>
      </w:r>
      <w:proofErr w:type="gramStart"/>
      <w:r w:rsidRPr="005A195C">
        <w:rPr>
          <w:i/>
        </w:rPr>
        <w:t>Arthritis Care Res (Hoboken).</w:t>
      </w:r>
      <w:proofErr w:type="gramEnd"/>
      <w:r w:rsidRPr="005A195C">
        <w:rPr>
          <w:i/>
        </w:rPr>
        <w:t xml:space="preserve"> 2012 May</w:t>
      </w:r>
      <w:proofErr w:type="gramStart"/>
      <w:r w:rsidRPr="005A195C">
        <w:rPr>
          <w:i/>
        </w:rPr>
        <w:t>;64</w:t>
      </w:r>
      <w:proofErr w:type="gramEnd"/>
      <w:r w:rsidRPr="005A195C">
        <w:rPr>
          <w:i/>
        </w:rPr>
        <w:t>(5):625-39</w:t>
      </w:r>
      <w:r>
        <w:t xml:space="preserve">). </w:t>
      </w:r>
    </w:p>
    <w:p w14:paraId="50F8EC24" w14:textId="77777777" w:rsidR="003A6407" w:rsidRDefault="003A6407" w:rsidP="003A6407">
      <w:pPr>
        <w:ind w:left="0" w:firstLine="0"/>
      </w:pPr>
    </w:p>
    <w:p w14:paraId="78880FF8" w14:textId="1DC0854A" w:rsidR="003A6407" w:rsidRDefault="003A6407" w:rsidP="003A6407">
      <w:pPr>
        <w:ind w:left="0" w:firstLine="0"/>
      </w:pPr>
      <w:r>
        <w:t>The ACR recently undertook an extensive multi-year project, involving systematic literature reviews, expert consensus ratings, and national surveys to reach consensus on which RA disease activity measures are valid, reliable, and responsive, and feasible to implement in routine clinical practice (</w:t>
      </w:r>
      <w:r w:rsidRPr="00192E71">
        <w:rPr>
          <w:i/>
        </w:rPr>
        <w:t>Anderson J et al.,</w:t>
      </w:r>
      <w:r>
        <w:rPr>
          <w:i/>
        </w:rPr>
        <w:t xml:space="preserve"> </w:t>
      </w:r>
      <w:r w:rsidRPr="00192E71">
        <w:rPr>
          <w:i/>
        </w:rPr>
        <w:t xml:space="preserve">Rheumatoid arthritis disease activity measures: American College of Rheumatology recommendations for use in clinical practice.  </w:t>
      </w:r>
      <w:proofErr w:type="gramStart"/>
      <w:r w:rsidRPr="00192E71">
        <w:rPr>
          <w:i/>
        </w:rPr>
        <w:t>Arthritis Care Res (Hoboken).</w:t>
      </w:r>
      <w:proofErr w:type="gramEnd"/>
      <w:r w:rsidRPr="00192E71">
        <w:rPr>
          <w:i/>
        </w:rPr>
        <w:t xml:space="preserve"> 2012 May</w:t>
      </w:r>
      <w:proofErr w:type="gramStart"/>
      <w:r w:rsidRPr="00192E71">
        <w:rPr>
          <w:i/>
        </w:rPr>
        <w:t>;64</w:t>
      </w:r>
      <w:proofErr w:type="gramEnd"/>
      <w:r w:rsidRPr="00192E71">
        <w:rPr>
          <w:i/>
        </w:rPr>
        <w:t>(5):640-7</w:t>
      </w:r>
      <w:r>
        <w:t xml:space="preserve">).  This </w:t>
      </w:r>
      <w:r w:rsidR="00DB54CD">
        <w:t>m</w:t>
      </w:r>
      <w:r>
        <w:t>anuscript is included as a supplemental Appendix.</w:t>
      </w:r>
    </w:p>
    <w:p w14:paraId="16D996B5" w14:textId="77777777" w:rsidR="003A6407" w:rsidRDefault="003A6407" w:rsidP="003A6407">
      <w:pPr>
        <w:ind w:left="0" w:firstLine="0"/>
      </w:pPr>
    </w:p>
    <w:p w14:paraId="347749BD" w14:textId="77777777" w:rsidR="003A6407" w:rsidRDefault="003A6407" w:rsidP="003A6407">
      <w:pPr>
        <w:ind w:left="0" w:firstLine="0"/>
      </w:pPr>
      <w:proofErr w:type="gramStart"/>
      <w:r>
        <w:t>The ACR-endorse</w:t>
      </w:r>
      <w:r w:rsidR="007379E6">
        <w:t>d 6 RA disease activity measurement tools</w:t>
      </w:r>
      <w:r>
        <w:t>, which include overlapping core elements (Figure 1).</w:t>
      </w:r>
      <w:proofErr w:type="gramEnd"/>
      <w:r>
        <w:t xml:space="preserve">  All include a patient-reported component (PRO).  No measure is currently a gold standard; there is good scientific evidence supporting each endorsed measure.  Therefore, clinicians can select from a range of valid options appropriate to their practice settings and available resources. This novel approach to measurement has been extensively validated in RA over a period of several decades</w:t>
      </w:r>
      <w:r w:rsidR="007379E6">
        <w:t xml:space="preserve"> (</w:t>
      </w:r>
      <w:r w:rsidR="007379E6" w:rsidRPr="00192E71">
        <w:rPr>
          <w:i/>
        </w:rPr>
        <w:t>Anderson J et al.,</w:t>
      </w:r>
      <w:r w:rsidR="007379E6">
        <w:rPr>
          <w:i/>
        </w:rPr>
        <w:t xml:space="preserve"> </w:t>
      </w:r>
      <w:r w:rsidR="007379E6" w:rsidRPr="00192E71">
        <w:rPr>
          <w:i/>
        </w:rPr>
        <w:t xml:space="preserve">Rheumatoid arthritis disease activity measures: American College of Rheumatology recommendations for use in clinical practice.  </w:t>
      </w:r>
      <w:proofErr w:type="gramStart"/>
      <w:r w:rsidR="007379E6" w:rsidRPr="00192E71">
        <w:rPr>
          <w:i/>
        </w:rPr>
        <w:t>Arthritis Care Res (Hoboken).</w:t>
      </w:r>
      <w:proofErr w:type="gramEnd"/>
      <w:r w:rsidR="007379E6" w:rsidRPr="00192E71">
        <w:rPr>
          <w:i/>
        </w:rPr>
        <w:t xml:space="preserve"> 2012 May</w:t>
      </w:r>
      <w:proofErr w:type="gramStart"/>
      <w:r w:rsidR="007379E6" w:rsidRPr="00192E71">
        <w:rPr>
          <w:i/>
        </w:rPr>
        <w:t>;64</w:t>
      </w:r>
      <w:proofErr w:type="gramEnd"/>
      <w:r w:rsidR="007379E6" w:rsidRPr="00192E71">
        <w:rPr>
          <w:i/>
        </w:rPr>
        <w:t>(5):640-7</w:t>
      </w:r>
      <w:r w:rsidR="007379E6">
        <w:rPr>
          <w:i/>
        </w:rPr>
        <w:t>)</w:t>
      </w:r>
      <w:r>
        <w:t>.</w:t>
      </w:r>
    </w:p>
    <w:p w14:paraId="5F54A309" w14:textId="77777777" w:rsidR="003A6407" w:rsidRDefault="003A6407" w:rsidP="003A6407"/>
    <w:p w14:paraId="4CFF8622" w14:textId="77777777" w:rsidR="003A6407" w:rsidRDefault="003A6407" w:rsidP="003A6407">
      <w:pPr>
        <w:ind w:left="0" w:firstLine="0"/>
        <w:rPr>
          <w:b/>
        </w:rPr>
      </w:pPr>
      <w:r w:rsidRPr="003A6407">
        <w:rPr>
          <w:b/>
          <w:noProof/>
        </w:rPr>
        <w:drawing>
          <wp:anchor distT="0" distB="0" distL="114300" distR="114300" simplePos="0" relativeHeight="251659264" behindDoc="0" locked="0" layoutInCell="1" allowOverlap="1" wp14:anchorId="7261B322" wp14:editId="292209D4">
            <wp:simplePos x="0" y="0"/>
            <wp:positionH relativeFrom="column">
              <wp:posOffset>800100</wp:posOffset>
            </wp:positionH>
            <wp:positionV relativeFrom="paragraph">
              <wp:posOffset>251460</wp:posOffset>
            </wp:positionV>
            <wp:extent cx="2628900" cy="1654810"/>
            <wp:effectExtent l="0" t="0" r="12700" b="0"/>
            <wp:wrapTopAndBottom/>
            <wp:docPr id="1" name="Picture 1" descr="Macintosh HD:Users:jinoosyazdany:Desktop:Screen Shot 2014-02-27 at 11.39.5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inoosyazdany:Desktop:Screen Shot 2014-02-27 at 11.39.59 P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28900" cy="1654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6407">
        <w:rPr>
          <w:b/>
        </w:rPr>
        <w:t xml:space="preserve">Figure 1.  Core elements of American College of Rheumatology’s endorsed rheumatoid arthritis </w:t>
      </w:r>
    </w:p>
    <w:p w14:paraId="01C9957B" w14:textId="77777777" w:rsidR="00A51C05" w:rsidRDefault="00A51C05" w:rsidP="002E2177">
      <w:pPr>
        <w:ind w:left="0" w:firstLine="0"/>
        <w:rPr>
          <w:iCs/>
        </w:rPr>
      </w:pPr>
    </w:p>
    <w:p w14:paraId="2D783BF8" w14:textId="77777777" w:rsidR="003A6407" w:rsidRDefault="00A51C05" w:rsidP="002E2177">
      <w:pPr>
        <w:ind w:left="0" w:firstLine="0"/>
        <w:rPr>
          <w:iCs/>
        </w:rPr>
      </w:pPr>
      <w:r>
        <w:rPr>
          <w:iCs/>
        </w:rPr>
        <w:t xml:space="preserve">The 6 proposed outcome measures have </w:t>
      </w:r>
      <w:proofErr w:type="spellStart"/>
      <w:r>
        <w:rPr>
          <w:iCs/>
        </w:rPr>
        <w:t>cutpoints</w:t>
      </w:r>
      <w:proofErr w:type="spellEnd"/>
      <w:r>
        <w:rPr>
          <w:iCs/>
        </w:rPr>
        <w:t xml:space="preserve"> for low, moderate and high disease activity as well as disease remission to facilitate clinic</w:t>
      </w:r>
      <w:r w:rsidR="007379E6">
        <w:rPr>
          <w:iCs/>
        </w:rPr>
        <w:t>al decision-making.  See Table 1</w:t>
      </w:r>
      <w:r>
        <w:rPr>
          <w:iCs/>
        </w:rPr>
        <w:t xml:space="preserve">.  </w:t>
      </w:r>
    </w:p>
    <w:p w14:paraId="78A159FB" w14:textId="77777777" w:rsidR="00A51C05" w:rsidRDefault="00A51C05" w:rsidP="002E2177">
      <w:pPr>
        <w:ind w:left="0" w:firstLine="0"/>
        <w:rPr>
          <w:iCs/>
        </w:rPr>
      </w:pPr>
    </w:p>
    <w:p w14:paraId="6105EE90" w14:textId="77777777" w:rsidR="00A51C05" w:rsidRDefault="00A51C05" w:rsidP="002E2177">
      <w:pPr>
        <w:ind w:left="0" w:firstLine="0"/>
        <w:rPr>
          <w:iCs/>
        </w:rPr>
      </w:pPr>
    </w:p>
    <w:p w14:paraId="3B9DF83C" w14:textId="77777777" w:rsidR="00A51C05" w:rsidRPr="000B125B" w:rsidRDefault="000B125B" w:rsidP="002E2177">
      <w:pPr>
        <w:ind w:left="0" w:firstLine="0"/>
        <w:rPr>
          <w:b/>
          <w:iCs/>
        </w:rPr>
      </w:pPr>
      <w:r>
        <w:rPr>
          <w:b/>
          <w:iCs/>
        </w:rPr>
        <w:t>Table 1</w:t>
      </w:r>
      <w:r w:rsidR="00A51C05" w:rsidRPr="000B125B">
        <w:rPr>
          <w:b/>
          <w:iCs/>
        </w:rPr>
        <w:t xml:space="preserve">.  </w:t>
      </w:r>
      <w:proofErr w:type="gramStart"/>
      <w:r>
        <w:rPr>
          <w:b/>
          <w:iCs/>
        </w:rPr>
        <w:t xml:space="preserve">Disease activity </w:t>
      </w:r>
      <w:proofErr w:type="spellStart"/>
      <w:r>
        <w:rPr>
          <w:b/>
          <w:iCs/>
        </w:rPr>
        <w:t>cutpoints</w:t>
      </w:r>
      <w:proofErr w:type="spellEnd"/>
      <w:r w:rsidR="003B7711" w:rsidRPr="000B125B">
        <w:rPr>
          <w:b/>
          <w:iCs/>
        </w:rPr>
        <w:t xml:space="preserve"> for American College of Rheumatology–recommended disease activity measure</w:t>
      </w:r>
      <w:r>
        <w:rPr>
          <w:b/>
          <w:iCs/>
        </w:rPr>
        <w:t>s</w:t>
      </w:r>
      <w:r w:rsidR="003B7711" w:rsidRPr="000B125B">
        <w:rPr>
          <w:b/>
          <w:iCs/>
        </w:rPr>
        <w:t>.</w:t>
      </w:r>
      <w:proofErr w:type="gramEnd"/>
    </w:p>
    <w:p w14:paraId="1A6EDC17" w14:textId="77777777" w:rsidR="006B5840" w:rsidRDefault="006B5840" w:rsidP="002E2177">
      <w:pPr>
        <w:ind w:left="0" w:firstLine="0"/>
        <w:rPr>
          <w:iCs/>
        </w:rPr>
      </w:pPr>
    </w:p>
    <w:tbl>
      <w:tblPr>
        <w:tblW w:w="8460" w:type="dxa"/>
        <w:tblInd w:w="93" w:type="dxa"/>
        <w:tblLook w:val="04A0" w:firstRow="1" w:lastRow="0" w:firstColumn="1" w:lastColumn="0" w:noHBand="0" w:noVBand="1"/>
      </w:tblPr>
      <w:tblGrid>
        <w:gridCol w:w="2237"/>
        <w:gridCol w:w="820"/>
        <w:gridCol w:w="1235"/>
        <w:gridCol w:w="1356"/>
        <w:gridCol w:w="1436"/>
        <w:gridCol w:w="1376"/>
      </w:tblGrid>
      <w:tr w:rsidR="003B7711" w:rsidRPr="000B125B" w14:paraId="30A7BAC5" w14:textId="77777777" w:rsidTr="000B125B">
        <w:trPr>
          <w:trHeight w:val="315"/>
        </w:trPr>
        <w:tc>
          <w:tcPr>
            <w:tcW w:w="2237" w:type="dxa"/>
            <w:tcBorders>
              <w:top w:val="single" w:sz="4" w:space="0" w:color="auto"/>
              <w:left w:val="single" w:sz="4" w:space="0" w:color="auto"/>
              <w:bottom w:val="single" w:sz="4" w:space="0" w:color="auto"/>
              <w:right w:val="single" w:sz="4" w:space="0" w:color="auto"/>
            </w:tcBorders>
          </w:tcPr>
          <w:p w14:paraId="240D5532" w14:textId="77777777" w:rsidR="003B7711" w:rsidRPr="000B125B" w:rsidRDefault="003B7711" w:rsidP="00A51C05">
            <w:pPr>
              <w:ind w:left="0" w:firstLine="0"/>
              <w:rPr>
                <w:rFonts w:ascii="Calibri" w:eastAsia="Times New Roman" w:hAnsi="Calibri" w:cs="Times New Roman"/>
                <w:color w:val="000000"/>
              </w:rPr>
            </w:pP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A1EB4"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Range</w:t>
            </w:r>
          </w:p>
        </w:tc>
        <w:tc>
          <w:tcPr>
            <w:tcW w:w="1235" w:type="dxa"/>
            <w:tcBorders>
              <w:top w:val="single" w:sz="4" w:space="0" w:color="auto"/>
              <w:left w:val="nil"/>
              <w:bottom w:val="single" w:sz="4" w:space="0" w:color="auto"/>
              <w:right w:val="single" w:sz="4" w:space="0" w:color="auto"/>
            </w:tcBorders>
            <w:shd w:val="clear" w:color="000000" w:fill="92D050"/>
            <w:noWrap/>
            <w:vAlign w:val="bottom"/>
            <w:hideMark/>
          </w:tcPr>
          <w:p w14:paraId="03C8BA6F"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Remission</w:t>
            </w:r>
          </w:p>
        </w:tc>
        <w:tc>
          <w:tcPr>
            <w:tcW w:w="1356" w:type="dxa"/>
            <w:tcBorders>
              <w:top w:val="single" w:sz="4" w:space="0" w:color="auto"/>
              <w:left w:val="nil"/>
              <w:bottom w:val="single" w:sz="4" w:space="0" w:color="auto"/>
              <w:right w:val="single" w:sz="4" w:space="0" w:color="auto"/>
            </w:tcBorders>
            <w:shd w:val="clear" w:color="000000" w:fill="FFFF00"/>
            <w:noWrap/>
            <w:vAlign w:val="bottom"/>
            <w:hideMark/>
          </w:tcPr>
          <w:p w14:paraId="46A4DC09"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Low</w:t>
            </w:r>
          </w:p>
        </w:tc>
        <w:tc>
          <w:tcPr>
            <w:tcW w:w="1436" w:type="dxa"/>
            <w:tcBorders>
              <w:top w:val="single" w:sz="4" w:space="0" w:color="auto"/>
              <w:left w:val="nil"/>
              <w:bottom w:val="single" w:sz="4" w:space="0" w:color="auto"/>
              <w:right w:val="single" w:sz="4" w:space="0" w:color="auto"/>
            </w:tcBorders>
            <w:shd w:val="clear" w:color="000000" w:fill="E6B8B7"/>
            <w:noWrap/>
            <w:vAlign w:val="bottom"/>
            <w:hideMark/>
          </w:tcPr>
          <w:p w14:paraId="3D9A2973"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Moderate</w:t>
            </w:r>
          </w:p>
        </w:tc>
        <w:tc>
          <w:tcPr>
            <w:tcW w:w="1376" w:type="dxa"/>
            <w:tcBorders>
              <w:top w:val="single" w:sz="4" w:space="0" w:color="auto"/>
              <w:left w:val="nil"/>
              <w:bottom w:val="single" w:sz="4" w:space="0" w:color="auto"/>
              <w:right w:val="single" w:sz="4" w:space="0" w:color="auto"/>
            </w:tcBorders>
            <w:shd w:val="clear" w:color="000000" w:fill="FF0000"/>
            <w:noWrap/>
            <w:vAlign w:val="bottom"/>
            <w:hideMark/>
          </w:tcPr>
          <w:p w14:paraId="5E34F4FF"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High</w:t>
            </w:r>
          </w:p>
        </w:tc>
      </w:tr>
      <w:tr w:rsidR="003B7711" w:rsidRPr="000B125B" w14:paraId="00885F09" w14:textId="77777777" w:rsidTr="000B125B">
        <w:trPr>
          <w:trHeight w:val="315"/>
        </w:trPr>
        <w:tc>
          <w:tcPr>
            <w:tcW w:w="2237" w:type="dxa"/>
            <w:tcBorders>
              <w:top w:val="nil"/>
              <w:left w:val="single" w:sz="4" w:space="0" w:color="auto"/>
              <w:bottom w:val="single" w:sz="4" w:space="0" w:color="auto"/>
              <w:right w:val="single" w:sz="4" w:space="0" w:color="auto"/>
            </w:tcBorders>
          </w:tcPr>
          <w:p w14:paraId="2DB4F321" w14:textId="77777777" w:rsidR="003B7711" w:rsidRPr="000B125B" w:rsidRDefault="000B125B"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DAS28 (ESR or CRP)</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1E0117B"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0-9.4</w:t>
            </w:r>
          </w:p>
        </w:tc>
        <w:tc>
          <w:tcPr>
            <w:tcW w:w="1235" w:type="dxa"/>
            <w:tcBorders>
              <w:top w:val="nil"/>
              <w:left w:val="nil"/>
              <w:bottom w:val="single" w:sz="4" w:space="0" w:color="auto"/>
              <w:right w:val="single" w:sz="4" w:space="0" w:color="auto"/>
            </w:tcBorders>
            <w:shd w:val="clear" w:color="000000" w:fill="92D050"/>
            <w:noWrap/>
            <w:vAlign w:val="bottom"/>
            <w:hideMark/>
          </w:tcPr>
          <w:p w14:paraId="5C0B6304"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&lt; 2.6</w:t>
            </w:r>
          </w:p>
        </w:tc>
        <w:tc>
          <w:tcPr>
            <w:tcW w:w="1356" w:type="dxa"/>
            <w:tcBorders>
              <w:top w:val="nil"/>
              <w:left w:val="nil"/>
              <w:bottom w:val="single" w:sz="4" w:space="0" w:color="auto"/>
              <w:right w:val="single" w:sz="4" w:space="0" w:color="auto"/>
            </w:tcBorders>
            <w:shd w:val="clear" w:color="000000" w:fill="FFFF00"/>
            <w:noWrap/>
            <w:vAlign w:val="bottom"/>
            <w:hideMark/>
          </w:tcPr>
          <w:p w14:paraId="3BE2674C"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 2.6 - &lt; 3.2</w:t>
            </w:r>
          </w:p>
        </w:tc>
        <w:tc>
          <w:tcPr>
            <w:tcW w:w="1436" w:type="dxa"/>
            <w:tcBorders>
              <w:top w:val="nil"/>
              <w:left w:val="nil"/>
              <w:bottom w:val="single" w:sz="4" w:space="0" w:color="auto"/>
              <w:right w:val="single" w:sz="4" w:space="0" w:color="auto"/>
            </w:tcBorders>
            <w:shd w:val="clear" w:color="000000" w:fill="E6B8B7"/>
            <w:noWrap/>
            <w:vAlign w:val="bottom"/>
            <w:hideMark/>
          </w:tcPr>
          <w:p w14:paraId="77A19617"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 3.2 - ≤ 5.1</w:t>
            </w:r>
          </w:p>
        </w:tc>
        <w:tc>
          <w:tcPr>
            <w:tcW w:w="1376" w:type="dxa"/>
            <w:tcBorders>
              <w:top w:val="nil"/>
              <w:left w:val="nil"/>
              <w:bottom w:val="single" w:sz="4" w:space="0" w:color="auto"/>
              <w:right w:val="single" w:sz="4" w:space="0" w:color="auto"/>
            </w:tcBorders>
            <w:shd w:val="clear" w:color="000000" w:fill="FF0000"/>
            <w:noWrap/>
            <w:vAlign w:val="bottom"/>
            <w:hideMark/>
          </w:tcPr>
          <w:p w14:paraId="0D07D523"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&gt; 5.1</w:t>
            </w:r>
          </w:p>
        </w:tc>
      </w:tr>
      <w:tr w:rsidR="003B7711" w:rsidRPr="000B125B" w14:paraId="770F2484" w14:textId="77777777" w:rsidTr="000B125B">
        <w:trPr>
          <w:trHeight w:val="315"/>
        </w:trPr>
        <w:tc>
          <w:tcPr>
            <w:tcW w:w="2237" w:type="dxa"/>
            <w:tcBorders>
              <w:top w:val="nil"/>
              <w:left w:val="single" w:sz="4" w:space="0" w:color="auto"/>
              <w:bottom w:val="single" w:sz="4" w:space="0" w:color="auto"/>
              <w:right w:val="single" w:sz="4" w:space="0" w:color="auto"/>
            </w:tcBorders>
          </w:tcPr>
          <w:p w14:paraId="0AB27C0B" w14:textId="77777777" w:rsidR="003B7711" w:rsidRPr="000B125B" w:rsidRDefault="000B125B"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CDAI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C4D6612"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0-76</w:t>
            </w:r>
          </w:p>
        </w:tc>
        <w:tc>
          <w:tcPr>
            <w:tcW w:w="1235" w:type="dxa"/>
            <w:tcBorders>
              <w:top w:val="nil"/>
              <w:left w:val="nil"/>
              <w:bottom w:val="single" w:sz="4" w:space="0" w:color="auto"/>
              <w:right w:val="single" w:sz="4" w:space="0" w:color="auto"/>
            </w:tcBorders>
            <w:shd w:val="clear" w:color="000000" w:fill="92D050"/>
            <w:noWrap/>
            <w:vAlign w:val="bottom"/>
            <w:hideMark/>
          </w:tcPr>
          <w:p w14:paraId="4051AF19"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 2.8</w:t>
            </w:r>
          </w:p>
        </w:tc>
        <w:tc>
          <w:tcPr>
            <w:tcW w:w="1356" w:type="dxa"/>
            <w:tcBorders>
              <w:top w:val="nil"/>
              <w:left w:val="nil"/>
              <w:bottom w:val="single" w:sz="4" w:space="0" w:color="auto"/>
              <w:right w:val="single" w:sz="4" w:space="0" w:color="auto"/>
            </w:tcBorders>
            <w:shd w:val="clear" w:color="000000" w:fill="FFFF00"/>
            <w:noWrap/>
            <w:vAlign w:val="bottom"/>
            <w:hideMark/>
          </w:tcPr>
          <w:p w14:paraId="18B71931"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&gt; 2.8 - 10.0</w:t>
            </w:r>
          </w:p>
        </w:tc>
        <w:tc>
          <w:tcPr>
            <w:tcW w:w="1436" w:type="dxa"/>
            <w:tcBorders>
              <w:top w:val="nil"/>
              <w:left w:val="nil"/>
              <w:bottom w:val="single" w:sz="4" w:space="0" w:color="auto"/>
              <w:right w:val="single" w:sz="4" w:space="0" w:color="auto"/>
            </w:tcBorders>
            <w:shd w:val="clear" w:color="000000" w:fill="E6B8B7"/>
            <w:noWrap/>
            <w:vAlign w:val="bottom"/>
            <w:hideMark/>
          </w:tcPr>
          <w:p w14:paraId="434E2EBD"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&gt; 10.0 - 22.0</w:t>
            </w:r>
          </w:p>
        </w:tc>
        <w:tc>
          <w:tcPr>
            <w:tcW w:w="1376" w:type="dxa"/>
            <w:tcBorders>
              <w:top w:val="nil"/>
              <w:left w:val="nil"/>
              <w:bottom w:val="single" w:sz="4" w:space="0" w:color="auto"/>
              <w:right w:val="single" w:sz="4" w:space="0" w:color="auto"/>
            </w:tcBorders>
            <w:shd w:val="clear" w:color="000000" w:fill="FF0000"/>
            <w:noWrap/>
            <w:vAlign w:val="bottom"/>
            <w:hideMark/>
          </w:tcPr>
          <w:p w14:paraId="2963DC82"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&gt; 22.0</w:t>
            </w:r>
          </w:p>
        </w:tc>
      </w:tr>
      <w:tr w:rsidR="003B7711" w:rsidRPr="000B125B" w14:paraId="26D6AA02" w14:textId="77777777" w:rsidTr="000B125B">
        <w:trPr>
          <w:trHeight w:val="315"/>
        </w:trPr>
        <w:tc>
          <w:tcPr>
            <w:tcW w:w="2237" w:type="dxa"/>
            <w:tcBorders>
              <w:top w:val="nil"/>
              <w:left w:val="single" w:sz="4" w:space="0" w:color="auto"/>
              <w:bottom w:val="single" w:sz="4" w:space="0" w:color="auto"/>
              <w:right w:val="single" w:sz="4" w:space="0" w:color="auto"/>
            </w:tcBorders>
          </w:tcPr>
          <w:p w14:paraId="1AF8CC20" w14:textId="77777777" w:rsidR="003B7711" w:rsidRPr="000B125B" w:rsidRDefault="000B125B"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SDAI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5BB97F4"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0-86</w:t>
            </w:r>
          </w:p>
        </w:tc>
        <w:tc>
          <w:tcPr>
            <w:tcW w:w="1235" w:type="dxa"/>
            <w:tcBorders>
              <w:top w:val="nil"/>
              <w:left w:val="nil"/>
              <w:bottom w:val="single" w:sz="4" w:space="0" w:color="auto"/>
              <w:right w:val="single" w:sz="4" w:space="0" w:color="auto"/>
            </w:tcBorders>
            <w:shd w:val="clear" w:color="000000" w:fill="92D050"/>
            <w:noWrap/>
            <w:vAlign w:val="bottom"/>
            <w:hideMark/>
          </w:tcPr>
          <w:p w14:paraId="18C14B8D"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0.0 - 3.3</w:t>
            </w:r>
          </w:p>
        </w:tc>
        <w:tc>
          <w:tcPr>
            <w:tcW w:w="1356" w:type="dxa"/>
            <w:tcBorders>
              <w:top w:val="nil"/>
              <w:left w:val="nil"/>
              <w:bottom w:val="single" w:sz="4" w:space="0" w:color="auto"/>
              <w:right w:val="single" w:sz="4" w:space="0" w:color="auto"/>
            </w:tcBorders>
            <w:shd w:val="clear" w:color="000000" w:fill="FFFF00"/>
            <w:noWrap/>
            <w:vAlign w:val="bottom"/>
            <w:hideMark/>
          </w:tcPr>
          <w:p w14:paraId="4A7C26E1"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3.4 - 11.0</w:t>
            </w:r>
          </w:p>
        </w:tc>
        <w:tc>
          <w:tcPr>
            <w:tcW w:w="1436" w:type="dxa"/>
            <w:tcBorders>
              <w:top w:val="nil"/>
              <w:left w:val="nil"/>
              <w:bottom w:val="single" w:sz="4" w:space="0" w:color="auto"/>
              <w:right w:val="single" w:sz="4" w:space="0" w:color="auto"/>
            </w:tcBorders>
            <w:shd w:val="clear" w:color="000000" w:fill="E6B8B7"/>
            <w:noWrap/>
            <w:vAlign w:val="bottom"/>
            <w:hideMark/>
          </w:tcPr>
          <w:p w14:paraId="17EC6A98"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11.1 - 26.0</w:t>
            </w:r>
          </w:p>
        </w:tc>
        <w:tc>
          <w:tcPr>
            <w:tcW w:w="1376" w:type="dxa"/>
            <w:tcBorders>
              <w:top w:val="nil"/>
              <w:left w:val="nil"/>
              <w:bottom w:val="single" w:sz="4" w:space="0" w:color="auto"/>
              <w:right w:val="single" w:sz="4" w:space="0" w:color="auto"/>
            </w:tcBorders>
            <w:shd w:val="clear" w:color="000000" w:fill="FF0000"/>
            <w:noWrap/>
            <w:vAlign w:val="bottom"/>
            <w:hideMark/>
          </w:tcPr>
          <w:p w14:paraId="63C20F6D"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26.1 - 86.0</w:t>
            </w:r>
          </w:p>
        </w:tc>
      </w:tr>
      <w:tr w:rsidR="003B7711" w:rsidRPr="000B125B" w14:paraId="0ADB49D5" w14:textId="77777777" w:rsidTr="000B125B">
        <w:trPr>
          <w:trHeight w:val="315"/>
        </w:trPr>
        <w:tc>
          <w:tcPr>
            <w:tcW w:w="2237" w:type="dxa"/>
            <w:tcBorders>
              <w:top w:val="nil"/>
              <w:left w:val="single" w:sz="4" w:space="0" w:color="auto"/>
              <w:bottom w:val="single" w:sz="4" w:space="0" w:color="auto"/>
              <w:right w:val="single" w:sz="4" w:space="0" w:color="auto"/>
            </w:tcBorders>
          </w:tcPr>
          <w:p w14:paraId="1444C74D" w14:textId="77777777" w:rsidR="003B7711" w:rsidRPr="000B125B" w:rsidRDefault="000B125B"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RAPID-3</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D9E8DC5"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0-10</w:t>
            </w:r>
          </w:p>
        </w:tc>
        <w:tc>
          <w:tcPr>
            <w:tcW w:w="1235" w:type="dxa"/>
            <w:tcBorders>
              <w:top w:val="nil"/>
              <w:left w:val="nil"/>
              <w:bottom w:val="single" w:sz="4" w:space="0" w:color="auto"/>
              <w:right w:val="single" w:sz="4" w:space="0" w:color="auto"/>
            </w:tcBorders>
            <w:shd w:val="clear" w:color="000000" w:fill="92D050"/>
            <w:noWrap/>
            <w:vAlign w:val="bottom"/>
            <w:hideMark/>
          </w:tcPr>
          <w:p w14:paraId="36B18C45"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0 - 1.0</w:t>
            </w:r>
          </w:p>
        </w:tc>
        <w:tc>
          <w:tcPr>
            <w:tcW w:w="1356" w:type="dxa"/>
            <w:tcBorders>
              <w:top w:val="nil"/>
              <w:left w:val="nil"/>
              <w:bottom w:val="single" w:sz="4" w:space="0" w:color="auto"/>
              <w:right w:val="single" w:sz="4" w:space="0" w:color="auto"/>
            </w:tcBorders>
            <w:shd w:val="clear" w:color="000000" w:fill="FFFF00"/>
            <w:noWrap/>
            <w:vAlign w:val="bottom"/>
            <w:hideMark/>
          </w:tcPr>
          <w:p w14:paraId="545EF467"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&gt; 1.0 - 2.0</w:t>
            </w:r>
          </w:p>
        </w:tc>
        <w:tc>
          <w:tcPr>
            <w:tcW w:w="1436" w:type="dxa"/>
            <w:tcBorders>
              <w:top w:val="nil"/>
              <w:left w:val="nil"/>
              <w:bottom w:val="single" w:sz="4" w:space="0" w:color="auto"/>
              <w:right w:val="single" w:sz="4" w:space="0" w:color="auto"/>
            </w:tcBorders>
            <w:shd w:val="clear" w:color="000000" w:fill="E6B8B7"/>
            <w:noWrap/>
            <w:vAlign w:val="bottom"/>
            <w:hideMark/>
          </w:tcPr>
          <w:p w14:paraId="59D2FC3E"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&gt; 2.0 - 4.0</w:t>
            </w:r>
          </w:p>
        </w:tc>
        <w:tc>
          <w:tcPr>
            <w:tcW w:w="1376" w:type="dxa"/>
            <w:tcBorders>
              <w:top w:val="nil"/>
              <w:left w:val="nil"/>
              <w:bottom w:val="single" w:sz="4" w:space="0" w:color="auto"/>
              <w:right w:val="single" w:sz="4" w:space="0" w:color="auto"/>
            </w:tcBorders>
            <w:shd w:val="clear" w:color="000000" w:fill="FF0000"/>
            <w:noWrap/>
            <w:vAlign w:val="bottom"/>
            <w:hideMark/>
          </w:tcPr>
          <w:p w14:paraId="0E23B4C9"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&gt; 4.0 - 10</w:t>
            </w:r>
          </w:p>
        </w:tc>
      </w:tr>
      <w:tr w:rsidR="003B7711" w:rsidRPr="000B125B" w14:paraId="2859899B" w14:textId="77777777" w:rsidTr="000B125B">
        <w:trPr>
          <w:trHeight w:val="315"/>
        </w:trPr>
        <w:tc>
          <w:tcPr>
            <w:tcW w:w="2237" w:type="dxa"/>
            <w:tcBorders>
              <w:top w:val="nil"/>
              <w:left w:val="single" w:sz="4" w:space="0" w:color="auto"/>
              <w:bottom w:val="single" w:sz="4" w:space="0" w:color="auto"/>
              <w:right w:val="single" w:sz="4" w:space="0" w:color="auto"/>
            </w:tcBorders>
          </w:tcPr>
          <w:p w14:paraId="19AC1672" w14:textId="77777777" w:rsidR="003B7711" w:rsidRPr="000B125B" w:rsidRDefault="000B125B"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PAS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9E5D160"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0-10</w:t>
            </w:r>
          </w:p>
        </w:tc>
        <w:tc>
          <w:tcPr>
            <w:tcW w:w="1235" w:type="dxa"/>
            <w:tcBorders>
              <w:top w:val="nil"/>
              <w:left w:val="nil"/>
              <w:bottom w:val="single" w:sz="4" w:space="0" w:color="auto"/>
              <w:right w:val="single" w:sz="4" w:space="0" w:color="auto"/>
            </w:tcBorders>
            <w:shd w:val="clear" w:color="000000" w:fill="92D050"/>
            <w:noWrap/>
            <w:vAlign w:val="bottom"/>
            <w:hideMark/>
          </w:tcPr>
          <w:p w14:paraId="009E5866"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0.00 - 0.25</w:t>
            </w:r>
          </w:p>
        </w:tc>
        <w:tc>
          <w:tcPr>
            <w:tcW w:w="1356" w:type="dxa"/>
            <w:tcBorders>
              <w:top w:val="nil"/>
              <w:left w:val="nil"/>
              <w:bottom w:val="single" w:sz="4" w:space="0" w:color="auto"/>
              <w:right w:val="single" w:sz="4" w:space="0" w:color="auto"/>
            </w:tcBorders>
            <w:shd w:val="clear" w:color="000000" w:fill="FFFF00"/>
            <w:noWrap/>
            <w:vAlign w:val="bottom"/>
            <w:hideMark/>
          </w:tcPr>
          <w:p w14:paraId="55B1F2BB"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0.26 - 3.70</w:t>
            </w:r>
          </w:p>
        </w:tc>
        <w:tc>
          <w:tcPr>
            <w:tcW w:w="1436" w:type="dxa"/>
            <w:tcBorders>
              <w:top w:val="nil"/>
              <w:left w:val="nil"/>
              <w:bottom w:val="single" w:sz="4" w:space="0" w:color="auto"/>
              <w:right w:val="single" w:sz="4" w:space="0" w:color="auto"/>
            </w:tcBorders>
            <w:shd w:val="clear" w:color="000000" w:fill="E6B8B7"/>
            <w:noWrap/>
            <w:vAlign w:val="bottom"/>
            <w:hideMark/>
          </w:tcPr>
          <w:p w14:paraId="26B9DA2F"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3.71 - 7.99</w:t>
            </w:r>
          </w:p>
        </w:tc>
        <w:tc>
          <w:tcPr>
            <w:tcW w:w="1376" w:type="dxa"/>
            <w:tcBorders>
              <w:top w:val="nil"/>
              <w:left w:val="nil"/>
              <w:bottom w:val="single" w:sz="4" w:space="0" w:color="auto"/>
              <w:right w:val="single" w:sz="4" w:space="0" w:color="auto"/>
            </w:tcBorders>
            <w:shd w:val="clear" w:color="000000" w:fill="FF0000"/>
            <w:noWrap/>
            <w:vAlign w:val="bottom"/>
            <w:hideMark/>
          </w:tcPr>
          <w:p w14:paraId="42F411BE"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8.00 - 10.00</w:t>
            </w:r>
          </w:p>
        </w:tc>
      </w:tr>
      <w:tr w:rsidR="003B7711" w:rsidRPr="000B125B" w14:paraId="2779176E" w14:textId="77777777" w:rsidTr="000B125B">
        <w:trPr>
          <w:trHeight w:val="315"/>
        </w:trPr>
        <w:tc>
          <w:tcPr>
            <w:tcW w:w="2237" w:type="dxa"/>
            <w:tcBorders>
              <w:top w:val="nil"/>
              <w:left w:val="single" w:sz="4" w:space="0" w:color="auto"/>
              <w:bottom w:val="single" w:sz="4" w:space="0" w:color="auto"/>
              <w:right w:val="single" w:sz="4" w:space="0" w:color="auto"/>
            </w:tcBorders>
          </w:tcPr>
          <w:p w14:paraId="0E00C226" w14:textId="77777777" w:rsidR="003B7711" w:rsidRPr="000B125B" w:rsidRDefault="000B125B"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PASII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E24E02E"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0-10</w:t>
            </w:r>
          </w:p>
        </w:tc>
        <w:tc>
          <w:tcPr>
            <w:tcW w:w="1235" w:type="dxa"/>
            <w:tcBorders>
              <w:top w:val="nil"/>
              <w:left w:val="nil"/>
              <w:bottom w:val="single" w:sz="4" w:space="0" w:color="auto"/>
              <w:right w:val="single" w:sz="4" w:space="0" w:color="auto"/>
            </w:tcBorders>
            <w:shd w:val="clear" w:color="000000" w:fill="92D050"/>
            <w:noWrap/>
            <w:vAlign w:val="bottom"/>
            <w:hideMark/>
          </w:tcPr>
          <w:p w14:paraId="77B91D46"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0.00 - 0.25</w:t>
            </w:r>
          </w:p>
        </w:tc>
        <w:tc>
          <w:tcPr>
            <w:tcW w:w="1356" w:type="dxa"/>
            <w:tcBorders>
              <w:top w:val="nil"/>
              <w:left w:val="nil"/>
              <w:bottom w:val="single" w:sz="4" w:space="0" w:color="auto"/>
              <w:right w:val="single" w:sz="4" w:space="0" w:color="auto"/>
            </w:tcBorders>
            <w:shd w:val="clear" w:color="000000" w:fill="FFFF00"/>
            <w:noWrap/>
            <w:vAlign w:val="bottom"/>
            <w:hideMark/>
          </w:tcPr>
          <w:p w14:paraId="13A4FB19"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0.26 - 3.70</w:t>
            </w:r>
          </w:p>
        </w:tc>
        <w:tc>
          <w:tcPr>
            <w:tcW w:w="1436" w:type="dxa"/>
            <w:tcBorders>
              <w:top w:val="nil"/>
              <w:left w:val="nil"/>
              <w:bottom w:val="single" w:sz="4" w:space="0" w:color="auto"/>
              <w:right w:val="single" w:sz="4" w:space="0" w:color="auto"/>
            </w:tcBorders>
            <w:shd w:val="clear" w:color="000000" w:fill="E6B8B7"/>
            <w:noWrap/>
            <w:vAlign w:val="bottom"/>
            <w:hideMark/>
          </w:tcPr>
          <w:p w14:paraId="3B419A84"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3.71 - 7.99</w:t>
            </w:r>
          </w:p>
        </w:tc>
        <w:tc>
          <w:tcPr>
            <w:tcW w:w="1376" w:type="dxa"/>
            <w:tcBorders>
              <w:top w:val="nil"/>
              <w:left w:val="nil"/>
              <w:bottom w:val="single" w:sz="4" w:space="0" w:color="auto"/>
              <w:right w:val="single" w:sz="4" w:space="0" w:color="auto"/>
            </w:tcBorders>
            <w:shd w:val="clear" w:color="000000" w:fill="FF0000"/>
            <w:noWrap/>
            <w:vAlign w:val="bottom"/>
            <w:hideMark/>
          </w:tcPr>
          <w:p w14:paraId="5ED188C7" w14:textId="77777777" w:rsidR="003B7711" w:rsidRPr="000B125B" w:rsidRDefault="003B7711" w:rsidP="00A51C05">
            <w:pPr>
              <w:ind w:left="0" w:firstLine="0"/>
              <w:rPr>
                <w:rFonts w:ascii="Calibri" w:eastAsia="Times New Roman" w:hAnsi="Calibri" w:cs="Times New Roman"/>
                <w:color w:val="000000"/>
              </w:rPr>
            </w:pPr>
            <w:r w:rsidRPr="000B125B">
              <w:rPr>
                <w:rFonts w:ascii="Calibri" w:eastAsia="Times New Roman" w:hAnsi="Calibri" w:cs="Times New Roman"/>
                <w:color w:val="000000"/>
              </w:rPr>
              <w:t>8.00 - 10.00</w:t>
            </w:r>
          </w:p>
        </w:tc>
      </w:tr>
    </w:tbl>
    <w:p w14:paraId="29FE0E3C" w14:textId="77777777" w:rsidR="006B5840" w:rsidRPr="00A51C05" w:rsidRDefault="006B5840" w:rsidP="002E2177">
      <w:pPr>
        <w:ind w:left="0" w:firstLine="0"/>
        <w:rPr>
          <w:iCs/>
          <w:caps/>
        </w:rPr>
      </w:pPr>
    </w:p>
    <w:p w14:paraId="5B3AA8C2" w14:textId="77777777" w:rsidR="00850C35" w:rsidRPr="003B1CC5" w:rsidRDefault="00925F11" w:rsidP="002E2177">
      <w:pPr>
        <w:ind w:left="0" w:firstLine="0"/>
        <w:rPr>
          <w:b/>
          <w:bCs/>
        </w:rPr>
      </w:pPr>
      <w:r w:rsidRPr="003B1CC5">
        <w:rPr>
          <w:b/>
          <w:iCs/>
          <w:caps/>
        </w:rPr>
        <w:t>_________________________</w:t>
      </w:r>
    </w:p>
    <w:p w14:paraId="7468F942"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1274F043" w14:textId="77777777" w:rsidR="006B5840" w:rsidRDefault="006B5840" w:rsidP="002B06BD">
      <w:pPr>
        <w:ind w:left="432" w:hanging="432"/>
        <w:rPr>
          <w:b/>
          <w:bCs/>
          <w:color w:val="0000FF"/>
        </w:rPr>
      </w:pPr>
    </w:p>
    <w:p w14:paraId="7A2F508F" w14:textId="77777777"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7C203E48" w14:textId="77777777" w:rsidR="0067515D" w:rsidRPr="003B1CC5" w:rsidRDefault="0067515D" w:rsidP="002E2177">
      <w:pPr>
        <w:ind w:left="432" w:hanging="432"/>
        <w:rPr>
          <w:color w:val="0000FF"/>
        </w:rPr>
      </w:pPr>
    </w:p>
    <w:p w14:paraId="25D6045E" w14:textId="2EFCA8E8" w:rsidR="007F5CCE" w:rsidRPr="007F5CCE" w:rsidRDefault="00B058A6" w:rsidP="007F5CCE">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2CFEE9C7" w14:textId="77777777" w:rsidR="002B06BD" w:rsidRPr="003B1CC5" w:rsidRDefault="00925F11" w:rsidP="002E2177">
      <w:pPr>
        <w:ind w:left="0" w:firstLine="0"/>
        <w:rPr>
          <w:b/>
          <w:iCs/>
          <w:caps/>
        </w:rPr>
      </w:pPr>
      <w:r w:rsidRPr="003B1CC5">
        <w:rPr>
          <w:b/>
          <w:iCs/>
          <w:caps/>
        </w:rPr>
        <w:t>________________________</w:t>
      </w:r>
    </w:p>
    <w:p w14:paraId="4A5B4EA9"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2B31F35D" w14:textId="77777777" w:rsidR="006B5840" w:rsidRDefault="006B5840" w:rsidP="002E2177">
      <w:pPr>
        <w:ind w:left="0" w:firstLine="0"/>
        <w:rPr>
          <w:b/>
          <w:iCs/>
          <w:color w:val="0000FF"/>
        </w:rPr>
      </w:pPr>
      <w:bookmarkStart w:id="5" w:name="Section1a3"/>
      <w:bookmarkEnd w:id="5"/>
    </w:p>
    <w:p w14:paraId="2BE57B4B" w14:textId="77777777" w:rsidR="00496AF8" w:rsidRDefault="002B06BD" w:rsidP="002E2177">
      <w:pPr>
        <w:ind w:left="0" w:firstLine="0"/>
        <w:rPr>
          <w:i/>
          <w:iCs/>
        </w:rPr>
      </w:pPr>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1DB7B42E" w14:textId="77777777" w:rsidR="009755D9" w:rsidRDefault="009755D9" w:rsidP="002E2177">
      <w:pPr>
        <w:ind w:left="0" w:firstLine="0"/>
        <w:rPr>
          <w:i/>
          <w:iCs/>
        </w:rPr>
      </w:pPr>
    </w:p>
    <w:p w14:paraId="17AC807C" w14:textId="77777777" w:rsidR="007F5CCE" w:rsidRDefault="007F5CCE" w:rsidP="007F5CCE">
      <w:pPr>
        <w:ind w:left="0" w:firstLine="0"/>
      </w:pPr>
      <w:r>
        <w:t xml:space="preserve">In order to assess how patients with rheumatoid arthritis (RA) are responding to therapy or whether they are reaching treatment goals, RA disease activity should be assessed using a validated instrument. </w:t>
      </w:r>
    </w:p>
    <w:p w14:paraId="4FC9E392" w14:textId="77777777" w:rsidR="007F5CCE" w:rsidRDefault="007F5CCE" w:rsidP="007F5CCE"/>
    <w:p w14:paraId="0F2C3FAB" w14:textId="77777777" w:rsidR="007F5CCE" w:rsidRDefault="007F5CCE" w:rsidP="007F5CCE">
      <w:r>
        <w:t>Step 1: Measure disease activity using validated instrument</w:t>
      </w:r>
    </w:p>
    <w:p w14:paraId="2F933E9E" w14:textId="77777777" w:rsidR="007F5CCE" w:rsidRDefault="007F5CCE" w:rsidP="007F5CCE"/>
    <w:p w14:paraId="3ED5EF6B" w14:textId="77777777" w:rsidR="007F5CCE" w:rsidRDefault="007F5CCE" w:rsidP="007F5CCE">
      <w:r>
        <w:t>Step 2: Review disease activity assessment with patient during office visit: is the patient in remission, low, medium (moderate) or high disease activity?</w:t>
      </w:r>
    </w:p>
    <w:p w14:paraId="304EA24E" w14:textId="77777777" w:rsidR="007F5CCE" w:rsidRDefault="007F5CCE" w:rsidP="007F5CCE"/>
    <w:p w14:paraId="53B55A49" w14:textId="77777777" w:rsidR="007F5CCE" w:rsidRDefault="007F5CCE" w:rsidP="007F5CCE">
      <w:r>
        <w:t>Step 3: If the patient has moderate or high disease activity, consider treatment modification with goal of remission/ low disease activity.</w:t>
      </w:r>
    </w:p>
    <w:p w14:paraId="6F557517" w14:textId="77777777" w:rsidR="007F5CCE" w:rsidRDefault="007F5CCE" w:rsidP="007F5CCE"/>
    <w:p w14:paraId="3C79D3A4" w14:textId="77777777" w:rsidR="007F5CCE" w:rsidRDefault="007F5CCE" w:rsidP="007F5CCE">
      <w:r>
        <w:t>Step 4: At next office visit or 3-6 months after initiation/ change in medication, repeat Steps 1-3 until patient is in remission/ low disease activity or until patient is satisfied with their functional status (patient-reported outcome measure, a separate quality measure).</w:t>
      </w:r>
    </w:p>
    <w:p w14:paraId="1E6E1EDE" w14:textId="77777777" w:rsidR="006B5840" w:rsidRDefault="006B5840" w:rsidP="006B5840">
      <w:pPr>
        <w:rPr>
          <w:b/>
        </w:rPr>
      </w:pPr>
    </w:p>
    <w:p w14:paraId="281F3054" w14:textId="4D8123D3" w:rsidR="00E95CBE" w:rsidRDefault="006B5840" w:rsidP="00110127">
      <w:r w:rsidRPr="006B5840">
        <w:rPr>
          <w:b/>
        </w:rPr>
        <w:t>Figure 2.  Algorithm for using standardized disease activity measures to target therapy in rheumatoid arthritis.</w:t>
      </w:r>
      <w:r>
        <w:t xml:space="preserve">  </w:t>
      </w:r>
      <w:r>
        <w:rPr>
          <w:i/>
        </w:rPr>
        <w:t xml:space="preserve"> F</w:t>
      </w:r>
      <w:r w:rsidRPr="006B5840">
        <w:rPr>
          <w:i/>
        </w:rPr>
        <w:t xml:space="preserve">rom </w:t>
      </w:r>
      <w:proofErr w:type="spellStart"/>
      <w:r w:rsidRPr="006B5840">
        <w:rPr>
          <w:i/>
        </w:rPr>
        <w:t>Smolen</w:t>
      </w:r>
      <w:proofErr w:type="spellEnd"/>
      <w:r w:rsidRPr="006B5840">
        <w:rPr>
          <w:i/>
        </w:rPr>
        <w:t xml:space="preserve"> et al.  Treating rheumatoid arthritis to target: recommendations of an international task force.  Ann Rheum Dis 2010</w:t>
      </w:r>
      <w:proofErr w:type="gramStart"/>
      <w:r w:rsidRPr="006B5840">
        <w:rPr>
          <w:i/>
        </w:rPr>
        <w:t>;69:631</w:t>
      </w:r>
      <w:proofErr w:type="gramEnd"/>
      <w:r w:rsidRPr="006B5840">
        <w:rPr>
          <w:i/>
        </w:rPr>
        <w:t>-637Algorithm for treating rheumatoid arthritis (RA) to target based on the recommendations</w:t>
      </w:r>
      <w:r>
        <w:rPr>
          <w:i/>
        </w:rPr>
        <w:t>.</w:t>
      </w:r>
    </w:p>
    <w:p w14:paraId="4F8DC215" w14:textId="77777777" w:rsidR="00E95CBE" w:rsidRDefault="00E95CBE" w:rsidP="00110127"/>
    <w:p w14:paraId="0C5B88FB" w14:textId="77777777" w:rsidR="00E95CBE" w:rsidRDefault="00E95CBE" w:rsidP="00110127"/>
    <w:p w14:paraId="2EA2C77F" w14:textId="50CA14CF" w:rsidR="00E95CBE" w:rsidRDefault="00E95CBE" w:rsidP="00110127">
      <w:r>
        <w:rPr>
          <w:noProof/>
        </w:rPr>
        <w:drawing>
          <wp:inline distT="0" distB="0" distL="0" distR="0" wp14:anchorId="0D7FA2E3" wp14:editId="164A9581">
            <wp:extent cx="3676202" cy="1546860"/>
            <wp:effectExtent l="0" t="0" r="6985" b="2540"/>
            <wp:docPr id="7" name="Picture 7" descr="Macintosh HD:Users:jinoosyazdany:Desktop:F1.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jinoosyazdany:Desktop:F1.larg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77388" cy="1547359"/>
                    </a:xfrm>
                    <a:prstGeom prst="rect">
                      <a:avLst/>
                    </a:prstGeom>
                    <a:noFill/>
                    <a:ln>
                      <a:noFill/>
                    </a:ln>
                  </pic:spPr>
                </pic:pic>
              </a:graphicData>
            </a:graphic>
          </wp:inline>
        </w:drawing>
      </w:r>
    </w:p>
    <w:p w14:paraId="35CC2376" w14:textId="77777777" w:rsidR="00E95CBE" w:rsidRDefault="00E95CBE" w:rsidP="00110127"/>
    <w:p w14:paraId="4FEC8A58" w14:textId="77777777" w:rsidR="00E95CBE" w:rsidRDefault="00E95CBE" w:rsidP="007F5CCE">
      <w:pPr>
        <w:ind w:left="0" w:firstLine="0"/>
      </w:pPr>
    </w:p>
    <w:p w14:paraId="2DE89C75" w14:textId="00E52EE2" w:rsidR="007F5CCE" w:rsidRPr="008628E8" w:rsidRDefault="007F5CCE" w:rsidP="007F5CCE">
      <w:pPr>
        <w:ind w:left="0" w:firstLine="0"/>
        <w:rPr>
          <w:i/>
        </w:rPr>
      </w:pPr>
      <w:r>
        <w:t>Standard collection of disease activity outcomes in RA to facilitate a “treat to target” approach, where the target is disease remission or low disease activity, has been shown to improve clinical and radiographic outcomes (</w:t>
      </w:r>
      <w:proofErr w:type="spellStart"/>
      <w:r w:rsidRPr="00B75FAB">
        <w:rPr>
          <w:i/>
        </w:rPr>
        <w:t>Schipper</w:t>
      </w:r>
      <w:proofErr w:type="spellEnd"/>
      <w:r w:rsidRPr="00B75FAB">
        <w:rPr>
          <w:i/>
        </w:rPr>
        <w:t xml:space="preserve"> LG et al.  A tight control treatment strategy aiming for remission in early rheumatoid arthritis is more effective than usual care treatment in daily clinical practice: a study of two cohorts in the Dutch Rheumatoid Arthritis Monitoring registry. Ann Rheum Dis. 2012 Jun</w:t>
      </w:r>
      <w:proofErr w:type="gramStart"/>
      <w:r w:rsidRPr="00B75FAB">
        <w:rPr>
          <w:i/>
        </w:rPr>
        <w:t>;71</w:t>
      </w:r>
      <w:proofErr w:type="gramEnd"/>
      <w:r w:rsidRPr="00B75FAB">
        <w:rPr>
          <w:i/>
        </w:rPr>
        <w:t>(6):845-50</w:t>
      </w:r>
      <w:r>
        <w:rPr>
          <w:i/>
        </w:rPr>
        <w:t xml:space="preserve">; </w:t>
      </w:r>
      <w:r w:rsidR="006B5840">
        <w:rPr>
          <w:i/>
        </w:rPr>
        <w:t xml:space="preserve">  </w:t>
      </w:r>
      <w:proofErr w:type="spellStart"/>
      <w:r>
        <w:rPr>
          <w:i/>
        </w:rPr>
        <w:t>Smolen</w:t>
      </w:r>
      <w:proofErr w:type="spellEnd"/>
      <w:r>
        <w:rPr>
          <w:i/>
        </w:rPr>
        <w:t xml:space="preserve"> JS et al. </w:t>
      </w:r>
      <w:r w:rsidRPr="000D09D7">
        <w:rPr>
          <w:i/>
        </w:rPr>
        <w:t>Treating rheumatoid arthritis to target: recommendations of an international task force.</w:t>
      </w:r>
      <w:r>
        <w:rPr>
          <w:i/>
        </w:rPr>
        <w:t xml:space="preserve">  </w:t>
      </w:r>
      <w:r w:rsidRPr="000D09D7">
        <w:rPr>
          <w:i/>
        </w:rPr>
        <w:t>Ann Rheum Dis. 2010 Apr</w:t>
      </w:r>
      <w:proofErr w:type="gramStart"/>
      <w:r w:rsidRPr="000D09D7">
        <w:rPr>
          <w:i/>
        </w:rPr>
        <w:t>;69</w:t>
      </w:r>
      <w:proofErr w:type="gramEnd"/>
      <w:r w:rsidRPr="000D09D7">
        <w:rPr>
          <w:i/>
        </w:rPr>
        <w:t>(4):631-7</w:t>
      </w:r>
      <w:r>
        <w:rPr>
          <w:i/>
        </w:rPr>
        <w:t xml:space="preserve">;  </w:t>
      </w:r>
      <w:proofErr w:type="spellStart"/>
      <w:r w:rsidRPr="008628E8">
        <w:rPr>
          <w:i/>
        </w:rPr>
        <w:t>Grigor</w:t>
      </w:r>
      <w:proofErr w:type="spellEnd"/>
      <w:r>
        <w:rPr>
          <w:i/>
        </w:rPr>
        <w:t xml:space="preserve"> C et al. </w:t>
      </w:r>
      <w:r w:rsidRPr="008628E8">
        <w:rPr>
          <w:i/>
        </w:rPr>
        <w:t xml:space="preserve"> Effect of a treatment strategy of tight control for</w:t>
      </w:r>
      <w:r>
        <w:rPr>
          <w:i/>
        </w:rPr>
        <w:t xml:space="preserve"> </w:t>
      </w:r>
      <w:r w:rsidRPr="008628E8">
        <w:rPr>
          <w:i/>
        </w:rPr>
        <w:t xml:space="preserve">rheumatoid arthritis (the TICORA study): a single-blind </w:t>
      </w:r>
      <w:proofErr w:type="spellStart"/>
      <w:r w:rsidRPr="008628E8">
        <w:rPr>
          <w:i/>
        </w:rPr>
        <w:t>randomised</w:t>
      </w:r>
      <w:proofErr w:type="spellEnd"/>
    </w:p>
    <w:p w14:paraId="4FC6F59E" w14:textId="734457AF" w:rsidR="007F5CCE" w:rsidRDefault="007F5CCE" w:rsidP="007F5CCE">
      <w:pPr>
        <w:ind w:left="0" w:firstLine="0"/>
        <w:rPr>
          <w:i/>
        </w:rPr>
      </w:pPr>
      <w:proofErr w:type="gramStart"/>
      <w:r w:rsidRPr="008628E8">
        <w:rPr>
          <w:i/>
        </w:rPr>
        <w:t>controlled</w:t>
      </w:r>
      <w:proofErr w:type="gramEnd"/>
      <w:r w:rsidRPr="008628E8">
        <w:rPr>
          <w:i/>
        </w:rPr>
        <w:t xml:space="preserve"> trial. Lancet 2004</w:t>
      </w:r>
      <w:proofErr w:type="gramStart"/>
      <w:r w:rsidRPr="008628E8">
        <w:rPr>
          <w:i/>
        </w:rPr>
        <w:t>;364:263</w:t>
      </w:r>
      <w:proofErr w:type="gramEnd"/>
      <w:r w:rsidRPr="008628E8">
        <w:rPr>
          <w:i/>
        </w:rPr>
        <w:t>–9.</w:t>
      </w:r>
      <w:r>
        <w:rPr>
          <w:i/>
        </w:rPr>
        <w:t>)</w:t>
      </w:r>
      <w:r w:rsidR="006B5840">
        <w:rPr>
          <w:i/>
        </w:rPr>
        <w:t>.</w:t>
      </w:r>
    </w:p>
    <w:p w14:paraId="1D0A7648" w14:textId="77777777" w:rsidR="00110127" w:rsidRPr="00110127" w:rsidRDefault="00110127" w:rsidP="00110127"/>
    <w:p w14:paraId="35686992"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01A6CF79" w14:textId="21E6E5FA" w:rsidR="00FD4D82" w:rsidRPr="003B1CC5" w:rsidRDefault="00BC384F"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6627D7">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777208BB" w14:textId="77777777" w:rsidR="00FD4D82" w:rsidRPr="003B1CC5" w:rsidRDefault="00BC384F"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6CC5DB7A" w14:textId="77777777" w:rsidR="007573F0" w:rsidRPr="003B1CC5" w:rsidRDefault="00BC384F"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7D81D220" w14:textId="090A36CF" w:rsidR="00FD4D82" w:rsidRPr="003B1CC5" w:rsidRDefault="00BC384F"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6627D7">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78670ABC" w14:textId="77777777" w:rsidR="00FD4D82" w:rsidRPr="003B1CC5" w:rsidRDefault="00FD4D82" w:rsidP="002E2177">
      <w:pPr>
        <w:ind w:left="0" w:firstLine="0"/>
      </w:pPr>
    </w:p>
    <w:p w14:paraId="2413CAE8"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265BDC75"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2D25347F"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075BA443"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50A304CB" w14:textId="77777777" w:rsidR="00F76EE5" w:rsidRDefault="00F76EE5" w:rsidP="002E2177">
      <w:pPr>
        <w:ind w:left="0" w:firstLine="0"/>
        <w:rPr>
          <w:rFonts w:cs="Arial"/>
          <w:sz w:val="20"/>
          <w:szCs w:val="20"/>
        </w:rPr>
      </w:pPr>
    </w:p>
    <w:p w14:paraId="11C17739" w14:textId="4149E59E" w:rsidR="008604FF" w:rsidRDefault="008604FF" w:rsidP="002E2177">
      <w:pPr>
        <w:ind w:left="0" w:firstLine="0"/>
      </w:pPr>
      <w:r w:rsidRPr="008604FF">
        <w:t>Singh J</w:t>
      </w:r>
      <w:r>
        <w:t xml:space="preserve"> et al</w:t>
      </w:r>
      <w:r w:rsidRPr="008604FF">
        <w:t>. 2012 update of the 2008 American College of Rheumatology recommendations for the use of</w:t>
      </w:r>
      <w:r w:rsidRPr="005A195C">
        <w:rPr>
          <w:i/>
        </w:rPr>
        <w:t xml:space="preserve"> </w:t>
      </w:r>
      <w:r w:rsidRPr="008604FF">
        <w:t xml:space="preserve">disease-modifying </w:t>
      </w:r>
      <w:proofErr w:type="spellStart"/>
      <w:r w:rsidRPr="008604FF">
        <w:t>antirheumatic</w:t>
      </w:r>
      <w:proofErr w:type="spellEnd"/>
      <w:r w:rsidRPr="008604FF">
        <w:t xml:space="preserve"> drugs and biologic agents in the treatment of rheumatoid arthritis. </w:t>
      </w:r>
      <w:proofErr w:type="gramStart"/>
      <w:r w:rsidRPr="008604FF">
        <w:t>Arthritis Care Res (Hoboken).</w:t>
      </w:r>
      <w:proofErr w:type="gramEnd"/>
      <w:r w:rsidRPr="008604FF">
        <w:t xml:space="preserve"> 2012 May</w:t>
      </w:r>
      <w:proofErr w:type="gramStart"/>
      <w:r w:rsidRPr="008604FF">
        <w:t>;64</w:t>
      </w:r>
      <w:proofErr w:type="gramEnd"/>
      <w:r w:rsidRPr="008604FF">
        <w:t>(5):625-39</w:t>
      </w:r>
      <w:r w:rsidR="00CA4D16">
        <w:t>.</w:t>
      </w:r>
    </w:p>
    <w:p w14:paraId="4F5DB39A" w14:textId="77777777" w:rsidR="008604FF" w:rsidRDefault="008604FF" w:rsidP="008604FF">
      <w:pPr>
        <w:ind w:left="0" w:firstLine="0"/>
      </w:pPr>
    </w:p>
    <w:p w14:paraId="02A08FA4" w14:textId="5AD20C41" w:rsidR="00A5477E" w:rsidRDefault="00A5477E" w:rsidP="008604FF">
      <w:pPr>
        <w:ind w:left="0" w:firstLine="0"/>
      </w:pPr>
      <w:proofErr w:type="spellStart"/>
      <w:r>
        <w:t>Smolen</w:t>
      </w:r>
      <w:proofErr w:type="spellEnd"/>
      <w:r>
        <w:t xml:space="preserve"> JS et al.  </w:t>
      </w:r>
      <w:r w:rsidRPr="00A5477E">
        <w:t xml:space="preserve">EULAR recommendations for the management of rheumatoid arthritis with synthetic and biological disease-modifying </w:t>
      </w:r>
      <w:proofErr w:type="spellStart"/>
      <w:r w:rsidRPr="00A5477E">
        <w:t>antirheumatic</w:t>
      </w:r>
      <w:proofErr w:type="spellEnd"/>
      <w:r w:rsidRPr="00A5477E">
        <w:t xml:space="preserve"> drugs: 2013 update</w:t>
      </w:r>
      <w:r>
        <w:t xml:space="preserve">.  </w:t>
      </w:r>
      <w:r w:rsidRPr="00A5477E">
        <w:t>Ann Rheum Dis. Mar 2014; 73(3): 492–509.</w:t>
      </w:r>
    </w:p>
    <w:p w14:paraId="47E25350" w14:textId="77777777" w:rsidR="00F76EE5" w:rsidRDefault="00F76EE5" w:rsidP="008604FF">
      <w:pPr>
        <w:ind w:left="0" w:firstLine="0"/>
      </w:pPr>
    </w:p>
    <w:p w14:paraId="20F31D16" w14:textId="18FBCCB2" w:rsidR="00A5477E" w:rsidRDefault="00F76EE5" w:rsidP="008604FF">
      <w:pPr>
        <w:ind w:left="0" w:firstLine="0"/>
      </w:pPr>
      <w:proofErr w:type="spellStart"/>
      <w:r w:rsidRPr="00F76EE5">
        <w:t>Smolen</w:t>
      </w:r>
      <w:proofErr w:type="spellEnd"/>
      <w:r w:rsidRPr="00F76EE5">
        <w:t xml:space="preserve"> J et al.  Treating rheumatoid arthritis to target: recommendations of an international task force.  Ann Rheum Dis 2010</w:t>
      </w:r>
      <w:proofErr w:type="gramStart"/>
      <w:r w:rsidRPr="00F76EE5">
        <w:t>;69:631</w:t>
      </w:r>
      <w:proofErr w:type="gramEnd"/>
      <w:r w:rsidRPr="00F76EE5">
        <w:t>–637.</w:t>
      </w:r>
    </w:p>
    <w:p w14:paraId="1EEADD4B" w14:textId="77777777" w:rsidR="00D35A35" w:rsidRPr="008D1CB7" w:rsidRDefault="00D35A35" w:rsidP="00D35A35">
      <w:pPr>
        <w:autoSpaceDE w:val="0"/>
        <w:autoSpaceDN w:val="0"/>
        <w:adjustRightInd w:val="0"/>
        <w:ind w:left="0" w:firstLine="0"/>
        <w:rPr>
          <w:rFonts w:eastAsia="StempelSchneidlerStd-Roman" w:cs="StempelSchneidlerStd-Roman"/>
          <w:lang w:val="en-CA"/>
        </w:rPr>
      </w:pPr>
      <w:r w:rsidRPr="008D1CB7">
        <w:rPr>
          <w:rFonts w:eastAsia="StempelSchneidlerStd-Roman" w:cs="StempelSchneidlerStd-Roman"/>
          <w:lang w:val="en-CA"/>
        </w:rPr>
        <w:lastRenderedPageBreak/>
        <w:t>National Institute for Clinical Excellence (NICE). Rheumatoid arthritis: The management of rheumatoid arthritis in adults: NICE clinical guidance 2009</w:t>
      </w:r>
      <w:proofErr w:type="gramStart"/>
      <w:r w:rsidRPr="008D1CB7">
        <w:rPr>
          <w:rFonts w:eastAsia="StempelSchneidlerStd-Roman" w:cs="StempelSchneidlerStd-Roman"/>
          <w:lang w:val="en-CA"/>
        </w:rPr>
        <w:t>;79</w:t>
      </w:r>
      <w:proofErr w:type="gramEnd"/>
      <w:r w:rsidRPr="008D1CB7">
        <w:rPr>
          <w:rFonts w:eastAsia="StempelSchneidlerStd-Roman" w:cs="StempelSchneidlerStd-Roman"/>
          <w:lang w:val="en-CA"/>
        </w:rPr>
        <w:t xml:space="preserve"> [Internet. Accessed February 18, 2014]. Available from: </w:t>
      </w:r>
      <w:hyperlink r:id="rId17" w:history="1">
        <w:r w:rsidRPr="008D1CB7">
          <w:rPr>
            <w:rFonts w:eastAsia="StempelSchneidlerStd-Roman" w:cs="StempelSchneidlerStd-Roman"/>
            <w:u w:val="single"/>
            <w:lang w:val="en-CA"/>
          </w:rPr>
          <w:t>http://www.nice.org.uk/nicemedia/pdf/CG79NICEguideline.pdf</w:t>
        </w:r>
      </w:hyperlink>
      <w:r w:rsidRPr="008D1CB7">
        <w:rPr>
          <w:rFonts w:eastAsia="StempelSchneidlerStd-Roman" w:cs="StempelSchneidlerStd-Roman"/>
          <w:lang w:val="en-CA"/>
        </w:rPr>
        <w:t xml:space="preserve">. </w:t>
      </w:r>
    </w:p>
    <w:p w14:paraId="333835FA" w14:textId="77777777" w:rsidR="00D35A35" w:rsidRDefault="00D35A35" w:rsidP="002E2177">
      <w:pPr>
        <w:ind w:left="0" w:firstLine="0"/>
      </w:pPr>
    </w:p>
    <w:p w14:paraId="3A467397" w14:textId="0BF71152" w:rsidR="00D35A35" w:rsidRPr="000518EE" w:rsidRDefault="00D35A35" w:rsidP="000518EE">
      <w:pPr>
        <w:ind w:left="0" w:firstLine="0"/>
        <w:rPr>
          <w:rFonts w:eastAsia="StempelSchneidlerStd-Roman" w:cs="StempelSchneidlerStd-Roman"/>
          <w:lang w:val="en-CA"/>
        </w:rPr>
      </w:pPr>
      <w:proofErr w:type="gramStart"/>
      <w:r w:rsidRPr="008D1CB7">
        <w:rPr>
          <w:rFonts w:cs="Arial"/>
        </w:rPr>
        <w:t>van</w:t>
      </w:r>
      <w:proofErr w:type="gramEnd"/>
      <w:r w:rsidRPr="008D1CB7">
        <w:rPr>
          <w:rFonts w:cs="Arial"/>
        </w:rPr>
        <w:t xml:space="preserve"> </w:t>
      </w:r>
      <w:proofErr w:type="spellStart"/>
      <w:r w:rsidRPr="008D1CB7">
        <w:rPr>
          <w:rFonts w:cs="Arial"/>
        </w:rPr>
        <w:t>Hulst</w:t>
      </w:r>
      <w:proofErr w:type="spellEnd"/>
      <w:r w:rsidRPr="008D1CB7">
        <w:rPr>
          <w:rFonts w:cs="Arial"/>
        </w:rPr>
        <w:t xml:space="preserve"> LT, </w:t>
      </w:r>
      <w:proofErr w:type="spellStart"/>
      <w:r w:rsidRPr="008D1CB7">
        <w:rPr>
          <w:rFonts w:cs="Arial"/>
        </w:rPr>
        <w:t>Fransen</w:t>
      </w:r>
      <w:proofErr w:type="spellEnd"/>
      <w:r w:rsidRPr="008D1CB7">
        <w:rPr>
          <w:rFonts w:cs="Arial"/>
        </w:rPr>
        <w:t xml:space="preserve"> J, den </w:t>
      </w:r>
      <w:proofErr w:type="spellStart"/>
      <w:r w:rsidRPr="008D1CB7">
        <w:rPr>
          <w:rFonts w:cs="Arial"/>
        </w:rPr>
        <w:t>Broeder</w:t>
      </w:r>
      <w:proofErr w:type="spellEnd"/>
      <w:r w:rsidRPr="008D1CB7">
        <w:rPr>
          <w:rFonts w:cs="Arial"/>
        </w:rPr>
        <w:t xml:space="preserve"> AA, et al.  </w:t>
      </w:r>
      <w:proofErr w:type="gramStart"/>
      <w:r w:rsidRPr="008D1CB7">
        <w:rPr>
          <w:rFonts w:cs="Arial"/>
        </w:rPr>
        <w:t>Development of quality indicators for monitoring of the disease course in rheumatoid arthritis.</w:t>
      </w:r>
      <w:proofErr w:type="gramEnd"/>
      <w:r w:rsidRPr="008D1CB7">
        <w:rPr>
          <w:rFonts w:cs="Arial"/>
        </w:rPr>
        <w:t xml:space="preserve">  Ann Rheum Dis. 2009 Dec</w:t>
      </w:r>
      <w:proofErr w:type="gramStart"/>
      <w:r w:rsidRPr="008D1CB7">
        <w:rPr>
          <w:rFonts w:cs="Arial"/>
        </w:rPr>
        <w:t>;68</w:t>
      </w:r>
      <w:proofErr w:type="gramEnd"/>
      <w:r w:rsidRPr="008D1CB7">
        <w:rPr>
          <w:rFonts w:cs="Arial"/>
        </w:rPr>
        <w:t>(12):1805-10. (Netherland’s Scientific Institute on the Quality of Health Care)</w:t>
      </w:r>
    </w:p>
    <w:p w14:paraId="1A4E3069" w14:textId="77777777" w:rsidR="00D35A35" w:rsidRDefault="00D35A35" w:rsidP="002E2177">
      <w:pPr>
        <w:ind w:left="0" w:firstLine="0"/>
      </w:pPr>
    </w:p>
    <w:p w14:paraId="5BB4B4D7" w14:textId="6E77E32F" w:rsidR="007F5CCE" w:rsidRDefault="008604FF" w:rsidP="002E2177">
      <w:pPr>
        <w:ind w:left="0" w:firstLine="0"/>
      </w:pPr>
      <w:r>
        <w:t>Anderson J et al.</w:t>
      </w:r>
      <w:r w:rsidR="007F5CCE" w:rsidRPr="008604FF">
        <w:t xml:space="preserve"> Rheumatoid arthritis disease activity measures: American College of Rheumatology recommendations for use in clinical practice.  </w:t>
      </w:r>
      <w:proofErr w:type="gramStart"/>
      <w:r w:rsidR="007F5CCE" w:rsidRPr="008604FF">
        <w:t>Arthritis Care Res (Hoboken).</w:t>
      </w:r>
      <w:proofErr w:type="gramEnd"/>
      <w:r w:rsidR="007F5CCE" w:rsidRPr="008604FF">
        <w:t xml:space="preserve"> 2012 May</w:t>
      </w:r>
      <w:proofErr w:type="gramStart"/>
      <w:r w:rsidR="007F5CCE" w:rsidRPr="008604FF">
        <w:t>;64</w:t>
      </w:r>
      <w:proofErr w:type="gramEnd"/>
      <w:r w:rsidR="007F5CCE" w:rsidRPr="008604FF">
        <w:t>(5):640-7)</w:t>
      </w:r>
      <w:r w:rsidR="00755C57">
        <w:t>.</w:t>
      </w:r>
    </w:p>
    <w:p w14:paraId="2FFF4146" w14:textId="77777777" w:rsidR="00755C57" w:rsidRDefault="00755C57" w:rsidP="002E2177">
      <w:pPr>
        <w:ind w:left="0" w:firstLine="0"/>
      </w:pPr>
    </w:p>
    <w:p w14:paraId="08536A3A" w14:textId="031EF922" w:rsidR="00755C57" w:rsidRPr="00755C57" w:rsidRDefault="00755C57" w:rsidP="002E2177">
      <w:pPr>
        <w:ind w:left="0" w:firstLine="0"/>
        <w:rPr>
          <w:rFonts w:cs="Arial"/>
          <w:i/>
          <w:sz w:val="20"/>
          <w:szCs w:val="20"/>
        </w:rPr>
      </w:pPr>
      <w:proofErr w:type="gramStart"/>
      <w:r w:rsidRPr="00755C57">
        <w:rPr>
          <w:i/>
        </w:rPr>
        <w:t>Additional guidelines available upon request.</w:t>
      </w:r>
      <w:proofErr w:type="gramEnd"/>
    </w:p>
    <w:p w14:paraId="3E8A8FF2" w14:textId="77777777" w:rsidR="007F5CCE" w:rsidRPr="003B1CC5" w:rsidRDefault="007F5CCE" w:rsidP="002E2177">
      <w:pPr>
        <w:ind w:left="0" w:firstLine="0"/>
        <w:rPr>
          <w:color w:val="0000FF"/>
        </w:rPr>
      </w:pPr>
    </w:p>
    <w:p w14:paraId="468C6E3D"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146DF1C1" w14:textId="77777777" w:rsidR="00496AF8" w:rsidRDefault="00496AF8" w:rsidP="002E2177">
      <w:pPr>
        <w:ind w:left="0" w:firstLine="0"/>
      </w:pPr>
    </w:p>
    <w:p w14:paraId="5C4874A3" w14:textId="0F6FCAD6" w:rsidR="00CA4D16" w:rsidRDefault="00E11947" w:rsidP="004B7B9B">
      <w:pPr>
        <w:ind w:left="0" w:firstLine="0"/>
        <w:rPr>
          <w:i/>
        </w:rPr>
      </w:pPr>
      <w:r>
        <w:t>p. 631</w:t>
      </w:r>
      <w:r w:rsidR="00D35A35">
        <w:t xml:space="preserve"> </w:t>
      </w:r>
      <w:r w:rsidR="00D35A35" w:rsidRPr="00D35A35">
        <w:rPr>
          <w:i/>
        </w:rPr>
        <w:t>Singh et al (2012)</w:t>
      </w:r>
      <w:r>
        <w:t xml:space="preserve"> </w:t>
      </w:r>
      <w:r w:rsidR="008604FF">
        <w:t>“Target low disease activity or remission. The panel</w:t>
      </w:r>
      <w:r w:rsidR="004B7B9B">
        <w:t xml:space="preserve"> </w:t>
      </w:r>
      <w:r w:rsidR="008604FF">
        <w:t>recommends targeting either low disease activity or remission</w:t>
      </w:r>
      <w:r w:rsidR="00A5477E">
        <w:t xml:space="preserve"> [Table</w:t>
      </w:r>
      <w:r w:rsidR="00CA4D16">
        <w:t xml:space="preserve"> – pasted below</w:t>
      </w:r>
      <w:r w:rsidR="00A5477E">
        <w:t>]</w:t>
      </w:r>
      <w:r w:rsidR="008604FF">
        <w:t xml:space="preserve"> </w:t>
      </w:r>
      <w:r w:rsidR="004B7B9B">
        <w:t>in all patients with early RA</w:t>
      </w:r>
      <w:r w:rsidR="008604FF">
        <w:t xml:space="preserve"> and established RA</w:t>
      </w:r>
      <w:r w:rsidR="00D35A35">
        <w:t xml:space="preserve">” </w:t>
      </w:r>
    </w:p>
    <w:p w14:paraId="7FFDFA7E" w14:textId="4D7FBFF7" w:rsidR="00CA4D16" w:rsidRPr="004B7B9B" w:rsidRDefault="00CA4D16" w:rsidP="004B7B9B">
      <w:pPr>
        <w:ind w:left="0" w:firstLine="0"/>
        <w:rPr>
          <w:rFonts w:cs="Arial"/>
          <w:i/>
          <w:sz w:val="20"/>
          <w:szCs w:val="20"/>
        </w:rPr>
      </w:pPr>
      <w:r>
        <w:rPr>
          <w:rFonts w:cs="Arial"/>
          <w:noProof/>
          <w:sz w:val="20"/>
          <w:szCs w:val="20"/>
        </w:rPr>
        <w:drawing>
          <wp:inline distT="0" distB="0" distL="0" distR="0" wp14:anchorId="38F43AE0" wp14:editId="4844F10B">
            <wp:extent cx="2971800" cy="2175826"/>
            <wp:effectExtent l="0" t="0" r="0" b="8890"/>
            <wp:docPr id="2" name="Picture 2" descr="Macintosh HD:Users:jinoosyazdany:Desktop:Screen Shot 2014-02-28 at 12.32.0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inoosyazdany:Desktop:Screen Shot 2014-02-28 at 12.32.06 A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72771" cy="2176537"/>
                    </a:xfrm>
                    <a:prstGeom prst="rect">
                      <a:avLst/>
                    </a:prstGeom>
                    <a:noFill/>
                    <a:ln>
                      <a:noFill/>
                    </a:ln>
                  </pic:spPr>
                </pic:pic>
              </a:graphicData>
            </a:graphic>
          </wp:inline>
        </w:drawing>
      </w:r>
    </w:p>
    <w:p w14:paraId="205B22C7" w14:textId="77777777" w:rsidR="004B7B9B" w:rsidRDefault="004B7B9B" w:rsidP="004B7B9B">
      <w:pPr>
        <w:ind w:left="0" w:firstLine="0"/>
      </w:pPr>
    </w:p>
    <w:p w14:paraId="2EBB6271" w14:textId="5DD54C5E" w:rsidR="007A7CD8" w:rsidRDefault="007A7CD8" w:rsidP="007A7CD8">
      <w:pPr>
        <w:ind w:left="0" w:firstLine="0"/>
      </w:pPr>
      <w:r>
        <w:t xml:space="preserve">p. 634  </w:t>
      </w:r>
      <w:proofErr w:type="spellStart"/>
      <w:r w:rsidR="00D35A35" w:rsidRPr="00D35A35">
        <w:rPr>
          <w:i/>
        </w:rPr>
        <w:t>Smolen</w:t>
      </w:r>
      <w:proofErr w:type="spellEnd"/>
      <w:r w:rsidR="00D35A35" w:rsidRPr="00D35A35">
        <w:rPr>
          <w:i/>
        </w:rPr>
        <w:t xml:space="preserve"> et al. (2010)</w:t>
      </w:r>
      <w:r w:rsidR="00D35A35">
        <w:t xml:space="preserve"> </w:t>
      </w:r>
      <w:r>
        <w:t>“Measures of disease activity must be obtained and documented regularly, as frequently as monthly for patients with high/moderate disease activity or less frequently (such as every 3–6 months) for patients in sustained low dise</w:t>
      </w:r>
      <w:r w:rsidR="00F76EE5">
        <w:t xml:space="preserve">ase activity or remission” </w:t>
      </w:r>
    </w:p>
    <w:p w14:paraId="0680FE22" w14:textId="77777777" w:rsidR="007A7CD8" w:rsidRDefault="007A7CD8" w:rsidP="004B7B9B">
      <w:pPr>
        <w:ind w:left="0" w:firstLine="0"/>
      </w:pPr>
    </w:p>
    <w:p w14:paraId="32F5EBB3" w14:textId="508EF985" w:rsidR="00CA4D16" w:rsidRDefault="00A914E5" w:rsidP="00D014C7">
      <w:pPr>
        <w:ind w:left="0" w:firstLine="0"/>
      </w:pPr>
      <w:r>
        <w:t xml:space="preserve">p. 4 </w:t>
      </w:r>
      <w:proofErr w:type="spellStart"/>
      <w:r w:rsidR="00F76EE5" w:rsidRPr="00F76EE5">
        <w:rPr>
          <w:i/>
        </w:rPr>
        <w:t>Smolen</w:t>
      </w:r>
      <w:proofErr w:type="spellEnd"/>
      <w:r w:rsidR="00F76EE5" w:rsidRPr="00F76EE5">
        <w:rPr>
          <w:i/>
        </w:rPr>
        <w:t xml:space="preserve"> et al. (2013)</w:t>
      </w:r>
      <w:r w:rsidR="00F76EE5">
        <w:t xml:space="preserve"> </w:t>
      </w:r>
      <w:r w:rsidR="00A5477E">
        <w:t>“</w:t>
      </w:r>
      <w:r w:rsidR="00A5477E" w:rsidRPr="00A5477E">
        <w:t>Treatment should be aimed at reaching a target of remission or low disease activity in every patient</w:t>
      </w:r>
      <w:r w:rsidR="00A5477E">
        <w:t>….</w:t>
      </w:r>
      <w:r w:rsidR="00A5477E" w:rsidRPr="00A5477E">
        <w:t xml:space="preserve"> </w:t>
      </w:r>
      <w:r w:rsidR="00A5477E">
        <w:t xml:space="preserve">… </w:t>
      </w:r>
      <w:r w:rsidR="00A5477E" w:rsidRPr="00A5477E">
        <w:t>low disease activity conveys much better functional and structural outcomes than moderate or</w:t>
      </w:r>
      <w:r w:rsidR="00A5477E">
        <w:t xml:space="preserve"> high disease activity”</w:t>
      </w:r>
      <w:proofErr w:type="gramStart"/>
      <w:r w:rsidR="00D014C7">
        <w:t>,</w:t>
      </w:r>
      <w:r w:rsidR="00A5477E">
        <w:t xml:space="preserve"> </w:t>
      </w:r>
      <w:r w:rsidR="00D014C7">
        <w:t xml:space="preserve"> and</w:t>
      </w:r>
      <w:proofErr w:type="gramEnd"/>
      <w:r w:rsidR="00D014C7">
        <w:t xml:space="preserve"> </w:t>
      </w:r>
      <w:r w:rsidR="00D014C7" w:rsidRPr="00D014C7">
        <w:rPr>
          <w:i/>
        </w:rPr>
        <w:t>Table 1</w:t>
      </w:r>
      <w:r w:rsidR="00D014C7">
        <w:t xml:space="preserve"> “Monitoring should be frequent in active disease (every 1–3 months); if there is no improvement by at most 3 months after the start of treatment or the target has not been reached by 6 months, therapy should be adjusted.”</w:t>
      </w:r>
    </w:p>
    <w:p w14:paraId="32819204" w14:textId="77777777" w:rsidR="00F76EE5" w:rsidRDefault="00F76EE5" w:rsidP="00CA4D16">
      <w:pPr>
        <w:ind w:left="0" w:firstLine="0"/>
      </w:pPr>
    </w:p>
    <w:p w14:paraId="2FCB6F5B" w14:textId="6A2A746D" w:rsidR="00F76EE5" w:rsidRDefault="00F76EE5" w:rsidP="00F76EE5">
      <w:pPr>
        <w:ind w:left="0" w:firstLine="0"/>
      </w:pPr>
      <w:r>
        <w:t xml:space="preserve">p. </w:t>
      </w:r>
      <w:proofErr w:type="gramStart"/>
      <w:r>
        <w:t xml:space="preserve">15  </w:t>
      </w:r>
      <w:r w:rsidRPr="00F76EE5">
        <w:rPr>
          <w:i/>
        </w:rPr>
        <w:t>NICE</w:t>
      </w:r>
      <w:proofErr w:type="gramEnd"/>
      <w:r w:rsidRPr="00F76EE5">
        <w:rPr>
          <w:i/>
        </w:rPr>
        <w:t xml:space="preserve"> (2009)</w:t>
      </w:r>
      <w:r>
        <w:t xml:space="preserve"> “Measure CRP and key components of disease activity (using a composite score such as DAS28) regularly in people with RA to inform decision-making about: increasing treatment to control disease [and] cautiously decreasing treatment when disease is controlled.”</w:t>
      </w:r>
    </w:p>
    <w:p w14:paraId="071F4E45" w14:textId="77777777" w:rsidR="005A0DA9" w:rsidRDefault="005A0DA9" w:rsidP="00F76EE5">
      <w:pPr>
        <w:ind w:left="0" w:firstLine="0"/>
      </w:pPr>
    </w:p>
    <w:p w14:paraId="570A633D" w14:textId="48E95221" w:rsidR="005A0DA9" w:rsidRDefault="005A0DA9" w:rsidP="005A0DA9">
      <w:pPr>
        <w:ind w:left="0" w:firstLine="0"/>
      </w:pPr>
      <w:r>
        <w:lastRenderedPageBreak/>
        <w:t xml:space="preserve">p. 1808 </w:t>
      </w:r>
      <w:r w:rsidRPr="005A0DA9">
        <w:rPr>
          <w:i/>
        </w:rPr>
        <w:t xml:space="preserve">van </w:t>
      </w:r>
      <w:proofErr w:type="spellStart"/>
      <w:r w:rsidRPr="005A0DA9">
        <w:rPr>
          <w:i/>
        </w:rPr>
        <w:t>Hulst</w:t>
      </w:r>
      <w:proofErr w:type="spellEnd"/>
      <w:r w:rsidRPr="005A0DA9">
        <w:rPr>
          <w:i/>
        </w:rPr>
        <w:t xml:space="preserve"> et al.</w:t>
      </w:r>
      <w:r>
        <w:t xml:space="preserve"> (2009)</w:t>
      </w:r>
      <w:r w:rsidRPr="005A0DA9">
        <w:t xml:space="preserve"> </w:t>
      </w:r>
      <w:r>
        <w:t xml:space="preserve">“A rheumatologist or a </w:t>
      </w:r>
      <w:proofErr w:type="spellStart"/>
      <w:r>
        <w:t>specialised</w:t>
      </w:r>
      <w:proofErr w:type="spellEnd"/>
      <w:r>
        <w:t xml:space="preserve"> nurse in rheumatology should measure disease activity at baseline and every follow-up visit with the DAS28 in an RA patient.”</w:t>
      </w:r>
    </w:p>
    <w:p w14:paraId="2EFC0659" w14:textId="77777777" w:rsidR="00DE3329" w:rsidRDefault="00DE3329" w:rsidP="00F76EE5">
      <w:pPr>
        <w:ind w:left="0" w:firstLine="0"/>
      </w:pPr>
    </w:p>
    <w:p w14:paraId="158C4586" w14:textId="536FB5BB" w:rsidR="00DE3329" w:rsidRDefault="007518D8" w:rsidP="00F76EE5">
      <w:pPr>
        <w:ind w:left="0" w:firstLine="0"/>
      </w:pPr>
      <w:r>
        <w:t xml:space="preserve">Table 3.  </w:t>
      </w:r>
      <w:proofErr w:type="spellStart"/>
      <w:r w:rsidRPr="007518D8">
        <w:rPr>
          <w:i/>
        </w:rPr>
        <w:t>Bykrerk</w:t>
      </w:r>
      <w:proofErr w:type="spellEnd"/>
      <w:r w:rsidRPr="007518D8">
        <w:rPr>
          <w:i/>
        </w:rPr>
        <w:t xml:space="preserve"> VP (2011)</w:t>
      </w:r>
      <w:r>
        <w:t xml:space="preserve"> </w:t>
      </w:r>
      <w:r w:rsidR="00DE3329">
        <w:t>“</w:t>
      </w:r>
      <w:r w:rsidR="00DE3329" w:rsidRPr="00DE3329">
        <w:t>RA care providers should monitor disease activity as frequently as every 1 to 3 months in patients with active RA (</w:t>
      </w:r>
      <w:r>
        <w:t xml:space="preserve">Strength A, Level </w:t>
      </w:r>
      <w:r w:rsidR="00DE3329" w:rsidRPr="00DE3329">
        <w:t>I). Patients with well controlled disease and patients in remission can be monitored at longer intervals (</w:t>
      </w:r>
      <w:r>
        <w:t xml:space="preserve">Strength A, Level </w:t>
      </w:r>
      <w:r w:rsidR="00DE3329" w:rsidRPr="00DE3329">
        <w:t>IV)</w:t>
      </w:r>
      <w:r w:rsidR="00DE3329">
        <w:t>”</w:t>
      </w:r>
    </w:p>
    <w:p w14:paraId="0A20708D" w14:textId="77777777" w:rsidR="00F76EE5" w:rsidRDefault="00F76EE5" w:rsidP="00F76EE5">
      <w:pPr>
        <w:ind w:left="0" w:firstLine="0"/>
      </w:pPr>
    </w:p>
    <w:p w14:paraId="72341725" w14:textId="3D3BA222" w:rsidR="00F76EE5" w:rsidRDefault="00F76EE5" w:rsidP="00F76EE5">
      <w:pPr>
        <w:ind w:left="0" w:firstLine="0"/>
      </w:pPr>
      <w:r>
        <w:t xml:space="preserve">p. 641 </w:t>
      </w:r>
      <w:r w:rsidRPr="00D35A35">
        <w:rPr>
          <w:i/>
        </w:rPr>
        <w:t>Anderson et al. (2012)</w:t>
      </w:r>
      <w:r>
        <w:t xml:space="preserve">  “We recommend the Clinical Disease Activity Index, Disease Activity Score with 28-joint counts (erythrocyte sedimentation rate or C-reactive protein), Patient Activity Scale (PAS), PAS-II, Routine Assessment of Patient Index Data with 3 measures, and Simplified Disease Activity Index because they are accurate reflections of disease activity; are sensitive to change; discriminate well between low, moderate, and high disease activity states; have remission criteria; and are feasible to perform in clinical settings” </w:t>
      </w:r>
    </w:p>
    <w:p w14:paraId="0F47DA29" w14:textId="77777777" w:rsidR="007F5CCE" w:rsidRPr="003B1CC5" w:rsidRDefault="007F5CCE" w:rsidP="002E2177">
      <w:pPr>
        <w:ind w:left="0" w:firstLine="0"/>
      </w:pPr>
    </w:p>
    <w:p w14:paraId="2D0CB828"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5C019984" w14:textId="77777777" w:rsidR="008A45F3" w:rsidRPr="003B1CC5" w:rsidRDefault="008A45F3" w:rsidP="00265702">
      <w:pPr>
        <w:ind w:left="0" w:firstLine="0"/>
      </w:pPr>
    </w:p>
    <w:p w14:paraId="148E4BE9" w14:textId="64387DD3" w:rsidR="00A914E5" w:rsidRDefault="00A914E5" w:rsidP="00A914E5">
      <w:pPr>
        <w:ind w:left="0" w:firstLine="0"/>
      </w:pPr>
      <w:r>
        <w:t>In t</w:t>
      </w:r>
      <w:r w:rsidR="00D014C7">
        <w:t>he ACR guideline (Singh et al.)</w:t>
      </w:r>
      <w:r>
        <w:t>,</w:t>
      </w:r>
      <w:r w:rsidR="00F75136">
        <w:t xml:space="preserve"> </w:t>
      </w:r>
      <w:r>
        <w:t>the strength of evidence</w:t>
      </w:r>
      <w:r w:rsidR="00F75136">
        <w:t xml:space="preserve"> (</w:t>
      </w:r>
      <w:r w:rsidR="00F75136" w:rsidRPr="00F75136">
        <w:rPr>
          <w:b/>
        </w:rPr>
        <w:t>Level C</w:t>
      </w:r>
      <w:r w:rsidR="00F75136">
        <w:t>)</w:t>
      </w:r>
      <w:r>
        <w:t xml:space="preserve"> was assigned using methods from the American College of Cardiology (</w:t>
      </w:r>
      <w:r w:rsidRPr="001F294F">
        <w:rPr>
          <w:i/>
        </w:rPr>
        <w:t>Hunt SA, et al. ACC/AHA 2005 guideline update for the diagnosis and management of chronic heart failure in the adult: a report of the American College of Cardiology/American Heart Association Task Force on Practice Guidelines. Circulation 2005</w:t>
      </w:r>
      <w:proofErr w:type="gramStart"/>
      <w:r w:rsidRPr="001F294F">
        <w:rPr>
          <w:i/>
        </w:rPr>
        <w:t>;112:e154</w:t>
      </w:r>
      <w:proofErr w:type="gramEnd"/>
      <w:r w:rsidRPr="001F294F">
        <w:rPr>
          <w:i/>
        </w:rPr>
        <w:t>–235</w:t>
      </w:r>
      <w:r>
        <w:t>).  The evidence was rated by an Expert Panel using the RAND Appropriateness Method, which requires median ratings of 7-9 and no disagreement; disease activity measurement had high agreement.  From the guideline, “Level C evidence often denoted a circumstance where medical literature addressed the general topic under discussion but it did not address the specific clinical situations or scenarios reviewed by the panel. Since many recommendations had multiple components (in most cases, multiple medication options), a range is sometimes provided for the level of evidence; for others, the level of evidence is provided following each recommendation.”</w:t>
      </w:r>
    </w:p>
    <w:p w14:paraId="3202E690" w14:textId="77777777" w:rsidR="00A914E5" w:rsidRDefault="00A914E5" w:rsidP="00A914E5">
      <w:pPr>
        <w:ind w:left="0" w:firstLine="0"/>
      </w:pPr>
      <w:r>
        <w:t xml:space="preserve">  </w:t>
      </w:r>
    </w:p>
    <w:p w14:paraId="3453EFA4" w14:textId="77777777" w:rsidR="00A914E5" w:rsidRDefault="00A914E5" w:rsidP="00A914E5">
      <w:pPr>
        <w:ind w:left="0" w:firstLine="0"/>
      </w:pPr>
      <w:r>
        <w:t>Definitions for this grading scheme:</w:t>
      </w:r>
    </w:p>
    <w:p w14:paraId="131D2B71" w14:textId="77777777" w:rsidR="00A914E5" w:rsidRDefault="00A914E5" w:rsidP="00A914E5">
      <w:pPr>
        <w:ind w:left="0" w:firstLine="0"/>
      </w:pPr>
      <w:r>
        <w:t xml:space="preserve">Level A. If data are derived from multiple randomized clinical trials or </w:t>
      </w:r>
      <w:proofErr w:type="spellStart"/>
      <w:r>
        <w:t>metanalyses</w:t>
      </w:r>
      <w:proofErr w:type="spellEnd"/>
      <w:r>
        <w:t>.</w:t>
      </w:r>
    </w:p>
    <w:p w14:paraId="61183EC1" w14:textId="77777777" w:rsidR="00A914E5" w:rsidRDefault="00A914E5" w:rsidP="00A914E5">
      <w:pPr>
        <w:ind w:left="0" w:firstLine="0"/>
      </w:pPr>
      <w:r>
        <w:t>Level B. If data are derived from a single randomized trial or non-randomized studies.</w:t>
      </w:r>
    </w:p>
    <w:p w14:paraId="7A2C4E7F" w14:textId="77777777" w:rsidR="00A914E5" w:rsidRDefault="00A914E5" w:rsidP="00A914E5">
      <w:pPr>
        <w:ind w:left="0" w:firstLine="0"/>
      </w:pPr>
      <w:r>
        <w:t>Level C. If recommendation is based on consensus opinion of experts, case studies, or standard-of-care</w:t>
      </w:r>
    </w:p>
    <w:p w14:paraId="663FED54" w14:textId="77777777" w:rsidR="00D014C7" w:rsidRDefault="00D014C7" w:rsidP="00A914E5">
      <w:pPr>
        <w:ind w:left="0" w:firstLine="0"/>
      </w:pPr>
    </w:p>
    <w:p w14:paraId="3D809C03" w14:textId="0F4E87DB" w:rsidR="00D014C7" w:rsidRDefault="00D014C7" w:rsidP="00A914E5">
      <w:pPr>
        <w:ind w:left="0" w:firstLine="0"/>
      </w:pPr>
      <w:r>
        <w:t xml:space="preserve">In the EULAR </w:t>
      </w:r>
      <w:r w:rsidR="008A2439">
        <w:t>guideline (</w:t>
      </w:r>
      <w:proofErr w:type="spellStart"/>
      <w:r w:rsidR="008A2439">
        <w:t>Smolen</w:t>
      </w:r>
      <w:proofErr w:type="spellEnd"/>
      <w:r w:rsidR="008A2439">
        <w:t xml:space="preserve"> et al.), the Level of Evidence for frequent monitoring of disease activity in active RA was </w:t>
      </w:r>
      <w:r w:rsidR="008A2439" w:rsidRPr="008A2439">
        <w:rPr>
          <w:b/>
        </w:rPr>
        <w:t>2b</w:t>
      </w:r>
      <w:r w:rsidR="008A2439">
        <w:t xml:space="preserve">, the Grade of recommendation was </w:t>
      </w:r>
      <w:r w:rsidR="008A2439" w:rsidRPr="008A2439">
        <w:rPr>
          <w:b/>
        </w:rPr>
        <w:t>A</w:t>
      </w:r>
      <w:r w:rsidR="008A2439">
        <w:t xml:space="preserve"> and the strength of the recommendation was </w:t>
      </w:r>
      <w:r w:rsidR="008A2439" w:rsidRPr="008A2439">
        <w:rPr>
          <w:b/>
        </w:rPr>
        <w:t>9.8 out of 10</w:t>
      </w:r>
      <w:r w:rsidR="008A2439">
        <w:t xml:space="preserve">.  </w:t>
      </w:r>
      <w:r w:rsidR="00851EAB">
        <w:t>Definitions for this grading scheme:</w:t>
      </w:r>
    </w:p>
    <w:p w14:paraId="43307E4C" w14:textId="77777777" w:rsidR="00851EAB" w:rsidRDefault="00851EAB" w:rsidP="00A914E5">
      <w:pPr>
        <w:ind w:left="0" w:firstLine="0"/>
      </w:pPr>
    </w:p>
    <w:p w14:paraId="6774227E" w14:textId="77777777" w:rsidR="00851EAB" w:rsidRDefault="00851EAB" w:rsidP="00851EAB">
      <w:pPr>
        <w:ind w:left="0" w:firstLine="0"/>
      </w:pPr>
      <w:r>
        <w:t>From the Centre for Evidence-Based Medicine, Oxford</w:t>
      </w:r>
    </w:p>
    <w:p w14:paraId="6D5C38FA" w14:textId="77777777" w:rsidR="00851EAB" w:rsidRDefault="00851EAB" w:rsidP="00851EAB">
      <w:pPr>
        <w:ind w:left="0" w:firstLine="0"/>
      </w:pPr>
      <w:r>
        <w:t>1a:</w:t>
      </w:r>
      <w:r>
        <w:tab/>
        <w:t xml:space="preserve"> Systematic reviews (with homogeneity) of randomized controlled trials</w:t>
      </w:r>
    </w:p>
    <w:p w14:paraId="0602BCAB" w14:textId="77777777" w:rsidR="00851EAB" w:rsidRDefault="00851EAB" w:rsidP="00851EAB">
      <w:pPr>
        <w:ind w:left="0" w:firstLine="0"/>
      </w:pPr>
      <w:r>
        <w:t>1b:</w:t>
      </w:r>
      <w:r>
        <w:tab/>
        <w:t>Individual randomized controlled trials (with narrow confidence interval)</w:t>
      </w:r>
    </w:p>
    <w:p w14:paraId="320CAAB0" w14:textId="77777777" w:rsidR="00851EAB" w:rsidRDefault="00851EAB" w:rsidP="00851EAB">
      <w:pPr>
        <w:ind w:left="0" w:firstLine="0"/>
      </w:pPr>
      <w:r>
        <w:t>1c:</w:t>
      </w:r>
      <w:r>
        <w:tab/>
        <w:t>All or none randomized controlled trials</w:t>
      </w:r>
    </w:p>
    <w:p w14:paraId="2AFCEF1E" w14:textId="77777777" w:rsidR="00851EAB" w:rsidRDefault="00851EAB" w:rsidP="00851EAB">
      <w:pPr>
        <w:ind w:left="0" w:firstLine="0"/>
      </w:pPr>
      <w:r>
        <w:t>2a:</w:t>
      </w:r>
      <w:r>
        <w:tab/>
        <w:t>Systematic reviews (with homogeneity) of cohort studies</w:t>
      </w:r>
    </w:p>
    <w:p w14:paraId="446E08D2" w14:textId="77777777" w:rsidR="00851EAB" w:rsidRDefault="00851EAB" w:rsidP="00851EAB">
      <w:pPr>
        <w:ind w:left="0" w:firstLine="0"/>
      </w:pPr>
      <w:r>
        <w:t>2b:</w:t>
      </w:r>
      <w:r>
        <w:tab/>
        <w:t>Individual cohort study or low quality randomized controlled trials (e.g. &lt;80% follow-up)</w:t>
      </w:r>
    </w:p>
    <w:p w14:paraId="4C553F99" w14:textId="77777777" w:rsidR="00851EAB" w:rsidRDefault="00851EAB" w:rsidP="00851EAB">
      <w:pPr>
        <w:ind w:left="0" w:firstLine="0"/>
      </w:pPr>
      <w:r>
        <w:t>2c:</w:t>
      </w:r>
      <w:r>
        <w:tab/>
        <w:t>"Outcomes" Research; ecological studies</w:t>
      </w:r>
    </w:p>
    <w:p w14:paraId="7D75AC37" w14:textId="77777777" w:rsidR="00851EAB" w:rsidRDefault="00851EAB" w:rsidP="00851EAB">
      <w:pPr>
        <w:ind w:left="0" w:firstLine="0"/>
      </w:pPr>
      <w:r>
        <w:t>3a:</w:t>
      </w:r>
      <w:r>
        <w:tab/>
        <w:t>Systematic review (with homogeneity) of case-control studies</w:t>
      </w:r>
    </w:p>
    <w:p w14:paraId="265CBFCE" w14:textId="77777777" w:rsidR="00851EAB" w:rsidRDefault="00851EAB" w:rsidP="00851EAB">
      <w:pPr>
        <w:ind w:left="0" w:firstLine="0"/>
      </w:pPr>
      <w:r>
        <w:t>3b:</w:t>
      </w:r>
      <w:r>
        <w:tab/>
        <w:t>Individual case-control study</w:t>
      </w:r>
    </w:p>
    <w:p w14:paraId="4F370532" w14:textId="77777777" w:rsidR="00851EAB" w:rsidRDefault="00851EAB" w:rsidP="00851EAB">
      <w:pPr>
        <w:ind w:left="0" w:firstLine="0"/>
      </w:pPr>
      <w:r>
        <w:t>4:</w:t>
      </w:r>
      <w:r>
        <w:tab/>
        <w:t>Case-series (and poor quality cohort and case-control studies)</w:t>
      </w:r>
    </w:p>
    <w:p w14:paraId="0CCF3452" w14:textId="77777777" w:rsidR="00851EAB" w:rsidRDefault="00851EAB" w:rsidP="00851EAB">
      <w:pPr>
        <w:ind w:left="0" w:firstLine="0"/>
      </w:pPr>
      <w:r>
        <w:lastRenderedPageBreak/>
        <w:t>5:</w:t>
      </w:r>
      <w:r>
        <w:tab/>
        <w:t>Expert opinion without explicit critical appraisal, or based on physiology, bench research or "first principles"</w:t>
      </w:r>
    </w:p>
    <w:p w14:paraId="366A0D6A" w14:textId="77777777" w:rsidR="00851EAB" w:rsidRDefault="00851EAB" w:rsidP="00A914E5">
      <w:pPr>
        <w:ind w:left="0" w:firstLine="0"/>
      </w:pPr>
    </w:p>
    <w:p w14:paraId="7248BEB4" w14:textId="77777777" w:rsidR="00851EAB" w:rsidRDefault="00851EAB" w:rsidP="00851EAB">
      <w:pPr>
        <w:ind w:left="0" w:firstLine="0"/>
      </w:pPr>
      <w:r>
        <w:t>A</w:t>
      </w:r>
      <w:r>
        <w:tab/>
        <w:t xml:space="preserve">High </w:t>
      </w:r>
      <w:r>
        <w:tab/>
        <w:t>Further research is very unlikely to change our confidence in the estimate of effect.</w:t>
      </w:r>
    </w:p>
    <w:p w14:paraId="6BC8E3B8" w14:textId="77777777" w:rsidR="00851EAB" w:rsidRDefault="00851EAB" w:rsidP="00851EAB">
      <w:pPr>
        <w:ind w:left="0" w:firstLine="0"/>
      </w:pPr>
      <w:r>
        <w:t>Several high-quality studies with consistent results</w:t>
      </w:r>
    </w:p>
    <w:p w14:paraId="14D4EC14" w14:textId="77777777" w:rsidR="00851EAB" w:rsidRDefault="00851EAB" w:rsidP="00851EAB">
      <w:pPr>
        <w:ind w:left="0" w:firstLine="0"/>
      </w:pPr>
      <w:r>
        <w:t>In special cases: one large, high-quality multi-</w:t>
      </w:r>
      <w:proofErr w:type="spellStart"/>
      <w:r>
        <w:t>centre</w:t>
      </w:r>
      <w:proofErr w:type="spellEnd"/>
      <w:r>
        <w:t xml:space="preserve"> trial</w:t>
      </w:r>
    </w:p>
    <w:p w14:paraId="477173D6" w14:textId="77777777" w:rsidR="00851EAB" w:rsidRDefault="00851EAB" w:rsidP="00851EAB">
      <w:pPr>
        <w:ind w:left="0" w:firstLine="0"/>
      </w:pPr>
      <w:r>
        <w:t>B</w:t>
      </w:r>
      <w:r>
        <w:tab/>
        <w:t>Moderate</w:t>
      </w:r>
      <w:r>
        <w:tab/>
        <w:t>Further research is likely to have an important impact on our confidence in the estimate of effect and may change the estimate. One high-quality study or</w:t>
      </w:r>
    </w:p>
    <w:p w14:paraId="6675B7E6" w14:textId="77777777" w:rsidR="00851EAB" w:rsidRDefault="00851EAB" w:rsidP="00851EAB">
      <w:pPr>
        <w:ind w:left="0" w:firstLine="0"/>
      </w:pPr>
      <w:r>
        <w:t>Several studies with some limitations</w:t>
      </w:r>
    </w:p>
    <w:p w14:paraId="4D1CE69E" w14:textId="77777777" w:rsidR="00851EAB" w:rsidRDefault="00851EAB" w:rsidP="00851EAB">
      <w:pPr>
        <w:ind w:left="0" w:firstLine="0"/>
      </w:pPr>
      <w:r>
        <w:t>C</w:t>
      </w:r>
      <w:r>
        <w:tab/>
        <w:t>Low</w:t>
      </w:r>
      <w:r>
        <w:tab/>
        <w:t>Further research is very likely to have an important impact on our confidence in the estimate of effect and is likely to change the estimate.</w:t>
      </w:r>
    </w:p>
    <w:p w14:paraId="68C82319" w14:textId="77777777" w:rsidR="00851EAB" w:rsidRDefault="00851EAB" w:rsidP="00851EAB">
      <w:pPr>
        <w:ind w:left="0" w:firstLine="0"/>
      </w:pPr>
      <w:r>
        <w:t>One or more studies with severe limitations</w:t>
      </w:r>
    </w:p>
    <w:p w14:paraId="60F75EE8" w14:textId="77777777" w:rsidR="00851EAB" w:rsidRDefault="00851EAB" w:rsidP="00851EAB">
      <w:pPr>
        <w:ind w:left="0" w:firstLine="0"/>
      </w:pPr>
      <w:r>
        <w:t>D</w:t>
      </w:r>
      <w:r>
        <w:tab/>
        <w:t>Very Low</w:t>
      </w:r>
      <w:r>
        <w:tab/>
        <w:t>Any estimate of effect is very uncertain.</w:t>
      </w:r>
    </w:p>
    <w:p w14:paraId="0D00C88B" w14:textId="77777777" w:rsidR="00851EAB" w:rsidRDefault="00851EAB" w:rsidP="00851EAB">
      <w:pPr>
        <w:ind w:left="0" w:firstLine="0"/>
      </w:pPr>
      <w:r>
        <w:t xml:space="preserve">Expert opinion or No direct research evidence or </w:t>
      </w:r>
      <w:proofErr w:type="gramStart"/>
      <w:r>
        <w:t>One</w:t>
      </w:r>
      <w:proofErr w:type="gramEnd"/>
      <w:r>
        <w:t xml:space="preserve"> or more studies with very severe limitations</w:t>
      </w:r>
    </w:p>
    <w:p w14:paraId="644B4295" w14:textId="77777777" w:rsidR="00D01C8C" w:rsidRPr="003B1CC5" w:rsidRDefault="00D01C8C" w:rsidP="00E2646F">
      <w:pPr>
        <w:ind w:left="0" w:firstLine="0"/>
      </w:pPr>
    </w:p>
    <w:p w14:paraId="625B01CF"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296AEDB7" w14:textId="77777777" w:rsidR="00850C35" w:rsidRPr="003B1CC5" w:rsidRDefault="00850C35" w:rsidP="00265702">
      <w:pPr>
        <w:ind w:left="0" w:firstLine="0"/>
        <w:rPr>
          <w:b/>
        </w:rPr>
      </w:pPr>
    </w:p>
    <w:p w14:paraId="062E4A7E"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38EC826A" w14:textId="77777777" w:rsidR="00736AEC" w:rsidRDefault="00736AEC" w:rsidP="002E2177">
      <w:pPr>
        <w:ind w:left="432" w:hanging="432"/>
        <w:rPr>
          <w:color w:val="0000FF"/>
        </w:rPr>
      </w:pPr>
    </w:p>
    <w:p w14:paraId="718531A0" w14:textId="77C41186" w:rsidR="002B4426" w:rsidRPr="003B1CC5" w:rsidRDefault="002B4426" w:rsidP="002B4426">
      <w:pPr>
        <w:ind w:left="432" w:hanging="432"/>
        <w:rPr>
          <w:color w:val="0000FF"/>
        </w:rPr>
      </w:pPr>
      <w:r>
        <w:rPr>
          <w:color w:val="1A1A1A"/>
        </w:rPr>
        <w:t>R</w:t>
      </w:r>
      <w:r w:rsidRPr="00A26342">
        <w:rPr>
          <w:color w:val="1A1A1A"/>
        </w:rPr>
        <w:t>eference</w:t>
      </w:r>
      <w:r>
        <w:rPr>
          <w:color w:val="1A1A1A"/>
        </w:rPr>
        <w:t xml:space="preserve"> for level of ACC evidence</w:t>
      </w:r>
      <w:r w:rsidRPr="00A26342">
        <w:rPr>
          <w:color w:val="1A1A1A"/>
        </w:rPr>
        <w:t xml:space="preserve">: </w:t>
      </w:r>
      <w:r w:rsidRPr="00A26342">
        <w:rPr>
          <w:rFonts w:cs="Melior"/>
          <w:color w:val="231F20"/>
        </w:rPr>
        <w:t>Hunt SA, Abraham WT, Chin MH, Feldman AM, Francis GS,</w:t>
      </w:r>
      <w:r>
        <w:rPr>
          <w:rFonts w:cs="Melior"/>
          <w:color w:val="231F20"/>
        </w:rPr>
        <w:t xml:space="preserve"> </w:t>
      </w:r>
      <w:proofErr w:type="spellStart"/>
      <w:r w:rsidRPr="00A26342">
        <w:rPr>
          <w:rFonts w:cs="Melior"/>
          <w:color w:val="231F20"/>
        </w:rPr>
        <w:t>Ganiats</w:t>
      </w:r>
      <w:proofErr w:type="spellEnd"/>
      <w:r w:rsidRPr="00A26342">
        <w:rPr>
          <w:rFonts w:cs="Melior"/>
          <w:color w:val="231F20"/>
        </w:rPr>
        <w:t xml:space="preserve"> TG, et al. ACC/AHA 2005 guideline update for the</w:t>
      </w:r>
      <w:r>
        <w:rPr>
          <w:rFonts w:cs="Melior"/>
          <w:color w:val="231F20"/>
        </w:rPr>
        <w:t xml:space="preserve"> </w:t>
      </w:r>
      <w:r w:rsidRPr="00A26342">
        <w:rPr>
          <w:rFonts w:cs="Melior"/>
          <w:color w:val="231F20"/>
        </w:rPr>
        <w:t>diagnosis and management of chronic heart failure in the</w:t>
      </w:r>
      <w:r>
        <w:rPr>
          <w:rFonts w:cs="Melior"/>
          <w:color w:val="231F20"/>
        </w:rPr>
        <w:t xml:space="preserve"> </w:t>
      </w:r>
      <w:r w:rsidRPr="00A26342">
        <w:rPr>
          <w:rFonts w:cs="Melior"/>
          <w:color w:val="231F20"/>
        </w:rPr>
        <w:t>adult: a report of the American College of Cardiology/American</w:t>
      </w:r>
      <w:r>
        <w:rPr>
          <w:rFonts w:cs="Melior"/>
          <w:color w:val="231F20"/>
        </w:rPr>
        <w:t xml:space="preserve"> </w:t>
      </w:r>
      <w:r w:rsidRPr="00A26342">
        <w:rPr>
          <w:rFonts w:cs="Melior"/>
          <w:color w:val="231F20"/>
        </w:rPr>
        <w:t>Heart Association Task Force on Practice Guidelines</w:t>
      </w:r>
      <w:r>
        <w:rPr>
          <w:rFonts w:cs="Melior"/>
          <w:color w:val="231F20"/>
        </w:rPr>
        <w:t xml:space="preserve"> </w:t>
      </w:r>
      <w:r w:rsidRPr="00A26342">
        <w:rPr>
          <w:rFonts w:cs="Melior"/>
          <w:color w:val="231F20"/>
        </w:rPr>
        <w:t>(Writing Committee to Update the 2001 Guidelines for the</w:t>
      </w:r>
      <w:r>
        <w:rPr>
          <w:rFonts w:cs="Melior"/>
          <w:color w:val="231F20"/>
        </w:rPr>
        <w:t xml:space="preserve"> </w:t>
      </w:r>
      <w:r w:rsidRPr="00A26342">
        <w:rPr>
          <w:rFonts w:cs="Melior"/>
          <w:color w:val="231F20"/>
        </w:rPr>
        <w:t xml:space="preserve">Evaluation and Management of Heart Failure). </w:t>
      </w:r>
      <w:r>
        <w:rPr>
          <w:rFonts w:cs="Melior"/>
          <w:color w:val="231F20"/>
        </w:rPr>
        <w:t xml:space="preserve"> </w:t>
      </w:r>
      <w:r w:rsidRPr="00A26342">
        <w:rPr>
          <w:rFonts w:cs="Melior"/>
          <w:color w:val="231F20"/>
        </w:rPr>
        <w:t>Developed in</w:t>
      </w:r>
      <w:r>
        <w:rPr>
          <w:rFonts w:cs="Melior"/>
          <w:color w:val="231F20"/>
        </w:rPr>
        <w:t xml:space="preserve"> </w:t>
      </w:r>
      <w:r w:rsidRPr="00A26342">
        <w:rPr>
          <w:rFonts w:cs="Melior"/>
          <w:color w:val="231F20"/>
        </w:rPr>
        <w:t>collaboration with the American College of Chest Physicians</w:t>
      </w:r>
      <w:r>
        <w:rPr>
          <w:rFonts w:cs="Melior"/>
          <w:color w:val="231F20"/>
        </w:rPr>
        <w:t xml:space="preserve"> </w:t>
      </w:r>
      <w:r w:rsidRPr="00A26342">
        <w:rPr>
          <w:rFonts w:cs="Melior"/>
          <w:color w:val="231F20"/>
        </w:rPr>
        <w:t>and the International Society for Heart and Lung</w:t>
      </w:r>
      <w:r>
        <w:rPr>
          <w:rFonts w:cs="Melior"/>
          <w:color w:val="231F20"/>
        </w:rPr>
        <w:t xml:space="preserve"> </w:t>
      </w:r>
      <w:r w:rsidRPr="00A26342">
        <w:rPr>
          <w:rFonts w:cs="Melior"/>
          <w:color w:val="231F20"/>
        </w:rPr>
        <w:t>Transplantation: endorsed by the Heart</w:t>
      </w:r>
    </w:p>
    <w:p w14:paraId="3EA992B8" w14:textId="1DCDB5CC" w:rsidR="00A914E5" w:rsidRDefault="00A914E5" w:rsidP="00A914E5">
      <w:pPr>
        <w:autoSpaceDE w:val="0"/>
        <w:autoSpaceDN w:val="0"/>
        <w:adjustRightInd w:val="0"/>
        <w:rPr>
          <w:rFonts w:cs="Melior"/>
        </w:rPr>
      </w:pPr>
      <w:r>
        <w:rPr>
          <w:color w:val="1A1A1A"/>
        </w:rPr>
        <w:t xml:space="preserve">References for RAND/UCLA appropriateness method: </w:t>
      </w:r>
      <w:r w:rsidRPr="008D6D44">
        <w:rPr>
          <w:rFonts w:cs="Melior"/>
        </w:rPr>
        <w:t xml:space="preserve">Fitch K, Bernstein SJ, Aguilar MD, </w:t>
      </w:r>
      <w:proofErr w:type="spellStart"/>
      <w:r w:rsidRPr="008D6D44">
        <w:rPr>
          <w:rFonts w:cs="Melior"/>
        </w:rPr>
        <w:t>Burnand</w:t>
      </w:r>
      <w:proofErr w:type="spellEnd"/>
      <w:r w:rsidRPr="008D6D44">
        <w:rPr>
          <w:rFonts w:cs="Melior"/>
        </w:rPr>
        <w:t xml:space="preserve"> B, </w:t>
      </w:r>
      <w:proofErr w:type="spellStart"/>
      <w:r w:rsidRPr="008D6D44">
        <w:rPr>
          <w:rFonts w:cs="Melior"/>
        </w:rPr>
        <w:t>LaCalle</w:t>
      </w:r>
      <w:proofErr w:type="spellEnd"/>
      <w:r w:rsidRPr="008D6D44">
        <w:rPr>
          <w:rFonts w:cs="Melior"/>
        </w:rPr>
        <w:t xml:space="preserve"> JR,</w:t>
      </w:r>
      <w:r>
        <w:rPr>
          <w:rFonts w:cs="Melior"/>
        </w:rPr>
        <w:t xml:space="preserve"> </w:t>
      </w:r>
      <w:r w:rsidRPr="008D6D44">
        <w:rPr>
          <w:rFonts w:cs="Melior"/>
        </w:rPr>
        <w:t>Lazaro P, et al. The RAND/UCLA Appropriateness Method</w:t>
      </w:r>
      <w:r>
        <w:rPr>
          <w:rFonts w:cs="Melior"/>
        </w:rPr>
        <w:t xml:space="preserve"> </w:t>
      </w:r>
      <w:r w:rsidRPr="008D6D44">
        <w:rPr>
          <w:rFonts w:cs="Melior"/>
        </w:rPr>
        <w:t>user’s manual. Santa Monica (CA): RAND Corporation; 2001.</w:t>
      </w:r>
    </w:p>
    <w:p w14:paraId="37E12749" w14:textId="698C6959" w:rsidR="002B4426" w:rsidRPr="002B4426" w:rsidRDefault="002B4426" w:rsidP="00A914E5">
      <w:pPr>
        <w:autoSpaceDE w:val="0"/>
        <w:autoSpaceDN w:val="0"/>
        <w:adjustRightInd w:val="0"/>
        <w:rPr>
          <w:color w:val="1A1A1A"/>
        </w:rPr>
      </w:pPr>
      <w:r>
        <w:rPr>
          <w:color w:val="1A1A1A"/>
        </w:rPr>
        <w:t xml:space="preserve">Reference for Oxford evidence ratings:  </w:t>
      </w:r>
      <w:r w:rsidRPr="002B4426">
        <w:rPr>
          <w:color w:val="1A1A1A"/>
        </w:rPr>
        <w:t>https://www.essentialevidenceplus.com/product/ebm_loe.cfm</w:t>
      </w:r>
    </w:p>
    <w:p w14:paraId="099AD101" w14:textId="77777777" w:rsidR="00A914E5" w:rsidRPr="008D6D44" w:rsidRDefault="00A914E5" w:rsidP="00A914E5">
      <w:pPr>
        <w:autoSpaceDE w:val="0"/>
        <w:autoSpaceDN w:val="0"/>
        <w:adjustRightInd w:val="0"/>
        <w:rPr>
          <w:color w:val="1A1A1A"/>
        </w:rPr>
      </w:pPr>
    </w:p>
    <w:p w14:paraId="6453F0A7"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03440FD6" w14:textId="77777777" w:rsidR="00FC32D3" w:rsidRPr="003B1CC5" w:rsidRDefault="00BC384F"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65203E0F" w14:textId="7E77B049" w:rsidR="00736AEC" w:rsidRPr="003B1CC5" w:rsidRDefault="00BC384F"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6627D7">
            <w:rPr>
              <w:rFonts w:ascii="MS Gothic" w:eastAsia="MS Gothic" w:hAnsi="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bookmarkStart w:id="7" w:name="_GoBack"/>
      <w:bookmarkEnd w:id="7"/>
    </w:p>
    <w:p w14:paraId="20F9C3EF" w14:textId="77777777" w:rsidR="00736AEC" w:rsidRPr="003B1CC5" w:rsidRDefault="00736AEC" w:rsidP="00736AEC">
      <w:pPr>
        <w:rPr>
          <w:b/>
        </w:rPr>
      </w:pPr>
    </w:p>
    <w:p w14:paraId="28DE6352" w14:textId="77777777" w:rsidR="00EE5AF6" w:rsidRPr="003B1CC5" w:rsidRDefault="00925F11" w:rsidP="00307FA5">
      <w:pPr>
        <w:ind w:left="0" w:firstLine="0"/>
        <w:rPr>
          <w:color w:val="0000FF"/>
        </w:rPr>
      </w:pPr>
      <w:r w:rsidRPr="003B1CC5">
        <w:rPr>
          <w:b/>
          <w:iCs/>
          <w:caps/>
        </w:rPr>
        <w:t>_________________________</w:t>
      </w:r>
    </w:p>
    <w:p w14:paraId="7694FCCE"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4CB357A2"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1735B1CE" w14:textId="77777777" w:rsidR="00307FA5" w:rsidRPr="003B1CC5" w:rsidRDefault="00307FA5" w:rsidP="00307FA5">
      <w:pPr>
        <w:ind w:left="0" w:firstLine="0"/>
        <w:rPr>
          <w:rFonts w:cs="Arial"/>
          <w:sz w:val="20"/>
          <w:szCs w:val="20"/>
        </w:rPr>
      </w:pPr>
    </w:p>
    <w:p w14:paraId="01F2D80C" w14:textId="77777777" w:rsidR="00307FA5" w:rsidRPr="003B1CC5" w:rsidRDefault="00307FA5" w:rsidP="00307FA5">
      <w:pPr>
        <w:ind w:left="0" w:firstLine="0"/>
      </w:pPr>
    </w:p>
    <w:p w14:paraId="5C56FE47"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1065D34C" w14:textId="77777777" w:rsidR="00307FA5" w:rsidRPr="003B1CC5" w:rsidRDefault="00307FA5" w:rsidP="00307FA5">
      <w:pPr>
        <w:ind w:left="0" w:firstLine="0"/>
      </w:pPr>
    </w:p>
    <w:p w14:paraId="2D67CB80" w14:textId="77777777" w:rsidR="00307FA5" w:rsidRPr="003B1CC5" w:rsidRDefault="00307FA5" w:rsidP="00307FA5">
      <w:pPr>
        <w:ind w:left="0" w:firstLine="0"/>
      </w:pPr>
    </w:p>
    <w:p w14:paraId="01F6AC85"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F451493" w14:textId="77777777" w:rsidR="008A45F3" w:rsidRPr="003B1CC5" w:rsidRDefault="008A45F3" w:rsidP="00307FA5">
      <w:pPr>
        <w:ind w:left="0" w:firstLine="0"/>
      </w:pPr>
    </w:p>
    <w:p w14:paraId="48333654" w14:textId="77777777" w:rsidR="00307FA5" w:rsidRPr="003B1CC5" w:rsidRDefault="008A45F3" w:rsidP="00307FA5">
      <w:pPr>
        <w:ind w:left="0" w:firstLine="0"/>
      </w:pPr>
      <w:r w:rsidRPr="003B1CC5">
        <w:rPr>
          <w:b/>
          <w:color w:val="0000FF"/>
        </w:rPr>
        <w:lastRenderedPageBreak/>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6FB806B6" w14:textId="77777777" w:rsidR="00307FA5" w:rsidRPr="003B1CC5" w:rsidRDefault="00307FA5" w:rsidP="00307FA5">
      <w:pPr>
        <w:ind w:left="0" w:firstLine="0"/>
        <w:rPr>
          <w:b/>
          <w:color w:val="0000FF"/>
        </w:rPr>
      </w:pPr>
    </w:p>
    <w:p w14:paraId="01E657ED"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7CC7D079" w14:textId="77777777" w:rsidR="00736AEC" w:rsidRPr="003B1CC5" w:rsidRDefault="00736AEC" w:rsidP="002E2177">
      <w:pPr>
        <w:ind w:left="432" w:hanging="432"/>
        <w:rPr>
          <w:b/>
        </w:rPr>
      </w:pPr>
    </w:p>
    <w:p w14:paraId="1895A6B3"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4028EB6E" w14:textId="77777777" w:rsidR="00EE5AF6" w:rsidRPr="003B1CC5" w:rsidRDefault="00925F11" w:rsidP="002E2177">
      <w:pPr>
        <w:ind w:left="432" w:hanging="432"/>
        <w:rPr>
          <w:b/>
          <w:color w:val="0000FF"/>
        </w:rPr>
      </w:pPr>
      <w:r w:rsidRPr="003B1CC5">
        <w:rPr>
          <w:b/>
          <w:iCs/>
          <w:caps/>
        </w:rPr>
        <w:t>_________________________</w:t>
      </w:r>
    </w:p>
    <w:p w14:paraId="7CDCC2F5" w14:textId="77777777"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3C3035B4"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2089083E" w14:textId="77777777" w:rsidR="00EE5AF6" w:rsidRDefault="00EE5AF6" w:rsidP="00EE5AF6">
      <w:pPr>
        <w:ind w:left="0" w:firstLine="0"/>
      </w:pPr>
      <w:r w:rsidRPr="003B1CC5">
        <w:t xml:space="preserve"> </w:t>
      </w:r>
    </w:p>
    <w:p w14:paraId="7C3EA5B1" w14:textId="5F78369F" w:rsidR="0029265A" w:rsidRPr="0029265A" w:rsidRDefault="0029265A" w:rsidP="0029265A">
      <w:pPr>
        <w:ind w:left="0" w:firstLine="0"/>
        <w:rPr>
          <w:b/>
        </w:rPr>
      </w:pPr>
      <w:r w:rsidRPr="0029265A">
        <w:rPr>
          <w:b/>
        </w:rPr>
        <w:t>Relevant systematic reviews of RA disease activity measures:</w:t>
      </w:r>
    </w:p>
    <w:p w14:paraId="3E15A4F9" w14:textId="77777777" w:rsidR="0029265A" w:rsidRDefault="0029265A" w:rsidP="0029265A">
      <w:pPr>
        <w:ind w:left="0" w:firstLine="0"/>
      </w:pPr>
    </w:p>
    <w:p w14:paraId="06931489" w14:textId="0A67758F" w:rsidR="0029265A" w:rsidRPr="00A5477E" w:rsidRDefault="0029265A" w:rsidP="0029265A">
      <w:pPr>
        <w:ind w:left="0" w:firstLine="0"/>
        <w:rPr>
          <w:rFonts w:cs="Arial"/>
          <w:sz w:val="20"/>
          <w:szCs w:val="20"/>
        </w:rPr>
      </w:pPr>
      <w:r>
        <w:t>Anderson J et al.</w:t>
      </w:r>
      <w:r w:rsidRPr="008604FF">
        <w:t xml:space="preserve"> Rheumatoid arthritis disease activity measures: American College of Rheumatology recommendations for use in clinical practice.  </w:t>
      </w:r>
      <w:proofErr w:type="gramStart"/>
      <w:r w:rsidRPr="008604FF">
        <w:t>Arthritis Care Res (Hoboken).</w:t>
      </w:r>
      <w:proofErr w:type="gramEnd"/>
      <w:r w:rsidRPr="008604FF">
        <w:t xml:space="preserve"> 2012 May</w:t>
      </w:r>
      <w:proofErr w:type="gramStart"/>
      <w:r w:rsidRPr="008604FF">
        <w:t>;64</w:t>
      </w:r>
      <w:proofErr w:type="gramEnd"/>
      <w:r w:rsidRPr="008604FF">
        <w:t>(5):640-7)</w:t>
      </w:r>
      <w:r>
        <w:t>.</w:t>
      </w:r>
    </w:p>
    <w:p w14:paraId="10CAC551" w14:textId="77777777" w:rsidR="0029265A" w:rsidRDefault="0029265A" w:rsidP="00EE5AF6">
      <w:pPr>
        <w:ind w:left="0" w:firstLine="0"/>
      </w:pPr>
    </w:p>
    <w:p w14:paraId="00769C68" w14:textId="20DB013D" w:rsidR="0029265A" w:rsidRDefault="0029265A" w:rsidP="0029265A">
      <w:pPr>
        <w:ind w:left="0" w:firstLine="0"/>
      </w:pPr>
      <w:r>
        <w:t>Anderson J et al.  Measures of rheumatoid arthritis disease activity: Patient (</w:t>
      </w:r>
      <w:proofErr w:type="spellStart"/>
      <w:r>
        <w:t>PtGA</w:t>
      </w:r>
      <w:proofErr w:type="spellEnd"/>
      <w:r>
        <w:t>) and Provider (</w:t>
      </w:r>
      <w:proofErr w:type="spellStart"/>
      <w:r>
        <w:t>PrGA</w:t>
      </w:r>
      <w:proofErr w:type="spellEnd"/>
      <w:r>
        <w:t xml:space="preserve">) Global Assessment of Disease Activity, Disease Activity Score (DAS) and Disease Activity Score with 28-Joint Counts (DAS28), Simplified Disease Activity Index (SDAI), Clinical Disease Activity Index (CDAI), Patient Activity Score (PAS) and Patient Activity Score-II (PASII), Routine Assessment of Patient Index Data (RAPID), Rheumatoid Arthritis Disease Activity Index (RADAI) and Rheumatoid Arthritis Disease Activity Index-5 (RADAI-5), Chronic Arthritis Systemic Index (CASI), Patient-Based Disease Activity Score With ESR (PDAS1) and Patient-Based Disease Activity Score without ESR (PDAS2), and Mean Overall Index for Rheumatoid Arthritis (MOI-RA).  </w:t>
      </w:r>
      <w:proofErr w:type="gramStart"/>
      <w:r>
        <w:t>Arthritis Care Res (Hoboken).</w:t>
      </w:r>
      <w:proofErr w:type="gramEnd"/>
      <w:r>
        <w:t xml:space="preserve"> 2011 Nov</w:t>
      </w:r>
      <w:proofErr w:type="gramStart"/>
      <w:r>
        <w:t>;63</w:t>
      </w:r>
      <w:proofErr w:type="gramEnd"/>
      <w:r>
        <w:t xml:space="preserve"> </w:t>
      </w:r>
      <w:proofErr w:type="spellStart"/>
      <w:r>
        <w:t>Suppl</w:t>
      </w:r>
      <w:proofErr w:type="spellEnd"/>
      <w:r>
        <w:t xml:space="preserve"> 11:S14-36.</w:t>
      </w:r>
    </w:p>
    <w:p w14:paraId="6ECB338D" w14:textId="77777777" w:rsidR="0029265A" w:rsidRDefault="0029265A" w:rsidP="0029265A">
      <w:pPr>
        <w:ind w:left="0" w:firstLine="0"/>
      </w:pPr>
    </w:p>
    <w:p w14:paraId="04859BD7" w14:textId="34BBC356" w:rsidR="0029265A" w:rsidRPr="00D46B55" w:rsidRDefault="0029265A" w:rsidP="0029265A">
      <w:pPr>
        <w:ind w:left="0" w:firstLine="0"/>
        <w:rPr>
          <w:b/>
        </w:rPr>
      </w:pPr>
      <w:r w:rsidRPr="00D46B55">
        <w:rPr>
          <w:b/>
        </w:rPr>
        <w:t xml:space="preserve">Additional </w:t>
      </w:r>
      <w:r w:rsidR="00D46B55">
        <w:rPr>
          <w:b/>
        </w:rPr>
        <w:t>reviews</w:t>
      </w:r>
      <w:r w:rsidRPr="00D46B55">
        <w:rPr>
          <w:b/>
        </w:rPr>
        <w:t xml:space="preserve"> address the process of care (measurement of disease activity</w:t>
      </w:r>
      <w:r w:rsidR="00D46B55" w:rsidRPr="00D46B55">
        <w:rPr>
          <w:b/>
        </w:rPr>
        <w:t xml:space="preserve"> to guide clinical management):</w:t>
      </w:r>
    </w:p>
    <w:p w14:paraId="21F047F9" w14:textId="77777777" w:rsidR="00D46B55" w:rsidRDefault="00D46B55" w:rsidP="0029265A">
      <w:pPr>
        <w:ind w:left="0" w:firstLine="0"/>
      </w:pPr>
    </w:p>
    <w:p w14:paraId="1A05EDF5" w14:textId="5446EA39" w:rsidR="00D46B55" w:rsidRDefault="00D16959" w:rsidP="0029265A">
      <w:pPr>
        <w:ind w:left="0" w:firstLine="0"/>
      </w:pPr>
      <w:proofErr w:type="spellStart"/>
      <w:r>
        <w:t>Smolen</w:t>
      </w:r>
      <w:proofErr w:type="spellEnd"/>
      <w:r>
        <w:t xml:space="preserve"> J</w:t>
      </w:r>
      <w:r w:rsidR="00A914E5">
        <w:t xml:space="preserve"> et al</w:t>
      </w:r>
      <w:r>
        <w:t xml:space="preserve">.  </w:t>
      </w:r>
      <w:r w:rsidR="00D46B55">
        <w:t>Treating rheumatoid arthritis to target: recommendations of an international task force.  Ann Rheum Dis. 2010 Apr</w:t>
      </w:r>
      <w:proofErr w:type="gramStart"/>
      <w:r w:rsidR="00D46B55">
        <w:t>;69</w:t>
      </w:r>
      <w:proofErr w:type="gramEnd"/>
      <w:r w:rsidR="00D46B55">
        <w:t xml:space="preserve">(4):631-7.  </w:t>
      </w:r>
    </w:p>
    <w:p w14:paraId="5269FEFA" w14:textId="77777777" w:rsidR="00D16959" w:rsidRDefault="00D16959" w:rsidP="0029265A">
      <w:pPr>
        <w:ind w:left="0" w:firstLine="0"/>
      </w:pPr>
    </w:p>
    <w:p w14:paraId="4767953C" w14:textId="6BD50585" w:rsidR="00D16959" w:rsidRPr="00D16959" w:rsidRDefault="00D16959" w:rsidP="0029265A">
      <w:pPr>
        <w:ind w:left="0" w:firstLine="0"/>
      </w:pPr>
      <w:proofErr w:type="spellStart"/>
      <w:r w:rsidRPr="00D16959">
        <w:t>Schoels</w:t>
      </w:r>
      <w:proofErr w:type="spellEnd"/>
      <w:r w:rsidRPr="00D16959">
        <w:t xml:space="preserve"> M et al.  Evidence for treating rheumatoid arthritis to target: results of a systematic literature search.  Ann Rheum Dis. 2010</w:t>
      </w:r>
    </w:p>
    <w:p w14:paraId="0A6F6F79" w14:textId="77777777" w:rsidR="00D46B55" w:rsidRDefault="00D46B55" w:rsidP="0029265A">
      <w:pPr>
        <w:ind w:left="0" w:firstLine="0"/>
      </w:pPr>
    </w:p>
    <w:p w14:paraId="69562927" w14:textId="1976D7A9" w:rsidR="00D46B55" w:rsidRDefault="00155844" w:rsidP="00D46B55">
      <w:pPr>
        <w:ind w:left="0" w:firstLine="0"/>
      </w:pPr>
      <w:proofErr w:type="spellStart"/>
      <w:r>
        <w:t>Knevel</w:t>
      </w:r>
      <w:proofErr w:type="spellEnd"/>
      <w:r>
        <w:t xml:space="preserve"> R et al.  Current evidence for a strategic approach to the management of rheumatoid arthritis with disease-modifying </w:t>
      </w:r>
      <w:proofErr w:type="spellStart"/>
      <w:r>
        <w:t>antirheumatic</w:t>
      </w:r>
      <w:proofErr w:type="spellEnd"/>
      <w:r>
        <w:t xml:space="preserve"> drugs: a systematic literature review informing the EULAR recommendations for the management of rheumatoid arthritis.  </w:t>
      </w:r>
      <w:r w:rsidR="00D46B55">
        <w:t>Ann Rheum Dis. 2010 Jun</w:t>
      </w:r>
      <w:proofErr w:type="gramStart"/>
      <w:r w:rsidR="00D46B55">
        <w:t>;69</w:t>
      </w:r>
      <w:proofErr w:type="gramEnd"/>
      <w:r w:rsidR="00D46B55">
        <w:t xml:space="preserve">(6):987-94. </w:t>
      </w:r>
    </w:p>
    <w:p w14:paraId="440E01CC" w14:textId="77777777" w:rsidR="00EE5AF6" w:rsidRPr="003B1CC5" w:rsidRDefault="00EE5AF6" w:rsidP="00EE5AF6">
      <w:pPr>
        <w:ind w:left="0" w:firstLine="0"/>
        <w:rPr>
          <w:rFonts w:cs="Arial"/>
          <w:sz w:val="20"/>
          <w:szCs w:val="20"/>
        </w:rPr>
      </w:pPr>
    </w:p>
    <w:p w14:paraId="6867CFB1"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7197984F" w14:textId="77777777" w:rsidR="005D0FDB" w:rsidRPr="003B1CC5" w:rsidRDefault="005D0FDB" w:rsidP="00EE5AF6">
      <w:pPr>
        <w:ind w:left="0" w:firstLine="0"/>
      </w:pPr>
    </w:p>
    <w:p w14:paraId="5FBAF4D3"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224F32AC" w14:textId="77777777" w:rsidR="00C84623" w:rsidRPr="003B1CC5" w:rsidRDefault="00925F11" w:rsidP="00EE5AF6">
      <w:pPr>
        <w:ind w:left="0" w:firstLine="0"/>
        <w:rPr>
          <w:b/>
          <w:color w:val="0000FF"/>
        </w:rPr>
      </w:pPr>
      <w:r w:rsidRPr="003B1CC5">
        <w:rPr>
          <w:b/>
          <w:iCs/>
          <w:caps/>
        </w:rPr>
        <w:t>_________________________</w:t>
      </w:r>
    </w:p>
    <w:p w14:paraId="5357B92A"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67676170"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0411F615" w14:textId="77777777" w:rsidR="00CB1E41" w:rsidRPr="003B1CC5" w:rsidRDefault="00CB1E41" w:rsidP="00EE5AF6">
      <w:pPr>
        <w:ind w:left="0" w:firstLine="0"/>
        <w:rPr>
          <w:b/>
          <w:color w:val="0000FF"/>
        </w:rPr>
      </w:pPr>
    </w:p>
    <w:p w14:paraId="401A48CA" w14:textId="77777777" w:rsidR="00EE5AF6" w:rsidRPr="003B1CC5" w:rsidRDefault="00EE5AF6" w:rsidP="00EE5AF6">
      <w:pPr>
        <w:ind w:left="0" w:firstLine="0"/>
      </w:pPr>
      <w:r w:rsidRPr="003B1CC5">
        <w:rPr>
          <w:b/>
          <w:color w:val="0000FF"/>
        </w:rPr>
        <w:lastRenderedPageBreak/>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4B6739F6" w14:textId="77777777" w:rsidR="00EE5AF6" w:rsidRDefault="00EE5AF6" w:rsidP="00EE5AF6">
      <w:pPr>
        <w:ind w:left="0" w:firstLine="0"/>
      </w:pPr>
    </w:p>
    <w:p w14:paraId="75D30131" w14:textId="4AB27B62" w:rsidR="002B7750" w:rsidRPr="0095408A" w:rsidRDefault="00DF4009" w:rsidP="002B7750">
      <w:pPr>
        <w:ind w:left="0" w:firstLine="0"/>
        <w:rPr>
          <w:rFonts w:cs="Arial"/>
          <w:sz w:val="20"/>
          <w:szCs w:val="20"/>
        </w:rPr>
      </w:pPr>
      <w:r w:rsidRPr="0095408A">
        <w:rPr>
          <w:b/>
          <w:u w:val="single"/>
        </w:rPr>
        <w:t>Selected RA disease activity outcome measures</w:t>
      </w:r>
      <w:r w:rsidRPr="0095408A">
        <w:rPr>
          <w:b/>
        </w:rPr>
        <w:t>.</w:t>
      </w:r>
      <w:r>
        <w:t xml:space="preserve">  </w:t>
      </w:r>
      <w:r w:rsidR="002B7750">
        <w:t xml:space="preserve">The information provided below </w:t>
      </w:r>
      <w:r w:rsidR="0095408A">
        <w:t>is an overview of the</w:t>
      </w:r>
      <w:r w:rsidR="002B7750">
        <w:t xml:space="preserve"> findings from the systematic review</w:t>
      </w:r>
      <w:r w:rsidR="00A67868">
        <w:t xml:space="preserve"> and consensus process</w:t>
      </w:r>
      <w:r w:rsidR="002B7750">
        <w:t xml:space="preserve"> performed by Anderson et al., which informed the outcome measures recommended (</w:t>
      </w:r>
      <w:r w:rsidR="002B7750" w:rsidRPr="00A67868">
        <w:rPr>
          <w:i/>
        </w:rPr>
        <w:t xml:space="preserve">Anderson J et al. Rheumatoid arthritis disease activity measures: American College of Rheumatology recommendations for use in clinical practice.  </w:t>
      </w:r>
      <w:proofErr w:type="gramStart"/>
      <w:r w:rsidR="002B7750" w:rsidRPr="00A67868">
        <w:rPr>
          <w:i/>
        </w:rPr>
        <w:t>Arthritis Care Res (Hoboken).</w:t>
      </w:r>
      <w:proofErr w:type="gramEnd"/>
      <w:r w:rsidR="002B7750" w:rsidRPr="00A67868">
        <w:rPr>
          <w:i/>
        </w:rPr>
        <w:t xml:space="preserve"> 2012 May</w:t>
      </w:r>
      <w:proofErr w:type="gramStart"/>
      <w:r w:rsidR="002B7750" w:rsidRPr="00A67868">
        <w:rPr>
          <w:i/>
        </w:rPr>
        <w:t>;64</w:t>
      </w:r>
      <w:proofErr w:type="gramEnd"/>
      <w:r w:rsidR="002B7750" w:rsidRPr="00A67868">
        <w:rPr>
          <w:i/>
        </w:rPr>
        <w:t>(5):640-7</w:t>
      </w:r>
      <w:r w:rsidR="00A67868" w:rsidRPr="00A67868">
        <w:rPr>
          <w:i/>
        </w:rPr>
        <w:t>;</w:t>
      </w:r>
      <w:r w:rsidR="00A67868">
        <w:t xml:space="preserve"> Figure 2</w:t>
      </w:r>
      <w:r w:rsidR="002B7750" w:rsidRPr="008604FF">
        <w:t>)</w:t>
      </w:r>
      <w:r w:rsidR="002B7750">
        <w:t>.</w:t>
      </w:r>
      <w:r w:rsidR="00A67868">
        <w:t xml:space="preserve">  </w:t>
      </w:r>
      <w:r w:rsidR="00A67868" w:rsidRPr="0095408A">
        <w:rPr>
          <w:u w:val="single"/>
        </w:rPr>
        <w:t xml:space="preserve">The process aimed to determine which measurement tools are accurate reflections of </w:t>
      </w:r>
      <w:r w:rsidR="0095408A">
        <w:rPr>
          <w:u w:val="single"/>
        </w:rPr>
        <w:t xml:space="preserve">RA </w:t>
      </w:r>
      <w:r w:rsidR="00A67868" w:rsidRPr="0095408A">
        <w:rPr>
          <w:u w:val="single"/>
        </w:rPr>
        <w:t>disease activity; are sensitive to change; discriminate well between low, moderate, and high disease activity states; have remission criteria; and are feasible to perform in clinical settings.</w:t>
      </w:r>
      <w:r w:rsidR="0095408A">
        <w:t xml:space="preserve">  The quantity and quality of the evidence supporting the final 6 recommended </w:t>
      </w:r>
      <w:r w:rsidR="009339E0">
        <w:t xml:space="preserve">RA disease activity </w:t>
      </w:r>
      <w:r w:rsidR="0095408A">
        <w:t>measure</w:t>
      </w:r>
      <w:r w:rsidR="009339E0">
        <w:t xml:space="preserve">ment tools </w:t>
      </w:r>
      <w:r w:rsidR="0095408A">
        <w:t>was high.  Reviewers are referred to the manuscript for further details.</w:t>
      </w:r>
    </w:p>
    <w:p w14:paraId="0481F230" w14:textId="797E1AB1" w:rsidR="002B7750" w:rsidRDefault="002B7750" w:rsidP="00EE5AF6">
      <w:pPr>
        <w:ind w:left="0" w:firstLine="0"/>
      </w:pPr>
      <w:r>
        <w:t xml:space="preserve">.  </w:t>
      </w:r>
    </w:p>
    <w:p w14:paraId="59F49C1D" w14:textId="3E51EBCF" w:rsidR="00A67868" w:rsidRDefault="00A67868" w:rsidP="00EE5AF6">
      <w:pPr>
        <w:ind w:left="0" w:firstLine="0"/>
      </w:pPr>
      <w:r>
        <w:rPr>
          <w:noProof/>
        </w:rPr>
        <w:drawing>
          <wp:inline distT="0" distB="0" distL="0" distR="0" wp14:anchorId="67D045FB" wp14:editId="287BD461">
            <wp:extent cx="3314065" cy="429406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2-28 at 1.01.33 AM.png"/>
                    <pic:cNvPicPr/>
                  </pic:nvPicPr>
                  <pic:blipFill>
                    <a:blip r:embed="rId19">
                      <a:extLst>
                        <a:ext uri="{28A0092B-C50C-407E-A947-70E740481C1C}">
                          <a14:useLocalDpi xmlns:a14="http://schemas.microsoft.com/office/drawing/2010/main" val="0"/>
                        </a:ext>
                      </a:extLst>
                    </a:blip>
                    <a:stretch>
                      <a:fillRect/>
                    </a:stretch>
                  </pic:blipFill>
                  <pic:spPr>
                    <a:xfrm>
                      <a:off x="0" y="0"/>
                      <a:ext cx="3315984" cy="4296554"/>
                    </a:xfrm>
                    <a:prstGeom prst="rect">
                      <a:avLst/>
                    </a:prstGeom>
                  </pic:spPr>
                </pic:pic>
              </a:graphicData>
            </a:graphic>
          </wp:inline>
        </w:drawing>
      </w:r>
    </w:p>
    <w:p w14:paraId="1815DF93" w14:textId="3A79E8AE" w:rsidR="00A67868" w:rsidRDefault="00FC192C" w:rsidP="00EE5AF6">
      <w:pPr>
        <w:ind w:left="0" w:firstLine="0"/>
      </w:pPr>
      <w:r>
        <w:t xml:space="preserve">The supplemental appendix of this manuscript includes details of the systematic search strategy, ratings by expert panelists, responses to the national survey of U.S. rheumatologists and additional information.  </w:t>
      </w:r>
    </w:p>
    <w:p w14:paraId="1A2ED87B" w14:textId="674A5190" w:rsidR="00A67868" w:rsidRDefault="00A67868" w:rsidP="00EE5AF6">
      <w:pPr>
        <w:ind w:left="0" w:firstLine="0"/>
      </w:pPr>
      <w:r>
        <w:rPr>
          <w:noProof/>
        </w:rPr>
        <w:drawing>
          <wp:inline distT="0" distB="0" distL="0" distR="0" wp14:anchorId="7CB4F0F9" wp14:editId="5927CF58">
            <wp:extent cx="25400" cy="17145"/>
            <wp:effectExtent l="0" t="0" r="0" b="0"/>
            <wp:docPr id="5" name="Picture 5" descr="Macintosh HD:Users:jinoosyazdany:Desktop:Screen Shot 2014-02-28 at 1.01.0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inoosyazdany:Desktop:Screen Shot 2014-02-28 at 1.01.02 A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400" cy="17145"/>
                    </a:xfrm>
                    <a:prstGeom prst="rect">
                      <a:avLst/>
                    </a:prstGeom>
                    <a:noFill/>
                    <a:ln>
                      <a:noFill/>
                    </a:ln>
                  </pic:spPr>
                </pic:pic>
              </a:graphicData>
            </a:graphic>
          </wp:inline>
        </w:drawing>
      </w:r>
    </w:p>
    <w:p w14:paraId="1233A481" w14:textId="745CC430" w:rsidR="00A67868" w:rsidRDefault="00DF4009" w:rsidP="00DF4009">
      <w:pPr>
        <w:ind w:left="0" w:firstLine="0"/>
      </w:pPr>
      <w:proofErr w:type="gramStart"/>
      <w:r w:rsidRPr="00DF4009">
        <w:rPr>
          <w:u w:val="single"/>
        </w:rPr>
        <w:t>Process of RA disease activity measurement to guide treatment</w:t>
      </w:r>
      <w:r>
        <w:t>.</w:t>
      </w:r>
      <w:proofErr w:type="gramEnd"/>
      <w:r>
        <w:t xml:space="preserve">  The systematic literature review that informed International Recommendations </w:t>
      </w:r>
      <w:r w:rsidR="0095408A">
        <w:t>regarding using RA disease activity measures to reach treatment goals (</w:t>
      </w:r>
      <w:proofErr w:type="spellStart"/>
      <w:r w:rsidR="009339E0" w:rsidRPr="002B4426">
        <w:rPr>
          <w:i/>
        </w:rPr>
        <w:t>Smolen</w:t>
      </w:r>
      <w:proofErr w:type="spellEnd"/>
      <w:r w:rsidR="009339E0" w:rsidRPr="002B4426">
        <w:rPr>
          <w:i/>
        </w:rPr>
        <w:t xml:space="preserve"> J et al.</w:t>
      </w:r>
      <w:r w:rsidR="009339E0">
        <w:t xml:space="preserve">  </w:t>
      </w:r>
      <w:r w:rsidR="0095408A" w:rsidRPr="0095408A">
        <w:rPr>
          <w:i/>
        </w:rPr>
        <w:t>Treating rheumatoid arthritis to target: recommendations of an international task force.  Ann Rheum Dis. 2010 Apr</w:t>
      </w:r>
      <w:proofErr w:type="gramStart"/>
      <w:r w:rsidR="0095408A" w:rsidRPr="0095408A">
        <w:rPr>
          <w:i/>
        </w:rPr>
        <w:t>;69</w:t>
      </w:r>
      <w:proofErr w:type="gramEnd"/>
      <w:r w:rsidR="0095408A" w:rsidRPr="0095408A">
        <w:rPr>
          <w:i/>
        </w:rPr>
        <w:t>(4):631-7</w:t>
      </w:r>
      <w:r w:rsidR="00914022">
        <w:t xml:space="preserve">) is contained in </w:t>
      </w:r>
      <w:proofErr w:type="spellStart"/>
      <w:r w:rsidRPr="0095408A">
        <w:rPr>
          <w:i/>
        </w:rPr>
        <w:t>Schoels</w:t>
      </w:r>
      <w:proofErr w:type="spellEnd"/>
      <w:r w:rsidRPr="0095408A">
        <w:rPr>
          <w:i/>
        </w:rPr>
        <w:t xml:space="preserve"> M et al.  Evidence for treating rheumatoid arthritis to target: results of a systematic literature search.  Ann Rheum Dis. 2010 Apr</w:t>
      </w:r>
      <w:proofErr w:type="gramStart"/>
      <w:r w:rsidRPr="0095408A">
        <w:rPr>
          <w:i/>
        </w:rPr>
        <w:t>;69</w:t>
      </w:r>
      <w:proofErr w:type="gramEnd"/>
      <w:r w:rsidRPr="0095408A">
        <w:rPr>
          <w:i/>
        </w:rPr>
        <w:t>(4):638-43</w:t>
      </w:r>
      <w:r>
        <w:t xml:space="preserve">. </w:t>
      </w:r>
      <w:r w:rsidR="0095408A">
        <w:t xml:space="preserve">  This review found </w:t>
      </w:r>
      <w:r w:rsidR="0095408A" w:rsidRPr="0095408A">
        <w:t xml:space="preserve">four studies </w:t>
      </w:r>
      <w:r w:rsidR="0095408A">
        <w:t>that randomiz</w:t>
      </w:r>
      <w:r w:rsidR="0095408A" w:rsidRPr="0095408A">
        <w:t xml:space="preserve">ed patients to routine or targeted </w:t>
      </w:r>
      <w:r w:rsidR="0095408A" w:rsidRPr="0095408A">
        <w:lastRenderedPageBreak/>
        <w:t>treatment</w:t>
      </w:r>
      <w:r w:rsidR="00914022">
        <w:t xml:space="preserve">. </w:t>
      </w:r>
      <w:r w:rsidR="0095408A" w:rsidRPr="0095408A">
        <w:t xml:space="preserve"> All identified studies showed significantly better clinical outcomes of targeted approaches than routine approaches. Four studies compared radiographic outcomes, two showing significant benefit of the targeted approach.</w:t>
      </w:r>
    </w:p>
    <w:p w14:paraId="5420AC61" w14:textId="0E629CCE" w:rsidR="002B7750" w:rsidRPr="003B1CC5" w:rsidRDefault="00A67868" w:rsidP="00EE5AF6">
      <w:pPr>
        <w:ind w:left="0" w:firstLine="0"/>
      </w:pPr>
      <w:r>
        <w:rPr>
          <w:noProof/>
        </w:rPr>
        <w:drawing>
          <wp:inline distT="0" distB="0" distL="0" distR="0" wp14:anchorId="57796235" wp14:editId="240FD4C7">
            <wp:extent cx="25400" cy="17145"/>
            <wp:effectExtent l="0" t="0" r="0" b="0"/>
            <wp:docPr id="3" name="Picture 3" descr="Macintosh HD:Users:jinoosyazdany:Desktop:Screen Shot 2014-02-28 at 1.01.0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inoosyazdany:Desktop:Screen Shot 2014-02-28 at 1.01.02 A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400" cy="17145"/>
                    </a:xfrm>
                    <a:prstGeom prst="rect">
                      <a:avLst/>
                    </a:prstGeom>
                    <a:noFill/>
                    <a:ln>
                      <a:noFill/>
                    </a:ln>
                  </pic:spPr>
                </pic:pic>
              </a:graphicData>
            </a:graphic>
          </wp:inline>
        </w:drawing>
      </w:r>
    </w:p>
    <w:p w14:paraId="52275E45"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4B5856FB" w14:textId="77777777" w:rsidR="00095EC9" w:rsidRDefault="00095EC9" w:rsidP="00EA79C9">
      <w:pPr>
        <w:ind w:left="0" w:firstLine="0"/>
      </w:pPr>
    </w:p>
    <w:p w14:paraId="69456DDD" w14:textId="737F0CDE" w:rsidR="00812ADC" w:rsidRDefault="002B4426" w:rsidP="00EA79C9">
      <w:pPr>
        <w:ind w:left="0" w:firstLine="0"/>
      </w:pPr>
      <w:r>
        <w:t xml:space="preserve">See </w:t>
      </w:r>
      <w:r w:rsidR="00812ADC">
        <w:t>grade</w:t>
      </w:r>
      <w:r w:rsidR="009339E0">
        <w:t xml:space="preserve"> and definitions</w:t>
      </w:r>
      <w:r w:rsidR="00812ADC">
        <w:t>, above.</w:t>
      </w:r>
    </w:p>
    <w:p w14:paraId="2794B9BD" w14:textId="77777777" w:rsidR="00812ADC" w:rsidRPr="003B1CC5" w:rsidRDefault="00812ADC" w:rsidP="00EA79C9">
      <w:pPr>
        <w:ind w:left="0" w:firstLine="0"/>
      </w:pPr>
    </w:p>
    <w:p w14:paraId="170DB3D4" w14:textId="77777777"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78934FBC" w14:textId="77777777" w:rsidR="00812ADC" w:rsidRPr="003B1CC5" w:rsidRDefault="00812ADC" w:rsidP="002E2177">
      <w:pPr>
        <w:ind w:left="0" w:firstLine="0"/>
        <w:rPr>
          <w:noProof/>
        </w:rPr>
      </w:pPr>
    </w:p>
    <w:p w14:paraId="400D0CB1" w14:textId="67BB2993" w:rsidR="0039020B" w:rsidRDefault="00496AF8" w:rsidP="002B4426">
      <w:pPr>
        <w:ind w:left="432" w:hanging="432"/>
        <w:rPr>
          <w:rStyle w:val="Style2"/>
          <w:color w:val="auto"/>
          <w:u w:val="none"/>
        </w:rPr>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p>
    <w:p w14:paraId="3B5EC6EE" w14:textId="77777777" w:rsidR="00E11947" w:rsidRDefault="00E11947" w:rsidP="002B4426">
      <w:pPr>
        <w:ind w:left="432" w:hanging="432"/>
        <w:rPr>
          <w:rStyle w:val="Style2"/>
          <w:color w:val="auto"/>
          <w:u w:val="none"/>
        </w:rPr>
      </w:pPr>
    </w:p>
    <w:p w14:paraId="00A271BC" w14:textId="5FACCD27" w:rsidR="00E11947" w:rsidRDefault="00E11947" w:rsidP="00E11947">
      <w:pPr>
        <w:autoSpaceDE w:val="0"/>
        <w:autoSpaceDN w:val="0"/>
        <w:adjustRightInd w:val="0"/>
        <w:ind w:left="0" w:firstLine="0"/>
        <w:rPr>
          <w:rFonts w:cs="Melior"/>
          <w:color w:val="231F20"/>
        </w:rPr>
      </w:pPr>
      <w:r w:rsidRPr="00DA2F22">
        <w:rPr>
          <w:rFonts w:cs="Melior"/>
        </w:rPr>
        <w:t xml:space="preserve">January 1, 1966 through January 31, 2007 and from January 1, 1998 through February 14, 2007, respectively, for the 2008 </w:t>
      </w:r>
      <w:r w:rsidR="002B4426">
        <w:rPr>
          <w:rFonts w:cs="Melior"/>
        </w:rPr>
        <w:t xml:space="preserve">ACR </w:t>
      </w:r>
      <w:r w:rsidRPr="00DA2F22">
        <w:rPr>
          <w:rFonts w:cs="Melior"/>
        </w:rPr>
        <w:t xml:space="preserve">RA treatment guidelines, and through to </w:t>
      </w:r>
      <w:r w:rsidRPr="00DA2F22">
        <w:rPr>
          <w:rFonts w:cs="Melior"/>
          <w:color w:val="231F20"/>
        </w:rPr>
        <w:t xml:space="preserve">Sept 22, 2010 for the 2012 </w:t>
      </w:r>
      <w:r w:rsidR="002B4426">
        <w:rPr>
          <w:rFonts w:cs="Melior"/>
          <w:color w:val="231F20"/>
        </w:rPr>
        <w:t xml:space="preserve">ACR </w:t>
      </w:r>
      <w:r w:rsidRPr="00DA2F22">
        <w:rPr>
          <w:rFonts w:cs="Melior"/>
          <w:color w:val="231F20"/>
        </w:rPr>
        <w:t>RA treatment guidelines.</w:t>
      </w:r>
    </w:p>
    <w:p w14:paraId="3E027DD7" w14:textId="77777777" w:rsidR="00E11947" w:rsidRPr="003B1CC5" w:rsidRDefault="00E11947" w:rsidP="002B4426">
      <w:pPr>
        <w:ind w:left="432" w:hanging="432"/>
        <w:rPr>
          <w:b/>
          <w:noProof/>
        </w:rPr>
      </w:pPr>
    </w:p>
    <w:p w14:paraId="4FACC50E" w14:textId="77777777" w:rsidR="00496AF8" w:rsidRPr="003B1CC5" w:rsidRDefault="00C5180E" w:rsidP="002E2177">
      <w:pPr>
        <w:ind w:left="0" w:firstLine="0"/>
        <w:rPr>
          <w:b/>
        </w:rPr>
      </w:pPr>
      <w:r w:rsidRPr="003B1CC5">
        <w:rPr>
          <w:b/>
          <w:noProof/>
        </w:rPr>
        <w:t>QUANTITY AND QUALITY OF BODY OF EVIDENCE</w:t>
      </w:r>
    </w:p>
    <w:p w14:paraId="3210935D"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40F21221" w14:textId="77777777" w:rsidR="00496AF8" w:rsidRDefault="00496AF8" w:rsidP="002E2177">
      <w:pPr>
        <w:ind w:left="0" w:firstLine="0"/>
      </w:pPr>
    </w:p>
    <w:p w14:paraId="7713941C" w14:textId="5564EA00" w:rsidR="00EC16EF" w:rsidRDefault="00EC16EF" w:rsidP="002E2177">
      <w:pPr>
        <w:ind w:left="0" w:firstLine="0"/>
      </w:pPr>
      <w:r>
        <w:t>The primary study designs included in the body of evidence are randomized controlled trials.  Key trials include:</w:t>
      </w:r>
    </w:p>
    <w:p w14:paraId="110FDEE2" w14:textId="3A3CA089" w:rsidR="00EC16EF" w:rsidRDefault="00EC16EF" w:rsidP="00EC16EF">
      <w:pPr>
        <w:pStyle w:val="ListParagraph"/>
        <w:numPr>
          <w:ilvl w:val="0"/>
          <w:numId w:val="9"/>
        </w:numPr>
      </w:pPr>
      <w:proofErr w:type="spellStart"/>
      <w:r>
        <w:t>Grigor</w:t>
      </w:r>
      <w:proofErr w:type="spellEnd"/>
      <w:r>
        <w:t xml:space="preserve"> C, </w:t>
      </w:r>
      <w:proofErr w:type="spellStart"/>
      <w:r>
        <w:t>Capell</w:t>
      </w:r>
      <w:proofErr w:type="spellEnd"/>
      <w:r>
        <w:t xml:space="preserve"> H, </w:t>
      </w:r>
      <w:proofErr w:type="spellStart"/>
      <w:r>
        <w:t>Stirling</w:t>
      </w:r>
      <w:proofErr w:type="spellEnd"/>
      <w:r>
        <w:t xml:space="preserve"> A, et al. Effect of a treatment strategy of tight control for rheumatoid arthritis (the TICORA study): a single-blind </w:t>
      </w:r>
      <w:proofErr w:type="spellStart"/>
      <w:r>
        <w:t>randomised</w:t>
      </w:r>
      <w:proofErr w:type="spellEnd"/>
      <w:r>
        <w:t xml:space="preserve"> controlled trial. Lancet 2004</w:t>
      </w:r>
      <w:proofErr w:type="gramStart"/>
      <w:r>
        <w:t>;364:263</w:t>
      </w:r>
      <w:proofErr w:type="gramEnd"/>
      <w:r>
        <w:t xml:space="preserve">–9. </w:t>
      </w:r>
    </w:p>
    <w:p w14:paraId="760C51E1" w14:textId="77777777" w:rsidR="00EC16EF" w:rsidRDefault="00EC16EF" w:rsidP="00EC16EF">
      <w:pPr>
        <w:pStyle w:val="ListParagraph"/>
        <w:numPr>
          <w:ilvl w:val="0"/>
          <w:numId w:val="9"/>
        </w:numPr>
      </w:pPr>
      <w:r>
        <w:t xml:space="preserve">Verstappen SM, Jacobs JW, van der </w:t>
      </w:r>
      <w:proofErr w:type="spellStart"/>
      <w:r>
        <w:t>Veen</w:t>
      </w:r>
      <w:proofErr w:type="spellEnd"/>
      <w:r>
        <w:t xml:space="preserve"> MJ, et al. Intensive treatment with methotrexate in early rheumatoid arthritis: aiming for remission. Computer Assisted Management in Early Rheumatoid Arthritis (CAMERA, an open-label strategy trial). Ann Rheum Dis 2007</w:t>
      </w:r>
      <w:proofErr w:type="gramStart"/>
      <w:r>
        <w:t>;66:1443</w:t>
      </w:r>
      <w:proofErr w:type="gramEnd"/>
      <w:r>
        <w:t xml:space="preserve">–9. </w:t>
      </w:r>
    </w:p>
    <w:p w14:paraId="2589DC70" w14:textId="2078A720" w:rsidR="00EC16EF" w:rsidRDefault="00EC16EF" w:rsidP="00EC16EF">
      <w:pPr>
        <w:pStyle w:val="ListParagraph"/>
        <w:numPr>
          <w:ilvl w:val="0"/>
          <w:numId w:val="9"/>
        </w:numPr>
      </w:pPr>
      <w:proofErr w:type="spellStart"/>
      <w:r>
        <w:t>Fransen</w:t>
      </w:r>
      <w:proofErr w:type="spellEnd"/>
      <w:r>
        <w:t xml:space="preserve"> J, </w:t>
      </w:r>
      <w:proofErr w:type="spellStart"/>
      <w:r>
        <w:t>Bernelot</w:t>
      </w:r>
      <w:proofErr w:type="spellEnd"/>
      <w:r>
        <w:t xml:space="preserve"> </w:t>
      </w:r>
      <w:proofErr w:type="spellStart"/>
      <w:r>
        <w:t>Moens</w:t>
      </w:r>
      <w:proofErr w:type="spellEnd"/>
      <w:r>
        <w:t xml:space="preserve"> H, Speyer I, et al. Effectiveness of systematic monitoring of rheumatoid arthritis disease activity in daily practice: a </w:t>
      </w:r>
      <w:proofErr w:type="spellStart"/>
      <w:r>
        <w:t>multicentre</w:t>
      </w:r>
      <w:proofErr w:type="spellEnd"/>
      <w:r>
        <w:t xml:space="preserve">, cluster </w:t>
      </w:r>
      <w:proofErr w:type="spellStart"/>
      <w:r>
        <w:t>randomised</w:t>
      </w:r>
      <w:proofErr w:type="spellEnd"/>
      <w:r>
        <w:t xml:space="preserve"> control trial. Ann Rheum Dis 2005</w:t>
      </w:r>
      <w:proofErr w:type="gramStart"/>
      <w:r>
        <w:t>;64:1294</w:t>
      </w:r>
      <w:proofErr w:type="gramEnd"/>
      <w:r>
        <w:t xml:space="preserve">–8. </w:t>
      </w:r>
    </w:p>
    <w:p w14:paraId="024931C8" w14:textId="6FF64293" w:rsidR="00812ADC" w:rsidRPr="003B1CC5" w:rsidRDefault="00EC16EF" w:rsidP="002B4426">
      <w:pPr>
        <w:pStyle w:val="ListParagraph"/>
        <w:numPr>
          <w:ilvl w:val="0"/>
          <w:numId w:val="9"/>
        </w:numPr>
      </w:pPr>
      <w:proofErr w:type="spellStart"/>
      <w:r>
        <w:t>Symmons</w:t>
      </w:r>
      <w:proofErr w:type="spellEnd"/>
      <w:r>
        <w:t xml:space="preserve"> D, </w:t>
      </w:r>
      <w:proofErr w:type="spellStart"/>
      <w:r>
        <w:t>Tricker</w:t>
      </w:r>
      <w:proofErr w:type="spellEnd"/>
      <w:r>
        <w:t xml:space="preserve"> K, Roberts C, et al. The British Rheumatoid Outcome Study Group (BROSG) </w:t>
      </w:r>
      <w:proofErr w:type="spellStart"/>
      <w:r>
        <w:t>randomised</w:t>
      </w:r>
      <w:proofErr w:type="spellEnd"/>
      <w:r>
        <w:t xml:space="preserve"> controlled trial to compare the effectiveness and cost-effectiveness of aggressive versus symptomatic </w:t>
      </w:r>
      <w:r w:rsidRPr="00EC16EF">
        <w:t xml:space="preserve">therapy in established rheumatoid arthritis. Health </w:t>
      </w:r>
      <w:proofErr w:type="spellStart"/>
      <w:r w:rsidRPr="00EC16EF">
        <w:t>Technol</w:t>
      </w:r>
      <w:proofErr w:type="spellEnd"/>
      <w:r w:rsidRPr="00EC16EF">
        <w:t xml:space="preserve"> Assess 2005</w:t>
      </w:r>
      <w:proofErr w:type="gramStart"/>
      <w:r w:rsidRPr="00EC16EF">
        <w:t>;9:iii</w:t>
      </w:r>
      <w:proofErr w:type="gramEnd"/>
      <w:r w:rsidRPr="00EC16EF">
        <w:t>–iv, ix–x, 1–78.</w:t>
      </w:r>
    </w:p>
    <w:p w14:paraId="21AE506F"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37508100" w14:textId="77777777" w:rsidR="00496AF8" w:rsidRPr="003B1CC5" w:rsidRDefault="00496AF8" w:rsidP="002E2177">
      <w:pPr>
        <w:ind w:left="0" w:firstLine="0"/>
      </w:pPr>
    </w:p>
    <w:p w14:paraId="02C62562" w14:textId="5B6F90F6" w:rsidR="00231451" w:rsidRDefault="009405C3" w:rsidP="002E2177">
      <w:pPr>
        <w:ind w:left="0" w:firstLine="0"/>
      </w:pPr>
      <w:r>
        <w:t>Randomized controlled trials provide an otherwise unobtainable scientific evaluation of health car</w:t>
      </w:r>
      <w:r w:rsidR="009302F7">
        <w:t>e interventions a</w:t>
      </w:r>
      <w:r w:rsidR="00C27A29">
        <w:t>nd processes, and suggest that</w:t>
      </w:r>
      <w:r w:rsidR="009302F7">
        <w:t xml:space="preserve"> </w:t>
      </w:r>
      <w:r w:rsidR="009302F7" w:rsidRPr="00C27A29">
        <w:rPr>
          <w:u w:val="single"/>
        </w:rPr>
        <w:t xml:space="preserve">use of standardized measurements to reach </w:t>
      </w:r>
      <w:r w:rsidR="00A64097" w:rsidRPr="00C27A29">
        <w:rPr>
          <w:u w:val="single"/>
        </w:rPr>
        <w:t xml:space="preserve">RA </w:t>
      </w:r>
      <w:r w:rsidR="009302F7" w:rsidRPr="00C27A29">
        <w:rPr>
          <w:u w:val="single"/>
        </w:rPr>
        <w:t>treatment goals outperforms usual care in improving patient outcomes</w:t>
      </w:r>
      <w:r w:rsidR="009302F7">
        <w:t xml:space="preserve">.  However, </w:t>
      </w:r>
      <w:r w:rsidR="003C10EC">
        <w:t xml:space="preserve">there is significant heterogeneity across trials.  For example, </w:t>
      </w:r>
      <w:r w:rsidR="00231451">
        <w:t>trials used different treatment targets</w:t>
      </w:r>
      <w:r w:rsidR="00C27A29">
        <w:t xml:space="preserve"> (DAS &lt;2.4, Composite </w:t>
      </w:r>
      <w:r w:rsidR="00C27A29">
        <w:lastRenderedPageBreak/>
        <w:t>Response Criteria</w:t>
      </w:r>
      <w:r w:rsidR="00231451">
        <w:t xml:space="preserve">, </w:t>
      </w:r>
      <w:r w:rsidR="00195B50">
        <w:t xml:space="preserve">Swollen Joint Counts, etc.), </w:t>
      </w:r>
      <w:r w:rsidR="00231451">
        <w:t xml:space="preserve">followed patients at different intervals (e.g. clinical assessments were performed monthly to every 4 months; some trials randomized patients to different visit intervals).  Most studies have examined individuals with shorter disease duration.  Only one trial to date has focused explicitly on late disease (duration &gt;5 years) and found no advantage of tighter disease control on functional outcomes.  </w:t>
      </w:r>
    </w:p>
    <w:p w14:paraId="18C95BB9" w14:textId="77777777" w:rsidR="00231451" w:rsidRDefault="00231451" w:rsidP="002E2177">
      <w:pPr>
        <w:ind w:left="0" w:firstLine="0"/>
      </w:pPr>
    </w:p>
    <w:p w14:paraId="550C7BB1" w14:textId="14D79B4C" w:rsidR="009405C3" w:rsidRDefault="00231451" w:rsidP="002E2177">
      <w:pPr>
        <w:ind w:left="0" w:firstLine="0"/>
      </w:pPr>
      <w:r>
        <w:t xml:space="preserve">The heterogeneity of RA </w:t>
      </w:r>
      <w:r w:rsidR="00C27A29">
        <w:t xml:space="preserve">severity </w:t>
      </w:r>
      <w:r>
        <w:t xml:space="preserve">in the population, the limitations of available clinical trials discussed above, and the </w:t>
      </w:r>
      <w:r w:rsidR="00C27A29">
        <w:t xml:space="preserve">complete </w:t>
      </w:r>
      <w:r>
        <w:t xml:space="preserve">absence of studies that have built risk-adjustment models for RA disease activity outcomes limit the ability to develop a risk-adjusted outcome </w:t>
      </w:r>
      <w:r w:rsidR="00C27A29">
        <w:t xml:space="preserve">measure.  </w:t>
      </w:r>
      <w:r w:rsidR="00C27A29" w:rsidRPr="00C27A29">
        <w:rPr>
          <w:i/>
        </w:rPr>
        <w:t xml:space="preserve">However, available </w:t>
      </w:r>
      <w:r w:rsidR="00C27A29">
        <w:rPr>
          <w:i/>
        </w:rPr>
        <w:t xml:space="preserve">trial </w:t>
      </w:r>
      <w:r w:rsidR="00C27A29" w:rsidRPr="00C27A29">
        <w:rPr>
          <w:i/>
        </w:rPr>
        <w:t>evidence and strong national and international consensus support the process of care (performing standardized RA disease activity assessments) to guide treatment</w:t>
      </w:r>
      <w:r w:rsidR="00C27A29">
        <w:t>.</w:t>
      </w:r>
    </w:p>
    <w:p w14:paraId="5AF21894" w14:textId="77777777" w:rsidR="009405C3" w:rsidRPr="003B1CC5" w:rsidRDefault="009405C3" w:rsidP="002E2177">
      <w:pPr>
        <w:ind w:left="0" w:firstLine="0"/>
      </w:pPr>
    </w:p>
    <w:p w14:paraId="71E7FA24" w14:textId="77777777" w:rsidR="00496AF8" w:rsidRPr="003B1CC5" w:rsidRDefault="00C5180E" w:rsidP="002E2177">
      <w:pPr>
        <w:ind w:left="0" w:firstLine="0"/>
        <w:rPr>
          <w:b/>
        </w:rPr>
      </w:pPr>
      <w:r w:rsidRPr="003B1CC5">
        <w:rPr>
          <w:b/>
        </w:rPr>
        <w:t>ESTIMATES OF BENEFIT AND CONSISTENCY ACROSS STUDIES IN BODY OF EVIDENCE</w:t>
      </w:r>
    </w:p>
    <w:p w14:paraId="6B741A35"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601E4914" w14:textId="77777777" w:rsidR="00496AF8" w:rsidRPr="003B1CC5" w:rsidRDefault="00496AF8" w:rsidP="002E2177">
      <w:pPr>
        <w:ind w:left="0" w:firstLine="0"/>
      </w:pPr>
    </w:p>
    <w:p w14:paraId="04E67EC7" w14:textId="7ABAE274" w:rsidR="009B5BEA" w:rsidRDefault="00195B50" w:rsidP="002E2177">
      <w:pPr>
        <w:ind w:left="0" w:firstLine="0"/>
      </w:pPr>
      <w:r>
        <w:t xml:space="preserve">Heterogeneity across studies limits our ability to calculate benefits across studies.  No meta-analyses have been performed. </w:t>
      </w:r>
    </w:p>
    <w:p w14:paraId="62190781" w14:textId="77777777" w:rsidR="00195B50" w:rsidRPr="003B1CC5" w:rsidRDefault="00195B50" w:rsidP="002E2177">
      <w:pPr>
        <w:ind w:left="0" w:firstLine="0"/>
      </w:pPr>
    </w:p>
    <w:p w14:paraId="199A4B19"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4F3FB767" w14:textId="77777777" w:rsidR="00496AF8" w:rsidRPr="003B1CC5" w:rsidRDefault="00496AF8" w:rsidP="002E2177">
      <w:pPr>
        <w:ind w:left="0" w:firstLine="0"/>
      </w:pPr>
    </w:p>
    <w:p w14:paraId="472FC4A5" w14:textId="4006808C" w:rsidR="00C635D8" w:rsidRDefault="00195B50" w:rsidP="00C635D8">
      <w:pPr>
        <w:ind w:left="0" w:firstLine="0"/>
      </w:pPr>
      <w:r>
        <w:t xml:space="preserve">No studies </w:t>
      </w:r>
      <w:r w:rsidR="00C635D8">
        <w:t xml:space="preserve">conducted to date have found </w:t>
      </w:r>
      <w:r>
        <w:t>harms</w:t>
      </w:r>
      <w:r w:rsidR="00C635D8">
        <w:t xml:space="preserve"> associated with either RA disease activity measurement or treating to target</w:t>
      </w:r>
      <w:r w:rsidR="003738A5">
        <w:t>, although data are limited</w:t>
      </w:r>
      <w:r>
        <w:t>.</w:t>
      </w:r>
      <w:r w:rsidR="00C635D8">
        <w:t xml:space="preserve">  For example, in the TICORA study, t</w:t>
      </w:r>
      <w:r w:rsidR="00C635D8" w:rsidRPr="00C635D8">
        <w:t>hree patients assigned routine care and one allocated intensive management died during the study; none was judged attributable to treatment</w:t>
      </w:r>
      <w:r w:rsidR="00C635D8">
        <w:t xml:space="preserve"> (</w:t>
      </w:r>
      <w:proofErr w:type="spellStart"/>
      <w:r w:rsidR="008816C6">
        <w:rPr>
          <w:i/>
        </w:rPr>
        <w:t>Grigor</w:t>
      </w:r>
      <w:proofErr w:type="spellEnd"/>
      <w:r w:rsidR="008816C6">
        <w:rPr>
          <w:i/>
        </w:rPr>
        <w:t xml:space="preserve"> C </w:t>
      </w:r>
      <w:r w:rsidR="00C635D8" w:rsidRPr="00C635D8">
        <w:rPr>
          <w:i/>
        </w:rPr>
        <w:t xml:space="preserve">et al. Effect of a treatment strategy of tight control for rheumatoid arthritis (the TICORA study): a single-blind </w:t>
      </w:r>
      <w:proofErr w:type="spellStart"/>
      <w:r w:rsidR="00C635D8" w:rsidRPr="00C635D8">
        <w:rPr>
          <w:i/>
        </w:rPr>
        <w:t>randomised</w:t>
      </w:r>
      <w:proofErr w:type="spellEnd"/>
      <w:r w:rsidR="00C635D8" w:rsidRPr="00C635D8">
        <w:rPr>
          <w:i/>
        </w:rPr>
        <w:t xml:space="preserve"> controlled trial. Lancet 2004</w:t>
      </w:r>
      <w:proofErr w:type="gramStart"/>
      <w:r w:rsidR="00C635D8" w:rsidRPr="00C635D8">
        <w:rPr>
          <w:i/>
        </w:rPr>
        <w:t>;364:263</w:t>
      </w:r>
      <w:proofErr w:type="gramEnd"/>
      <w:r w:rsidR="00C635D8" w:rsidRPr="00C635D8">
        <w:rPr>
          <w:i/>
        </w:rPr>
        <w:t>–9</w:t>
      </w:r>
      <w:r w:rsidR="00C635D8">
        <w:t>).  Similarly, in the CAMERA study, rates of adverse events were comparable between groups</w:t>
      </w:r>
      <w:r w:rsidR="008816C6">
        <w:t xml:space="preserve"> (</w:t>
      </w:r>
      <w:r w:rsidR="008816C6" w:rsidRPr="008816C6">
        <w:rPr>
          <w:i/>
        </w:rPr>
        <w:t>Verstappen SM et al. Intensive treatment with methotrexate in early rheumatoid arthritis: aiming for remission. Computer Assisted Management in Early Rheumatoid Arthritis (CAMERA, an open-label strategy trial). Ann Rheum Dis 2007</w:t>
      </w:r>
      <w:proofErr w:type="gramStart"/>
      <w:r w:rsidR="008816C6" w:rsidRPr="008816C6">
        <w:rPr>
          <w:i/>
        </w:rPr>
        <w:t>;66:1443</w:t>
      </w:r>
      <w:proofErr w:type="gramEnd"/>
      <w:r w:rsidR="008816C6" w:rsidRPr="008816C6">
        <w:rPr>
          <w:i/>
        </w:rPr>
        <w:t>–9</w:t>
      </w:r>
      <w:r w:rsidR="008816C6">
        <w:t>)</w:t>
      </w:r>
      <w:r w:rsidR="00C635D8">
        <w:t xml:space="preserve"> .</w:t>
      </w:r>
    </w:p>
    <w:p w14:paraId="6E8E8721" w14:textId="77777777" w:rsidR="00195B50" w:rsidRPr="003B1CC5" w:rsidRDefault="00195B50" w:rsidP="002E2177">
      <w:pPr>
        <w:ind w:left="0" w:firstLine="0"/>
      </w:pPr>
    </w:p>
    <w:p w14:paraId="7312CC9F" w14:textId="77777777" w:rsidR="00496AF8" w:rsidRPr="003B1CC5" w:rsidRDefault="00C5180E" w:rsidP="002E2177">
      <w:pPr>
        <w:ind w:left="0" w:firstLine="0"/>
        <w:rPr>
          <w:b/>
          <w:noProof/>
        </w:rPr>
      </w:pPr>
      <w:r w:rsidRPr="003B1CC5">
        <w:rPr>
          <w:b/>
          <w:noProof/>
        </w:rPr>
        <w:t>UPDATE TO THE SYSTEMATIC REVIEW(S) OF THE BODY OF EVIDENCE</w:t>
      </w:r>
    </w:p>
    <w:p w14:paraId="3340DB36"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5A266C60" w14:textId="77777777" w:rsidR="00837121" w:rsidRPr="003B1CC5" w:rsidRDefault="00837121" w:rsidP="002E2177">
      <w:pPr>
        <w:ind w:left="0" w:firstLine="0"/>
        <w:rPr>
          <w:b/>
          <w:color w:val="0070C0"/>
        </w:rPr>
      </w:pPr>
    </w:p>
    <w:p w14:paraId="0F187CD7" w14:textId="77777777" w:rsidR="0094689F" w:rsidRPr="003B1CC5" w:rsidRDefault="00925F11" w:rsidP="002E2177">
      <w:pPr>
        <w:ind w:left="0" w:firstLine="0"/>
        <w:rPr>
          <w:b/>
          <w:color w:val="0070C0"/>
        </w:rPr>
      </w:pPr>
      <w:r w:rsidRPr="003B1CC5">
        <w:rPr>
          <w:b/>
          <w:iCs/>
          <w:caps/>
        </w:rPr>
        <w:t>_________________________</w:t>
      </w:r>
    </w:p>
    <w:p w14:paraId="3979EF0A"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15D42F8C" w14:textId="77777777" w:rsidR="00837121"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61047A46" w14:textId="77777777" w:rsidR="00837121" w:rsidRPr="003B1CC5" w:rsidRDefault="00837121" w:rsidP="002E2177">
      <w:pPr>
        <w:ind w:left="0" w:firstLine="0"/>
      </w:pPr>
    </w:p>
    <w:p w14:paraId="03D3CA9E" w14:textId="77777777"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14:paraId="6F10B430" w14:textId="77777777" w:rsidR="009755D9" w:rsidRDefault="009755D9" w:rsidP="002E2177">
      <w:pPr>
        <w:ind w:left="0" w:firstLine="0"/>
        <w:rPr>
          <w:b/>
        </w:rPr>
      </w:pPr>
    </w:p>
    <w:p w14:paraId="4113DC54" w14:textId="77777777" w:rsidR="00837121" w:rsidRPr="003B1CC5" w:rsidRDefault="00837121" w:rsidP="002E2177">
      <w:pPr>
        <w:ind w:left="0" w:firstLine="0"/>
      </w:pPr>
    </w:p>
    <w:p w14:paraId="31F8620D" w14:textId="77777777"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14:paraId="73C547D5" w14:textId="77777777" w:rsidR="009755D9" w:rsidRPr="009755D9" w:rsidRDefault="009755D9" w:rsidP="002E2177">
      <w:pPr>
        <w:ind w:left="0" w:firstLine="0"/>
      </w:pPr>
    </w:p>
    <w:sectPr w:rsidR="009755D9" w:rsidRPr="009755D9">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BDE6D" w14:textId="77777777" w:rsidR="00BC384F" w:rsidRDefault="00BC384F" w:rsidP="007E37A5">
      <w:r>
        <w:separator/>
      </w:r>
    </w:p>
  </w:endnote>
  <w:endnote w:type="continuationSeparator" w:id="0">
    <w:p w14:paraId="281C3867" w14:textId="77777777" w:rsidR="00BC384F" w:rsidRDefault="00BC384F"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tempelSchneidlerStd-Roman">
    <w:altName w:val="MS Mincho"/>
    <w:panose1 w:val="00000000000000000000"/>
    <w:charset w:val="80"/>
    <w:family w:val="auto"/>
    <w:notTrueType/>
    <w:pitch w:val="default"/>
    <w:sig w:usb0="00000001" w:usb1="08070000" w:usb2="00000010" w:usb3="00000000" w:csb0="00020000" w:csb1="00000000"/>
  </w:font>
  <w:font w:name="Melior">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A2628" w14:textId="77777777" w:rsidR="002B4426" w:rsidRDefault="002B4426">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DB54CD">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D57320" w14:textId="77777777" w:rsidR="00BC384F" w:rsidRDefault="00BC384F" w:rsidP="007E37A5">
      <w:r>
        <w:separator/>
      </w:r>
    </w:p>
  </w:footnote>
  <w:footnote w:type="continuationSeparator" w:id="0">
    <w:p w14:paraId="20DF5C3C" w14:textId="77777777" w:rsidR="00BC384F" w:rsidRDefault="00BC384F"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F0AC8" w14:textId="77777777" w:rsidR="002B4426" w:rsidRDefault="002B4426"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FAF36FA"/>
    <w:multiLevelType w:val="hybridMultilevel"/>
    <w:tmpl w:val="6CA2F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36B84"/>
    <w:rsid w:val="00040DCF"/>
    <w:rsid w:val="000437B9"/>
    <w:rsid w:val="000518EE"/>
    <w:rsid w:val="00052C0B"/>
    <w:rsid w:val="00061CF3"/>
    <w:rsid w:val="00063601"/>
    <w:rsid w:val="00073079"/>
    <w:rsid w:val="0007593F"/>
    <w:rsid w:val="00094920"/>
    <w:rsid w:val="00095EC9"/>
    <w:rsid w:val="00096A37"/>
    <w:rsid w:val="000A0810"/>
    <w:rsid w:val="000B125B"/>
    <w:rsid w:val="000B627F"/>
    <w:rsid w:val="000B70C4"/>
    <w:rsid w:val="000D09D7"/>
    <w:rsid w:val="000D649E"/>
    <w:rsid w:val="000D6D06"/>
    <w:rsid w:val="00110127"/>
    <w:rsid w:val="00114848"/>
    <w:rsid w:val="00120934"/>
    <w:rsid w:val="00132070"/>
    <w:rsid w:val="00141875"/>
    <w:rsid w:val="0014347E"/>
    <w:rsid w:val="00154438"/>
    <w:rsid w:val="001551F6"/>
    <w:rsid w:val="0015535B"/>
    <w:rsid w:val="00155844"/>
    <w:rsid w:val="00162036"/>
    <w:rsid w:val="001632DD"/>
    <w:rsid w:val="00176E60"/>
    <w:rsid w:val="00192E71"/>
    <w:rsid w:val="00194D9A"/>
    <w:rsid w:val="00195B50"/>
    <w:rsid w:val="001A196B"/>
    <w:rsid w:val="001A6D05"/>
    <w:rsid w:val="001B38BF"/>
    <w:rsid w:val="001B772D"/>
    <w:rsid w:val="001D5B5D"/>
    <w:rsid w:val="001E6153"/>
    <w:rsid w:val="00201FF9"/>
    <w:rsid w:val="00205857"/>
    <w:rsid w:val="00231451"/>
    <w:rsid w:val="00235ADC"/>
    <w:rsid w:val="00236F87"/>
    <w:rsid w:val="00265702"/>
    <w:rsid w:val="002662B2"/>
    <w:rsid w:val="002717C7"/>
    <w:rsid w:val="002875E9"/>
    <w:rsid w:val="00287EB3"/>
    <w:rsid w:val="0029265A"/>
    <w:rsid w:val="002A47BA"/>
    <w:rsid w:val="002A6777"/>
    <w:rsid w:val="002B06BD"/>
    <w:rsid w:val="002B4426"/>
    <w:rsid w:val="002B7750"/>
    <w:rsid w:val="002C0E48"/>
    <w:rsid w:val="002C6F04"/>
    <w:rsid w:val="002E2177"/>
    <w:rsid w:val="002E2E41"/>
    <w:rsid w:val="002E78CD"/>
    <w:rsid w:val="002F20A7"/>
    <w:rsid w:val="003008F4"/>
    <w:rsid w:val="00302B1D"/>
    <w:rsid w:val="00307FA5"/>
    <w:rsid w:val="00324D64"/>
    <w:rsid w:val="00352B52"/>
    <w:rsid w:val="0035760D"/>
    <w:rsid w:val="00363ECC"/>
    <w:rsid w:val="003738A5"/>
    <w:rsid w:val="0039020B"/>
    <w:rsid w:val="00395263"/>
    <w:rsid w:val="003956E0"/>
    <w:rsid w:val="0039609A"/>
    <w:rsid w:val="00397500"/>
    <w:rsid w:val="003A6407"/>
    <w:rsid w:val="003B1CC5"/>
    <w:rsid w:val="003B65CE"/>
    <w:rsid w:val="003B7711"/>
    <w:rsid w:val="003C10EC"/>
    <w:rsid w:val="003E039E"/>
    <w:rsid w:val="00422917"/>
    <w:rsid w:val="00440687"/>
    <w:rsid w:val="0044131D"/>
    <w:rsid w:val="00441ADA"/>
    <w:rsid w:val="00457E46"/>
    <w:rsid w:val="00496AF8"/>
    <w:rsid w:val="004A575D"/>
    <w:rsid w:val="004B65C6"/>
    <w:rsid w:val="004B7B9B"/>
    <w:rsid w:val="004D1DC7"/>
    <w:rsid w:val="004F7D7E"/>
    <w:rsid w:val="00500B0C"/>
    <w:rsid w:val="00537150"/>
    <w:rsid w:val="00540984"/>
    <w:rsid w:val="00543851"/>
    <w:rsid w:val="0055559D"/>
    <w:rsid w:val="005569AE"/>
    <w:rsid w:val="005857F8"/>
    <w:rsid w:val="005A0DA9"/>
    <w:rsid w:val="005A195C"/>
    <w:rsid w:val="005B0D18"/>
    <w:rsid w:val="005B12C3"/>
    <w:rsid w:val="005B409D"/>
    <w:rsid w:val="005D0FDB"/>
    <w:rsid w:val="005D25E9"/>
    <w:rsid w:val="005D6D59"/>
    <w:rsid w:val="00617390"/>
    <w:rsid w:val="00623420"/>
    <w:rsid w:val="00634768"/>
    <w:rsid w:val="0063596F"/>
    <w:rsid w:val="006627D7"/>
    <w:rsid w:val="006709EB"/>
    <w:rsid w:val="00672824"/>
    <w:rsid w:val="0067515D"/>
    <w:rsid w:val="0068184A"/>
    <w:rsid w:val="006B5840"/>
    <w:rsid w:val="006B5C51"/>
    <w:rsid w:val="006C7F30"/>
    <w:rsid w:val="006E6FDD"/>
    <w:rsid w:val="006F4B7F"/>
    <w:rsid w:val="006F760B"/>
    <w:rsid w:val="00701CC3"/>
    <w:rsid w:val="00717D51"/>
    <w:rsid w:val="00724801"/>
    <w:rsid w:val="00734949"/>
    <w:rsid w:val="00736AEC"/>
    <w:rsid w:val="00736E0F"/>
    <w:rsid w:val="007379E6"/>
    <w:rsid w:val="007434FA"/>
    <w:rsid w:val="007518D8"/>
    <w:rsid w:val="00755C57"/>
    <w:rsid w:val="007573F0"/>
    <w:rsid w:val="00765156"/>
    <w:rsid w:val="00767669"/>
    <w:rsid w:val="00773485"/>
    <w:rsid w:val="00776E8F"/>
    <w:rsid w:val="00776F6D"/>
    <w:rsid w:val="007A7CD8"/>
    <w:rsid w:val="007C0297"/>
    <w:rsid w:val="007C1887"/>
    <w:rsid w:val="007D4775"/>
    <w:rsid w:val="007D5DC6"/>
    <w:rsid w:val="007E37A5"/>
    <w:rsid w:val="007F49D8"/>
    <w:rsid w:val="007F5CCE"/>
    <w:rsid w:val="00805940"/>
    <w:rsid w:val="00812ADC"/>
    <w:rsid w:val="00837121"/>
    <w:rsid w:val="008471E5"/>
    <w:rsid w:val="00850C35"/>
    <w:rsid w:val="00851466"/>
    <w:rsid w:val="00851EAB"/>
    <w:rsid w:val="008604FF"/>
    <w:rsid w:val="008628E8"/>
    <w:rsid w:val="00863E43"/>
    <w:rsid w:val="008647C3"/>
    <w:rsid w:val="008659ED"/>
    <w:rsid w:val="00870987"/>
    <w:rsid w:val="0087564A"/>
    <w:rsid w:val="00881160"/>
    <w:rsid w:val="008816C6"/>
    <w:rsid w:val="0088371C"/>
    <w:rsid w:val="00885535"/>
    <w:rsid w:val="008A2439"/>
    <w:rsid w:val="008A45F3"/>
    <w:rsid w:val="008B51D9"/>
    <w:rsid w:val="008B652E"/>
    <w:rsid w:val="008F1DC6"/>
    <w:rsid w:val="00904B9E"/>
    <w:rsid w:val="00905C5B"/>
    <w:rsid w:val="00914022"/>
    <w:rsid w:val="00923295"/>
    <w:rsid w:val="00925F11"/>
    <w:rsid w:val="009302F7"/>
    <w:rsid w:val="009339E0"/>
    <w:rsid w:val="00935265"/>
    <w:rsid w:val="009405C3"/>
    <w:rsid w:val="0094689F"/>
    <w:rsid w:val="009477D6"/>
    <w:rsid w:val="00953ED3"/>
    <w:rsid w:val="0095408A"/>
    <w:rsid w:val="00965FF6"/>
    <w:rsid w:val="009755D9"/>
    <w:rsid w:val="009846D6"/>
    <w:rsid w:val="0098657F"/>
    <w:rsid w:val="009A3236"/>
    <w:rsid w:val="009B5A93"/>
    <w:rsid w:val="009B5BEA"/>
    <w:rsid w:val="009C291F"/>
    <w:rsid w:val="009E37BD"/>
    <w:rsid w:val="009E694D"/>
    <w:rsid w:val="009E6B86"/>
    <w:rsid w:val="00A03301"/>
    <w:rsid w:val="00A12762"/>
    <w:rsid w:val="00A13867"/>
    <w:rsid w:val="00A26FED"/>
    <w:rsid w:val="00A421D4"/>
    <w:rsid w:val="00A44FF0"/>
    <w:rsid w:val="00A50E55"/>
    <w:rsid w:val="00A51C05"/>
    <w:rsid w:val="00A5477E"/>
    <w:rsid w:val="00A64097"/>
    <w:rsid w:val="00A67868"/>
    <w:rsid w:val="00A67EB1"/>
    <w:rsid w:val="00A914E5"/>
    <w:rsid w:val="00A91A47"/>
    <w:rsid w:val="00A95D2B"/>
    <w:rsid w:val="00AA5587"/>
    <w:rsid w:val="00AC1E53"/>
    <w:rsid w:val="00AD79C8"/>
    <w:rsid w:val="00AE6CE0"/>
    <w:rsid w:val="00B058A6"/>
    <w:rsid w:val="00B07C6F"/>
    <w:rsid w:val="00B117D0"/>
    <w:rsid w:val="00B13998"/>
    <w:rsid w:val="00B439DD"/>
    <w:rsid w:val="00B52E0F"/>
    <w:rsid w:val="00B74629"/>
    <w:rsid w:val="00B75FAB"/>
    <w:rsid w:val="00B91F58"/>
    <w:rsid w:val="00BA579E"/>
    <w:rsid w:val="00BC384F"/>
    <w:rsid w:val="00BE2295"/>
    <w:rsid w:val="00BE6373"/>
    <w:rsid w:val="00BF533A"/>
    <w:rsid w:val="00C27A29"/>
    <w:rsid w:val="00C46677"/>
    <w:rsid w:val="00C5180E"/>
    <w:rsid w:val="00C54E40"/>
    <w:rsid w:val="00C55F56"/>
    <w:rsid w:val="00C57BA4"/>
    <w:rsid w:val="00C613EB"/>
    <w:rsid w:val="00C635D8"/>
    <w:rsid w:val="00C84623"/>
    <w:rsid w:val="00CA4D16"/>
    <w:rsid w:val="00CB06C9"/>
    <w:rsid w:val="00CB1E41"/>
    <w:rsid w:val="00CB271C"/>
    <w:rsid w:val="00CD0A29"/>
    <w:rsid w:val="00CE4F96"/>
    <w:rsid w:val="00CF0AB1"/>
    <w:rsid w:val="00CF4B9B"/>
    <w:rsid w:val="00CF55E6"/>
    <w:rsid w:val="00CF772F"/>
    <w:rsid w:val="00D014C7"/>
    <w:rsid w:val="00D01C8C"/>
    <w:rsid w:val="00D048DB"/>
    <w:rsid w:val="00D04FE0"/>
    <w:rsid w:val="00D14F0B"/>
    <w:rsid w:val="00D16959"/>
    <w:rsid w:val="00D178CA"/>
    <w:rsid w:val="00D3311C"/>
    <w:rsid w:val="00D35A35"/>
    <w:rsid w:val="00D46B55"/>
    <w:rsid w:val="00D53405"/>
    <w:rsid w:val="00D5457B"/>
    <w:rsid w:val="00D72995"/>
    <w:rsid w:val="00DA7FA2"/>
    <w:rsid w:val="00DB54CD"/>
    <w:rsid w:val="00DC2D8D"/>
    <w:rsid w:val="00DE1F5D"/>
    <w:rsid w:val="00DE3329"/>
    <w:rsid w:val="00DE50D8"/>
    <w:rsid w:val="00DF278A"/>
    <w:rsid w:val="00DF4009"/>
    <w:rsid w:val="00E11947"/>
    <w:rsid w:val="00E1664B"/>
    <w:rsid w:val="00E2646F"/>
    <w:rsid w:val="00E30D12"/>
    <w:rsid w:val="00E3394E"/>
    <w:rsid w:val="00E35241"/>
    <w:rsid w:val="00E41417"/>
    <w:rsid w:val="00E536D3"/>
    <w:rsid w:val="00E57BE2"/>
    <w:rsid w:val="00E62A95"/>
    <w:rsid w:val="00E746A2"/>
    <w:rsid w:val="00E90D06"/>
    <w:rsid w:val="00E95CBE"/>
    <w:rsid w:val="00E97E59"/>
    <w:rsid w:val="00EA79C9"/>
    <w:rsid w:val="00EB66AC"/>
    <w:rsid w:val="00EC16EF"/>
    <w:rsid w:val="00EC2247"/>
    <w:rsid w:val="00EE1F87"/>
    <w:rsid w:val="00EE3931"/>
    <w:rsid w:val="00EE5AF6"/>
    <w:rsid w:val="00EF2CEF"/>
    <w:rsid w:val="00F1092D"/>
    <w:rsid w:val="00F42C20"/>
    <w:rsid w:val="00F431D8"/>
    <w:rsid w:val="00F67706"/>
    <w:rsid w:val="00F75136"/>
    <w:rsid w:val="00F76EE5"/>
    <w:rsid w:val="00F92D75"/>
    <w:rsid w:val="00F97327"/>
    <w:rsid w:val="00FA296F"/>
    <w:rsid w:val="00FA7323"/>
    <w:rsid w:val="00FC192C"/>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B4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38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yperlink" Target="http://www.nice.org.uk/nicemedia/pdf/CG79NICEguideline.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yperlink" Target="http://www.uspreventiveservicestaskforce.org/uspstf/grades.htm" TargetMode="Externa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tempelSchneidlerStd-Roman">
    <w:altName w:val="MS Mincho"/>
    <w:panose1 w:val="00000000000000000000"/>
    <w:charset w:val="80"/>
    <w:family w:val="auto"/>
    <w:notTrueType/>
    <w:pitch w:val="default"/>
    <w:sig w:usb0="00000001" w:usb1="08070000" w:usb2="00000010" w:usb3="00000000" w:csb0="00020000" w:csb1="00000000"/>
  </w:font>
  <w:font w:name="Melior">
    <w:altName w:val="Times New Roman"/>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12116"/>
    <w:rsid w:val="0006669B"/>
    <w:rsid w:val="00160241"/>
    <w:rsid w:val="00212CA0"/>
    <w:rsid w:val="002B5F47"/>
    <w:rsid w:val="003A1E4B"/>
    <w:rsid w:val="003D579D"/>
    <w:rsid w:val="00455EB5"/>
    <w:rsid w:val="00461C1C"/>
    <w:rsid w:val="004E2027"/>
    <w:rsid w:val="005F21F3"/>
    <w:rsid w:val="0075529A"/>
    <w:rsid w:val="008F6A9B"/>
    <w:rsid w:val="00AB40EC"/>
    <w:rsid w:val="00BE0F2D"/>
    <w:rsid w:val="00C03643"/>
    <w:rsid w:val="00C2797F"/>
    <w:rsid w:val="00C80225"/>
    <w:rsid w:val="00D228C9"/>
    <w:rsid w:val="00DB5324"/>
    <w:rsid w:val="00E97654"/>
    <w:rsid w:val="00EA555A"/>
    <w:rsid w:val="00F22F3D"/>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516BA-9FB9-4E26-ADC0-E44F1D5EB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11</Pages>
  <Words>4654</Words>
  <Characters>26531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Melissa Francisco</cp:lastModifiedBy>
  <cp:revision>21</cp:revision>
  <dcterms:created xsi:type="dcterms:W3CDTF">2014-02-28T08:02:00Z</dcterms:created>
  <dcterms:modified xsi:type="dcterms:W3CDTF">2014-03-03T14:19:00Z</dcterms:modified>
</cp:coreProperties>
</file>