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0A24469A"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5E31E6">
            <w:rPr>
              <w:rStyle w:val="Style1"/>
            </w:rPr>
            <w:t>2523</w:t>
          </w:r>
        </w:sdtContent>
      </w:sdt>
    </w:p>
    <w:p w14:paraId="55B8DA2F" w14:textId="7FC0CC3B"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E31E6" w:rsidRPr="005E31E6">
            <w:rPr>
              <w:rStyle w:val="Style1"/>
            </w:rPr>
            <w:t>Rheumatoid Arthritis: Assessment of Disease Activity</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0BD29479"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1T00:00:00Z">
            <w:dateFormat w:val="M/d/yyyy"/>
            <w:lid w:val="en-US"/>
            <w:storeMappedDataAs w:val="dateTime"/>
            <w:calendar w:val="gregorian"/>
          </w:date>
        </w:sdtPr>
        <w:sdtEndPr>
          <w:rPr>
            <w:rStyle w:val="DefaultParagraphFont"/>
            <w:noProof/>
            <w:color w:val="auto"/>
            <w:u w:val="none"/>
          </w:rPr>
        </w:sdtEndPr>
        <w:sdtContent>
          <w:r w:rsidR="005E31E6">
            <w:rPr>
              <w:rStyle w:val="Style2"/>
            </w:rPr>
            <w:t>4/1/2019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3"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4"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F2650F"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F2650F"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F2650F"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4A8D603C" w:rsidR="00D73685" w:rsidRDefault="00F2650F"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742FDC">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742FDC" w:rsidRPr="00742FDC">
            <w:rPr>
              <w:rStyle w:val="Style2"/>
              <w:rFonts w:cstheme="minorHAnsi"/>
            </w:rPr>
            <w:t>Rheumatoid Arthritis: Assessment of Disease Activity (collection of outcome score)</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F2650F"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F2650F"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15E90E52" w14:textId="77777777" w:rsidR="00742FDC" w:rsidRDefault="00742FDC" w:rsidP="002A6B04">
      <w:pPr>
        <w:ind w:left="0" w:firstLine="0"/>
      </w:pPr>
    </w:p>
    <w:p w14:paraId="5B1BD218" w14:textId="05BABCE0" w:rsidR="002A6B04" w:rsidRDefault="00742FDC" w:rsidP="002A6B04">
      <w:pPr>
        <w:ind w:left="0" w:firstLine="0"/>
      </w:pPr>
      <w:r>
        <w:t xml:space="preserve">The proposed measure is a </w:t>
      </w:r>
      <w:r>
        <w:rPr>
          <w:i/>
        </w:rPr>
        <w:t>process</w:t>
      </w:r>
      <w:r>
        <w:t xml:space="preserve"> measure that requires collection of a key </w:t>
      </w:r>
      <w:r>
        <w:rPr>
          <w:i/>
        </w:rPr>
        <w:t xml:space="preserve">health outcome </w:t>
      </w:r>
      <w:r>
        <w:t>using a standardized sco</w:t>
      </w:r>
      <w:r w:rsidR="002A6B04">
        <w:t xml:space="preserve">re. </w:t>
      </w:r>
      <w:r>
        <w:t>Collecting this outcome measure in routine clinical care is supported by American College of Rheumatology (ACR) guidelines (</w:t>
      </w:r>
      <w:r>
        <w:rPr>
          <w:i/>
        </w:rPr>
        <w:t xml:space="preserve">Singh J et al. </w:t>
      </w:r>
      <w:r w:rsidR="002A6B04">
        <w:t>2015 American College of Rheumatology</w:t>
      </w:r>
    </w:p>
    <w:p w14:paraId="53ECDF69" w14:textId="00C89B39" w:rsidR="00742FDC" w:rsidRDefault="002A6B04" w:rsidP="002A6B04">
      <w:pPr>
        <w:ind w:left="0" w:firstLine="0"/>
      </w:pPr>
      <w:proofErr w:type="gramStart"/>
      <w:r>
        <w:t>Guideline for the Treatment of Rheumatoid Arthritis</w:t>
      </w:r>
      <w:r w:rsidR="00742FDC">
        <w:rPr>
          <w:i/>
        </w:rPr>
        <w:t>.</w:t>
      </w:r>
      <w:proofErr w:type="gramEnd"/>
      <w:r w:rsidR="00742FDC">
        <w:rPr>
          <w:i/>
        </w:rPr>
        <w:t xml:space="preserve"> </w:t>
      </w:r>
      <w:proofErr w:type="gramStart"/>
      <w:r w:rsidR="00742FDC">
        <w:rPr>
          <w:i/>
        </w:rPr>
        <w:t xml:space="preserve">Arthritis </w:t>
      </w:r>
      <w:proofErr w:type="spellStart"/>
      <w:r>
        <w:rPr>
          <w:i/>
        </w:rPr>
        <w:t>Rheumatol</w:t>
      </w:r>
      <w:proofErr w:type="spellEnd"/>
      <w:r>
        <w:rPr>
          <w:i/>
        </w:rPr>
        <w:t>.</w:t>
      </w:r>
      <w:proofErr w:type="gramEnd"/>
      <w:r>
        <w:rPr>
          <w:i/>
        </w:rPr>
        <w:t xml:space="preserve"> 2016</w:t>
      </w:r>
      <w:r w:rsidR="00742FDC">
        <w:rPr>
          <w:i/>
        </w:rPr>
        <w:t xml:space="preserve"> </w:t>
      </w:r>
      <w:r>
        <w:rPr>
          <w:i/>
        </w:rPr>
        <w:t>Dec</w:t>
      </w:r>
      <w:proofErr w:type="gramStart"/>
      <w:r>
        <w:rPr>
          <w:i/>
        </w:rPr>
        <w:t>;68</w:t>
      </w:r>
      <w:proofErr w:type="gramEnd"/>
      <w:r>
        <w:rPr>
          <w:i/>
        </w:rPr>
        <w:t>(1):1-26</w:t>
      </w:r>
      <w:r w:rsidR="00742FDC">
        <w:t xml:space="preserve">). </w:t>
      </w:r>
    </w:p>
    <w:p w14:paraId="4143A1AD" w14:textId="77777777" w:rsidR="00742FDC" w:rsidRDefault="00742FDC" w:rsidP="002A6B04"/>
    <w:p w14:paraId="5A9E3E37" w14:textId="28D720AE" w:rsidR="00742FDC" w:rsidRDefault="00742FDC" w:rsidP="00742FDC">
      <w:pPr>
        <w:ind w:left="0" w:firstLine="0"/>
      </w:pPr>
      <w:r>
        <w:t>The ACR undertook an extensive multi-year project, involving systematic literature reviews, expert consensus ratings, and national surveys to reach consensus on which RA disease activity measures are valid, reliable, and responsive, and feasible to implement in routine clinical practice (</w:t>
      </w:r>
      <w:r>
        <w:rPr>
          <w:i/>
        </w:rPr>
        <w:t xml:space="preserve">Anderson J et al., Rheumatoid arthritis disease activity measures: American College of Rheumatology recommendations for use in clinical practice.  </w:t>
      </w:r>
      <w:proofErr w:type="gramStart"/>
      <w:r>
        <w:rPr>
          <w:i/>
        </w:rPr>
        <w:t>Arthritis Care Res (Hoboken).</w:t>
      </w:r>
      <w:proofErr w:type="gramEnd"/>
      <w:r>
        <w:rPr>
          <w:i/>
        </w:rPr>
        <w:t xml:space="preserve"> 2012 May</w:t>
      </w:r>
      <w:proofErr w:type="gramStart"/>
      <w:r>
        <w:rPr>
          <w:i/>
        </w:rPr>
        <w:t>;64</w:t>
      </w:r>
      <w:proofErr w:type="gramEnd"/>
      <w:r>
        <w:rPr>
          <w:i/>
        </w:rPr>
        <w:t>(5):640-7</w:t>
      </w:r>
      <w:r>
        <w:t>).  This manuscript is included as a supplemental Appendix.</w:t>
      </w:r>
    </w:p>
    <w:p w14:paraId="03C5B20E" w14:textId="77777777" w:rsidR="00742FDC" w:rsidRDefault="00742FDC" w:rsidP="00742FDC">
      <w:pPr>
        <w:ind w:left="0" w:firstLine="0"/>
      </w:pPr>
    </w:p>
    <w:p w14:paraId="524C700B" w14:textId="08D5D03A" w:rsidR="00742FDC" w:rsidRDefault="00742FDC" w:rsidP="00742FDC">
      <w:pPr>
        <w:ind w:left="0" w:firstLine="0"/>
      </w:pPr>
      <w:r>
        <w:t>The ACR endorsed 6 RA disease activity measurement tools, which include overlapping core elements (Figure 1).  All include a patient-reported component (PRO).  No measure is currently a gold standard; there is good scientific evidence supporting each endorsed measure.  Therefore, clinicians can select from a range of valid options appropriate to their practice settings and available resources. This novel approach to measurement has been extensively validated in RA over a period of several decades (</w:t>
      </w:r>
      <w:r>
        <w:rPr>
          <w:i/>
        </w:rPr>
        <w:t xml:space="preserve">Anderson J et al., Rheumatoid arthritis disease activity measures: American College of Rheumatology recommendations for use in clinical practice.  </w:t>
      </w:r>
      <w:proofErr w:type="gramStart"/>
      <w:r>
        <w:rPr>
          <w:i/>
        </w:rPr>
        <w:t>Arthritis Care Res (Hoboken).</w:t>
      </w:r>
      <w:proofErr w:type="gramEnd"/>
      <w:r>
        <w:rPr>
          <w:i/>
        </w:rPr>
        <w:t xml:space="preserve"> 2012 May</w:t>
      </w:r>
      <w:proofErr w:type="gramStart"/>
      <w:r>
        <w:rPr>
          <w:i/>
        </w:rPr>
        <w:t>;64</w:t>
      </w:r>
      <w:proofErr w:type="gramEnd"/>
      <w:r>
        <w:rPr>
          <w:i/>
        </w:rPr>
        <w:t>(5):640-7)</w:t>
      </w:r>
      <w:r>
        <w:t>.</w:t>
      </w:r>
    </w:p>
    <w:p w14:paraId="59732F3C" w14:textId="77777777" w:rsidR="00742FDC" w:rsidRDefault="00742FDC" w:rsidP="00742FDC"/>
    <w:p w14:paraId="32E7F773" w14:textId="6094F912" w:rsidR="00742FDC" w:rsidRDefault="00742FDC" w:rsidP="00742FDC">
      <w:pPr>
        <w:ind w:left="0" w:firstLine="0"/>
        <w:rPr>
          <w:b/>
        </w:rPr>
      </w:pPr>
      <w:proofErr w:type="gramStart"/>
      <w:r>
        <w:rPr>
          <w:b/>
        </w:rPr>
        <w:lastRenderedPageBreak/>
        <w:t>Figure 1.</w:t>
      </w:r>
      <w:proofErr w:type="gramEnd"/>
      <w:r>
        <w:rPr>
          <w:b/>
        </w:rPr>
        <w:t xml:space="preserve">  Core elements of American College of Rheumatology’s endorsed rheumatoid arthritis </w:t>
      </w:r>
      <w:r w:rsidR="000F13A7">
        <w:rPr>
          <w:noProof/>
        </w:rPr>
        <w:drawing>
          <wp:inline distT="0" distB="0" distL="0" distR="0" wp14:anchorId="4E240CD7" wp14:editId="256ABA70">
            <wp:extent cx="2628900" cy="1654810"/>
            <wp:effectExtent l="0" t="0" r="0" b="2540"/>
            <wp:docPr id="1" name="Picture 1" descr="Figure 1.  Core elements of American College of Rheumatology’s endorsed rheumatoid arthritis&#10;The figure contains a Venn diagram of three potential sources of information used for the ACR-endorsed disease activity assessment tools: patient, lab and provider. Under patient is PAS, PAS-II, and RAPID3. At the intersection of lab and provider is DAS28 and SDAI. At the intersection of provider and patient is CD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inoosyazdany:Desktop:Screen Shot 2014-02-27 at 11.39.59 P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28900" cy="1654810"/>
                    </a:xfrm>
                    <a:prstGeom prst="rect">
                      <a:avLst/>
                    </a:prstGeom>
                    <a:noFill/>
                  </pic:spPr>
                </pic:pic>
              </a:graphicData>
            </a:graphic>
          </wp:inline>
        </w:drawing>
      </w:r>
    </w:p>
    <w:p w14:paraId="080CCAC7" w14:textId="77777777" w:rsidR="00742FDC" w:rsidRDefault="00742FDC" w:rsidP="00742FDC">
      <w:pPr>
        <w:ind w:left="0" w:firstLine="0"/>
        <w:rPr>
          <w:iCs/>
        </w:rPr>
      </w:pPr>
    </w:p>
    <w:p w14:paraId="6DCBD928" w14:textId="77777777" w:rsidR="00742FDC" w:rsidRDefault="00742FDC" w:rsidP="00742FDC">
      <w:pPr>
        <w:ind w:left="0" w:firstLine="0"/>
        <w:rPr>
          <w:iCs/>
        </w:rPr>
      </w:pPr>
      <w:r>
        <w:rPr>
          <w:iCs/>
        </w:rPr>
        <w:t xml:space="preserve">The 6 proposed outcome measures have </w:t>
      </w:r>
      <w:proofErr w:type="spellStart"/>
      <w:r>
        <w:rPr>
          <w:iCs/>
        </w:rPr>
        <w:t>cutpoints</w:t>
      </w:r>
      <w:proofErr w:type="spellEnd"/>
      <w:r>
        <w:rPr>
          <w:iCs/>
        </w:rPr>
        <w:t xml:space="preserve"> for low, moderate and high disease activity as well as disease remission to facilitate clinical decision-making.  See Table 1.  </w:t>
      </w:r>
    </w:p>
    <w:p w14:paraId="4056BB75" w14:textId="77777777" w:rsidR="00742FDC" w:rsidRDefault="00742FDC" w:rsidP="00742FDC">
      <w:pPr>
        <w:ind w:left="0" w:firstLine="0"/>
        <w:rPr>
          <w:iCs/>
        </w:rPr>
      </w:pPr>
    </w:p>
    <w:p w14:paraId="087B72C8" w14:textId="77777777" w:rsidR="00742FDC" w:rsidRDefault="00742FDC" w:rsidP="00742FDC">
      <w:pPr>
        <w:ind w:left="0" w:firstLine="0"/>
        <w:rPr>
          <w:b/>
          <w:iCs/>
        </w:rPr>
      </w:pPr>
      <w:proofErr w:type="gramStart"/>
      <w:r>
        <w:rPr>
          <w:b/>
          <w:iCs/>
        </w:rPr>
        <w:t>Table 1.</w:t>
      </w:r>
      <w:proofErr w:type="gramEnd"/>
      <w:r>
        <w:rPr>
          <w:b/>
          <w:iCs/>
        </w:rPr>
        <w:t xml:space="preserve">  </w:t>
      </w:r>
      <w:proofErr w:type="gramStart"/>
      <w:r>
        <w:rPr>
          <w:b/>
          <w:iCs/>
        </w:rPr>
        <w:t xml:space="preserve">Disease activity </w:t>
      </w:r>
      <w:proofErr w:type="spellStart"/>
      <w:r>
        <w:rPr>
          <w:b/>
          <w:iCs/>
        </w:rPr>
        <w:t>cutpoints</w:t>
      </w:r>
      <w:proofErr w:type="spellEnd"/>
      <w:r>
        <w:rPr>
          <w:b/>
          <w:iCs/>
        </w:rPr>
        <w:t xml:space="preserve"> for American College of Rheumatology–recommended disease activity measures.</w:t>
      </w:r>
      <w:proofErr w:type="gramEnd"/>
    </w:p>
    <w:p w14:paraId="02EF2678" w14:textId="77777777" w:rsidR="00742FDC" w:rsidRDefault="00742FDC" w:rsidP="00742FDC">
      <w:pPr>
        <w:ind w:left="0" w:firstLine="0"/>
        <w:rPr>
          <w:iCs/>
        </w:rPr>
      </w:pPr>
    </w:p>
    <w:tbl>
      <w:tblPr>
        <w:tblW w:w="8460" w:type="dxa"/>
        <w:tblInd w:w="93" w:type="dxa"/>
        <w:tblLook w:val="04A0" w:firstRow="1" w:lastRow="0" w:firstColumn="1" w:lastColumn="0" w:noHBand="0" w:noVBand="1"/>
      </w:tblPr>
      <w:tblGrid>
        <w:gridCol w:w="2237"/>
        <w:gridCol w:w="820"/>
        <w:gridCol w:w="1235"/>
        <w:gridCol w:w="1356"/>
        <w:gridCol w:w="1436"/>
        <w:gridCol w:w="1376"/>
      </w:tblGrid>
      <w:tr w:rsidR="00742FDC" w14:paraId="409D03B7" w14:textId="77777777" w:rsidTr="00742FDC">
        <w:trPr>
          <w:trHeight w:val="315"/>
        </w:trPr>
        <w:tc>
          <w:tcPr>
            <w:tcW w:w="2237" w:type="dxa"/>
            <w:tcBorders>
              <w:top w:val="single" w:sz="4" w:space="0" w:color="auto"/>
              <w:left w:val="single" w:sz="4" w:space="0" w:color="auto"/>
              <w:bottom w:val="single" w:sz="4" w:space="0" w:color="auto"/>
              <w:right w:val="single" w:sz="4" w:space="0" w:color="auto"/>
            </w:tcBorders>
          </w:tcPr>
          <w:p w14:paraId="2BA38BD5" w14:textId="77777777" w:rsidR="00742FDC" w:rsidRDefault="00742FDC">
            <w:pPr>
              <w:ind w:left="0" w:firstLine="0"/>
              <w:rPr>
                <w:rFonts w:ascii="Calibri" w:eastAsia="Times New Roman" w:hAnsi="Calibri" w:cs="Times New Roman"/>
                <w:color w:val="000000"/>
              </w:rPr>
            </w:pPr>
          </w:p>
        </w:tc>
        <w:tc>
          <w:tcPr>
            <w:tcW w:w="820" w:type="dxa"/>
            <w:tcBorders>
              <w:top w:val="single" w:sz="4" w:space="0" w:color="auto"/>
              <w:left w:val="single" w:sz="4" w:space="0" w:color="auto"/>
              <w:bottom w:val="single" w:sz="4" w:space="0" w:color="auto"/>
              <w:right w:val="single" w:sz="4" w:space="0" w:color="auto"/>
            </w:tcBorders>
            <w:noWrap/>
            <w:vAlign w:val="bottom"/>
            <w:hideMark/>
          </w:tcPr>
          <w:p w14:paraId="3C3833BD"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Range</w:t>
            </w:r>
          </w:p>
        </w:tc>
        <w:tc>
          <w:tcPr>
            <w:tcW w:w="1235" w:type="dxa"/>
            <w:tcBorders>
              <w:top w:val="single" w:sz="4" w:space="0" w:color="auto"/>
              <w:left w:val="nil"/>
              <w:bottom w:val="single" w:sz="4" w:space="0" w:color="auto"/>
              <w:right w:val="single" w:sz="4" w:space="0" w:color="auto"/>
            </w:tcBorders>
            <w:shd w:val="clear" w:color="auto" w:fill="92D050"/>
            <w:noWrap/>
            <w:vAlign w:val="bottom"/>
            <w:hideMark/>
          </w:tcPr>
          <w:p w14:paraId="53259D78"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Remission</w:t>
            </w:r>
          </w:p>
        </w:tc>
        <w:tc>
          <w:tcPr>
            <w:tcW w:w="1356" w:type="dxa"/>
            <w:tcBorders>
              <w:top w:val="single" w:sz="4" w:space="0" w:color="auto"/>
              <w:left w:val="nil"/>
              <w:bottom w:val="single" w:sz="4" w:space="0" w:color="auto"/>
              <w:right w:val="single" w:sz="4" w:space="0" w:color="auto"/>
            </w:tcBorders>
            <w:shd w:val="clear" w:color="auto" w:fill="FFFF00"/>
            <w:noWrap/>
            <w:vAlign w:val="bottom"/>
            <w:hideMark/>
          </w:tcPr>
          <w:p w14:paraId="6516ED31"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Low</w:t>
            </w:r>
          </w:p>
        </w:tc>
        <w:tc>
          <w:tcPr>
            <w:tcW w:w="1436" w:type="dxa"/>
            <w:tcBorders>
              <w:top w:val="single" w:sz="4" w:space="0" w:color="auto"/>
              <w:left w:val="nil"/>
              <w:bottom w:val="single" w:sz="4" w:space="0" w:color="auto"/>
              <w:right w:val="single" w:sz="4" w:space="0" w:color="auto"/>
            </w:tcBorders>
            <w:shd w:val="clear" w:color="auto" w:fill="E6B8B7"/>
            <w:noWrap/>
            <w:vAlign w:val="bottom"/>
            <w:hideMark/>
          </w:tcPr>
          <w:p w14:paraId="3B966085"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Moderate</w:t>
            </w:r>
          </w:p>
        </w:tc>
        <w:tc>
          <w:tcPr>
            <w:tcW w:w="1376" w:type="dxa"/>
            <w:tcBorders>
              <w:top w:val="single" w:sz="4" w:space="0" w:color="auto"/>
              <w:left w:val="nil"/>
              <w:bottom w:val="single" w:sz="4" w:space="0" w:color="auto"/>
              <w:right w:val="single" w:sz="4" w:space="0" w:color="auto"/>
            </w:tcBorders>
            <w:shd w:val="clear" w:color="auto" w:fill="FF0000"/>
            <w:noWrap/>
            <w:vAlign w:val="bottom"/>
            <w:hideMark/>
          </w:tcPr>
          <w:p w14:paraId="1301A17D"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High</w:t>
            </w:r>
          </w:p>
        </w:tc>
      </w:tr>
      <w:tr w:rsidR="00742FDC" w14:paraId="1D936194" w14:textId="77777777" w:rsidTr="00742FDC">
        <w:trPr>
          <w:trHeight w:val="315"/>
        </w:trPr>
        <w:tc>
          <w:tcPr>
            <w:tcW w:w="2237" w:type="dxa"/>
            <w:tcBorders>
              <w:top w:val="nil"/>
              <w:left w:val="single" w:sz="4" w:space="0" w:color="auto"/>
              <w:bottom w:val="single" w:sz="4" w:space="0" w:color="auto"/>
              <w:right w:val="single" w:sz="4" w:space="0" w:color="auto"/>
            </w:tcBorders>
            <w:hideMark/>
          </w:tcPr>
          <w:p w14:paraId="62A44C02"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DAS28 (ESR or CRP)</w:t>
            </w:r>
          </w:p>
        </w:tc>
        <w:tc>
          <w:tcPr>
            <w:tcW w:w="820" w:type="dxa"/>
            <w:tcBorders>
              <w:top w:val="nil"/>
              <w:left w:val="single" w:sz="4" w:space="0" w:color="auto"/>
              <w:bottom w:val="single" w:sz="4" w:space="0" w:color="auto"/>
              <w:right w:val="single" w:sz="4" w:space="0" w:color="auto"/>
            </w:tcBorders>
            <w:noWrap/>
            <w:vAlign w:val="bottom"/>
            <w:hideMark/>
          </w:tcPr>
          <w:p w14:paraId="5404E256"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0-9.4</w:t>
            </w:r>
          </w:p>
        </w:tc>
        <w:tc>
          <w:tcPr>
            <w:tcW w:w="1235" w:type="dxa"/>
            <w:tcBorders>
              <w:top w:val="nil"/>
              <w:left w:val="nil"/>
              <w:bottom w:val="single" w:sz="4" w:space="0" w:color="auto"/>
              <w:right w:val="single" w:sz="4" w:space="0" w:color="auto"/>
            </w:tcBorders>
            <w:shd w:val="clear" w:color="auto" w:fill="92D050"/>
            <w:noWrap/>
            <w:vAlign w:val="bottom"/>
            <w:hideMark/>
          </w:tcPr>
          <w:p w14:paraId="5A6BCF83"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&lt; 2.6</w:t>
            </w:r>
          </w:p>
        </w:tc>
        <w:tc>
          <w:tcPr>
            <w:tcW w:w="1356" w:type="dxa"/>
            <w:tcBorders>
              <w:top w:val="nil"/>
              <w:left w:val="nil"/>
              <w:bottom w:val="single" w:sz="4" w:space="0" w:color="auto"/>
              <w:right w:val="single" w:sz="4" w:space="0" w:color="auto"/>
            </w:tcBorders>
            <w:shd w:val="clear" w:color="auto" w:fill="FFFF00"/>
            <w:noWrap/>
            <w:vAlign w:val="bottom"/>
            <w:hideMark/>
          </w:tcPr>
          <w:p w14:paraId="7504BF5C"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 2.6 - &lt; 3.2</w:t>
            </w:r>
          </w:p>
        </w:tc>
        <w:tc>
          <w:tcPr>
            <w:tcW w:w="1436" w:type="dxa"/>
            <w:tcBorders>
              <w:top w:val="nil"/>
              <w:left w:val="nil"/>
              <w:bottom w:val="single" w:sz="4" w:space="0" w:color="auto"/>
              <w:right w:val="single" w:sz="4" w:space="0" w:color="auto"/>
            </w:tcBorders>
            <w:shd w:val="clear" w:color="auto" w:fill="E6B8B7"/>
            <w:noWrap/>
            <w:vAlign w:val="bottom"/>
            <w:hideMark/>
          </w:tcPr>
          <w:p w14:paraId="522E2668"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 3.2 - ≤ 5.1</w:t>
            </w:r>
          </w:p>
        </w:tc>
        <w:tc>
          <w:tcPr>
            <w:tcW w:w="1376" w:type="dxa"/>
            <w:tcBorders>
              <w:top w:val="nil"/>
              <w:left w:val="nil"/>
              <w:bottom w:val="single" w:sz="4" w:space="0" w:color="auto"/>
              <w:right w:val="single" w:sz="4" w:space="0" w:color="auto"/>
            </w:tcBorders>
            <w:shd w:val="clear" w:color="auto" w:fill="FF0000"/>
            <w:noWrap/>
            <w:vAlign w:val="bottom"/>
            <w:hideMark/>
          </w:tcPr>
          <w:p w14:paraId="4F843288"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&gt; 5.1</w:t>
            </w:r>
          </w:p>
        </w:tc>
      </w:tr>
      <w:tr w:rsidR="00742FDC" w14:paraId="1BC8B34A" w14:textId="77777777" w:rsidTr="00742FDC">
        <w:trPr>
          <w:trHeight w:val="315"/>
        </w:trPr>
        <w:tc>
          <w:tcPr>
            <w:tcW w:w="2237" w:type="dxa"/>
            <w:tcBorders>
              <w:top w:val="nil"/>
              <w:left w:val="single" w:sz="4" w:space="0" w:color="auto"/>
              <w:bottom w:val="single" w:sz="4" w:space="0" w:color="auto"/>
              <w:right w:val="single" w:sz="4" w:space="0" w:color="auto"/>
            </w:tcBorders>
            <w:hideMark/>
          </w:tcPr>
          <w:p w14:paraId="3A1319E5"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CDAI</w:t>
            </w:r>
          </w:p>
        </w:tc>
        <w:tc>
          <w:tcPr>
            <w:tcW w:w="820" w:type="dxa"/>
            <w:tcBorders>
              <w:top w:val="nil"/>
              <w:left w:val="single" w:sz="4" w:space="0" w:color="auto"/>
              <w:bottom w:val="single" w:sz="4" w:space="0" w:color="auto"/>
              <w:right w:val="single" w:sz="4" w:space="0" w:color="auto"/>
            </w:tcBorders>
            <w:noWrap/>
            <w:vAlign w:val="bottom"/>
            <w:hideMark/>
          </w:tcPr>
          <w:p w14:paraId="09D549B3"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0-76</w:t>
            </w:r>
          </w:p>
        </w:tc>
        <w:tc>
          <w:tcPr>
            <w:tcW w:w="1235" w:type="dxa"/>
            <w:tcBorders>
              <w:top w:val="nil"/>
              <w:left w:val="nil"/>
              <w:bottom w:val="single" w:sz="4" w:space="0" w:color="auto"/>
              <w:right w:val="single" w:sz="4" w:space="0" w:color="auto"/>
            </w:tcBorders>
            <w:shd w:val="clear" w:color="auto" w:fill="92D050"/>
            <w:noWrap/>
            <w:vAlign w:val="bottom"/>
            <w:hideMark/>
          </w:tcPr>
          <w:p w14:paraId="567913E5"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 2.8</w:t>
            </w:r>
          </w:p>
        </w:tc>
        <w:tc>
          <w:tcPr>
            <w:tcW w:w="1356" w:type="dxa"/>
            <w:tcBorders>
              <w:top w:val="nil"/>
              <w:left w:val="nil"/>
              <w:bottom w:val="single" w:sz="4" w:space="0" w:color="auto"/>
              <w:right w:val="single" w:sz="4" w:space="0" w:color="auto"/>
            </w:tcBorders>
            <w:shd w:val="clear" w:color="auto" w:fill="FFFF00"/>
            <w:noWrap/>
            <w:vAlign w:val="bottom"/>
            <w:hideMark/>
          </w:tcPr>
          <w:p w14:paraId="7DFD170C"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&gt; 2.8 - 10.0</w:t>
            </w:r>
          </w:p>
        </w:tc>
        <w:tc>
          <w:tcPr>
            <w:tcW w:w="1436" w:type="dxa"/>
            <w:tcBorders>
              <w:top w:val="nil"/>
              <w:left w:val="nil"/>
              <w:bottom w:val="single" w:sz="4" w:space="0" w:color="auto"/>
              <w:right w:val="single" w:sz="4" w:space="0" w:color="auto"/>
            </w:tcBorders>
            <w:shd w:val="clear" w:color="auto" w:fill="E6B8B7"/>
            <w:noWrap/>
            <w:vAlign w:val="bottom"/>
            <w:hideMark/>
          </w:tcPr>
          <w:p w14:paraId="716A25E9"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&gt; 10.0 - 22.0</w:t>
            </w:r>
          </w:p>
        </w:tc>
        <w:tc>
          <w:tcPr>
            <w:tcW w:w="1376" w:type="dxa"/>
            <w:tcBorders>
              <w:top w:val="nil"/>
              <w:left w:val="nil"/>
              <w:bottom w:val="single" w:sz="4" w:space="0" w:color="auto"/>
              <w:right w:val="single" w:sz="4" w:space="0" w:color="auto"/>
            </w:tcBorders>
            <w:shd w:val="clear" w:color="auto" w:fill="FF0000"/>
            <w:noWrap/>
            <w:vAlign w:val="bottom"/>
            <w:hideMark/>
          </w:tcPr>
          <w:p w14:paraId="103D53E8"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&gt; 22.0</w:t>
            </w:r>
          </w:p>
        </w:tc>
      </w:tr>
      <w:tr w:rsidR="00742FDC" w14:paraId="5ACAFD9F" w14:textId="77777777" w:rsidTr="00742FDC">
        <w:trPr>
          <w:trHeight w:val="315"/>
        </w:trPr>
        <w:tc>
          <w:tcPr>
            <w:tcW w:w="2237" w:type="dxa"/>
            <w:tcBorders>
              <w:top w:val="nil"/>
              <w:left w:val="single" w:sz="4" w:space="0" w:color="auto"/>
              <w:bottom w:val="single" w:sz="4" w:space="0" w:color="auto"/>
              <w:right w:val="single" w:sz="4" w:space="0" w:color="auto"/>
            </w:tcBorders>
            <w:hideMark/>
          </w:tcPr>
          <w:p w14:paraId="7D92E6B6"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SDAI</w:t>
            </w:r>
          </w:p>
        </w:tc>
        <w:tc>
          <w:tcPr>
            <w:tcW w:w="820" w:type="dxa"/>
            <w:tcBorders>
              <w:top w:val="nil"/>
              <w:left w:val="single" w:sz="4" w:space="0" w:color="auto"/>
              <w:bottom w:val="single" w:sz="4" w:space="0" w:color="auto"/>
              <w:right w:val="single" w:sz="4" w:space="0" w:color="auto"/>
            </w:tcBorders>
            <w:noWrap/>
            <w:vAlign w:val="bottom"/>
            <w:hideMark/>
          </w:tcPr>
          <w:p w14:paraId="07A9C33D"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0-86</w:t>
            </w:r>
          </w:p>
        </w:tc>
        <w:tc>
          <w:tcPr>
            <w:tcW w:w="1235" w:type="dxa"/>
            <w:tcBorders>
              <w:top w:val="nil"/>
              <w:left w:val="nil"/>
              <w:bottom w:val="single" w:sz="4" w:space="0" w:color="auto"/>
              <w:right w:val="single" w:sz="4" w:space="0" w:color="auto"/>
            </w:tcBorders>
            <w:shd w:val="clear" w:color="auto" w:fill="92D050"/>
            <w:noWrap/>
            <w:vAlign w:val="bottom"/>
            <w:hideMark/>
          </w:tcPr>
          <w:p w14:paraId="16B3BD06"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0.0 - 3.3</w:t>
            </w:r>
          </w:p>
        </w:tc>
        <w:tc>
          <w:tcPr>
            <w:tcW w:w="1356" w:type="dxa"/>
            <w:tcBorders>
              <w:top w:val="nil"/>
              <w:left w:val="nil"/>
              <w:bottom w:val="single" w:sz="4" w:space="0" w:color="auto"/>
              <w:right w:val="single" w:sz="4" w:space="0" w:color="auto"/>
            </w:tcBorders>
            <w:shd w:val="clear" w:color="auto" w:fill="FFFF00"/>
            <w:noWrap/>
            <w:vAlign w:val="bottom"/>
            <w:hideMark/>
          </w:tcPr>
          <w:p w14:paraId="08675C0F"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3.4 - 11.0</w:t>
            </w:r>
          </w:p>
        </w:tc>
        <w:tc>
          <w:tcPr>
            <w:tcW w:w="1436" w:type="dxa"/>
            <w:tcBorders>
              <w:top w:val="nil"/>
              <w:left w:val="nil"/>
              <w:bottom w:val="single" w:sz="4" w:space="0" w:color="auto"/>
              <w:right w:val="single" w:sz="4" w:space="0" w:color="auto"/>
            </w:tcBorders>
            <w:shd w:val="clear" w:color="auto" w:fill="E6B8B7"/>
            <w:noWrap/>
            <w:vAlign w:val="bottom"/>
            <w:hideMark/>
          </w:tcPr>
          <w:p w14:paraId="00436CDE"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11.1 - 26.0</w:t>
            </w:r>
          </w:p>
        </w:tc>
        <w:tc>
          <w:tcPr>
            <w:tcW w:w="1376" w:type="dxa"/>
            <w:tcBorders>
              <w:top w:val="nil"/>
              <w:left w:val="nil"/>
              <w:bottom w:val="single" w:sz="4" w:space="0" w:color="auto"/>
              <w:right w:val="single" w:sz="4" w:space="0" w:color="auto"/>
            </w:tcBorders>
            <w:shd w:val="clear" w:color="auto" w:fill="FF0000"/>
            <w:noWrap/>
            <w:vAlign w:val="bottom"/>
            <w:hideMark/>
          </w:tcPr>
          <w:p w14:paraId="35B423B7"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26.1 - 86.0</w:t>
            </w:r>
          </w:p>
        </w:tc>
      </w:tr>
      <w:tr w:rsidR="00742FDC" w14:paraId="37922B7C" w14:textId="77777777" w:rsidTr="00742FDC">
        <w:trPr>
          <w:trHeight w:val="315"/>
        </w:trPr>
        <w:tc>
          <w:tcPr>
            <w:tcW w:w="2237" w:type="dxa"/>
            <w:tcBorders>
              <w:top w:val="nil"/>
              <w:left w:val="single" w:sz="4" w:space="0" w:color="auto"/>
              <w:bottom w:val="single" w:sz="4" w:space="0" w:color="auto"/>
              <w:right w:val="single" w:sz="4" w:space="0" w:color="auto"/>
            </w:tcBorders>
            <w:hideMark/>
          </w:tcPr>
          <w:p w14:paraId="38709255"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RAPID-3</w:t>
            </w:r>
          </w:p>
        </w:tc>
        <w:tc>
          <w:tcPr>
            <w:tcW w:w="820" w:type="dxa"/>
            <w:tcBorders>
              <w:top w:val="nil"/>
              <w:left w:val="single" w:sz="4" w:space="0" w:color="auto"/>
              <w:bottom w:val="single" w:sz="4" w:space="0" w:color="auto"/>
              <w:right w:val="single" w:sz="4" w:space="0" w:color="auto"/>
            </w:tcBorders>
            <w:noWrap/>
            <w:vAlign w:val="bottom"/>
            <w:hideMark/>
          </w:tcPr>
          <w:p w14:paraId="51AA8AFD"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0-10</w:t>
            </w:r>
          </w:p>
        </w:tc>
        <w:tc>
          <w:tcPr>
            <w:tcW w:w="1235" w:type="dxa"/>
            <w:tcBorders>
              <w:top w:val="nil"/>
              <w:left w:val="nil"/>
              <w:bottom w:val="single" w:sz="4" w:space="0" w:color="auto"/>
              <w:right w:val="single" w:sz="4" w:space="0" w:color="auto"/>
            </w:tcBorders>
            <w:shd w:val="clear" w:color="auto" w:fill="92D050"/>
            <w:noWrap/>
            <w:vAlign w:val="bottom"/>
            <w:hideMark/>
          </w:tcPr>
          <w:p w14:paraId="16A2EA06"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0 - 1.0</w:t>
            </w:r>
          </w:p>
        </w:tc>
        <w:tc>
          <w:tcPr>
            <w:tcW w:w="1356" w:type="dxa"/>
            <w:tcBorders>
              <w:top w:val="nil"/>
              <w:left w:val="nil"/>
              <w:bottom w:val="single" w:sz="4" w:space="0" w:color="auto"/>
              <w:right w:val="single" w:sz="4" w:space="0" w:color="auto"/>
            </w:tcBorders>
            <w:shd w:val="clear" w:color="auto" w:fill="FFFF00"/>
            <w:noWrap/>
            <w:vAlign w:val="bottom"/>
            <w:hideMark/>
          </w:tcPr>
          <w:p w14:paraId="02F8A10E"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&gt; 1.0 - 2.0</w:t>
            </w:r>
          </w:p>
        </w:tc>
        <w:tc>
          <w:tcPr>
            <w:tcW w:w="1436" w:type="dxa"/>
            <w:tcBorders>
              <w:top w:val="nil"/>
              <w:left w:val="nil"/>
              <w:bottom w:val="single" w:sz="4" w:space="0" w:color="auto"/>
              <w:right w:val="single" w:sz="4" w:space="0" w:color="auto"/>
            </w:tcBorders>
            <w:shd w:val="clear" w:color="auto" w:fill="E6B8B7"/>
            <w:noWrap/>
            <w:vAlign w:val="bottom"/>
            <w:hideMark/>
          </w:tcPr>
          <w:p w14:paraId="17474465"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&gt; 2.0 - 4.0</w:t>
            </w:r>
          </w:p>
        </w:tc>
        <w:tc>
          <w:tcPr>
            <w:tcW w:w="1376" w:type="dxa"/>
            <w:tcBorders>
              <w:top w:val="nil"/>
              <w:left w:val="nil"/>
              <w:bottom w:val="single" w:sz="4" w:space="0" w:color="auto"/>
              <w:right w:val="single" w:sz="4" w:space="0" w:color="auto"/>
            </w:tcBorders>
            <w:shd w:val="clear" w:color="auto" w:fill="FF0000"/>
            <w:noWrap/>
            <w:vAlign w:val="bottom"/>
            <w:hideMark/>
          </w:tcPr>
          <w:p w14:paraId="241793EA"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&gt; 4.0 - 10</w:t>
            </w:r>
          </w:p>
        </w:tc>
      </w:tr>
      <w:tr w:rsidR="00742FDC" w14:paraId="24F9D9F3" w14:textId="77777777" w:rsidTr="00742FDC">
        <w:trPr>
          <w:trHeight w:val="315"/>
        </w:trPr>
        <w:tc>
          <w:tcPr>
            <w:tcW w:w="2237" w:type="dxa"/>
            <w:tcBorders>
              <w:top w:val="nil"/>
              <w:left w:val="single" w:sz="4" w:space="0" w:color="auto"/>
              <w:bottom w:val="single" w:sz="4" w:space="0" w:color="auto"/>
              <w:right w:val="single" w:sz="4" w:space="0" w:color="auto"/>
            </w:tcBorders>
            <w:hideMark/>
          </w:tcPr>
          <w:p w14:paraId="7D9B05B7"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PAS</w:t>
            </w:r>
          </w:p>
        </w:tc>
        <w:tc>
          <w:tcPr>
            <w:tcW w:w="820" w:type="dxa"/>
            <w:tcBorders>
              <w:top w:val="nil"/>
              <w:left w:val="single" w:sz="4" w:space="0" w:color="auto"/>
              <w:bottom w:val="single" w:sz="4" w:space="0" w:color="auto"/>
              <w:right w:val="single" w:sz="4" w:space="0" w:color="auto"/>
            </w:tcBorders>
            <w:noWrap/>
            <w:vAlign w:val="bottom"/>
            <w:hideMark/>
          </w:tcPr>
          <w:p w14:paraId="3F373D3C"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0-10</w:t>
            </w:r>
          </w:p>
        </w:tc>
        <w:tc>
          <w:tcPr>
            <w:tcW w:w="1235" w:type="dxa"/>
            <w:tcBorders>
              <w:top w:val="nil"/>
              <w:left w:val="nil"/>
              <w:bottom w:val="single" w:sz="4" w:space="0" w:color="auto"/>
              <w:right w:val="single" w:sz="4" w:space="0" w:color="auto"/>
            </w:tcBorders>
            <w:shd w:val="clear" w:color="auto" w:fill="92D050"/>
            <w:noWrap/>
            <w:vAlign w:val="bottom"/>
            <w:hideMark/>
          </w:tcPr>
          <w:p w14:paraId="4534F519"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0.00 - 0.25</w:t>
            </w:r>
          </w:p>
        </w:tc>
        <w:tc>
          <w:tcPr>
            <w:tcW w:w="1356" w:type="dxa"/>
            <w:tcBorders>
              <w:top w:val="nil"/>
              <w:left w:val="nil"/>
              <w:bottom w:val="single" w:sz="4" w:space="0" w:color="auto"/>
              <w:right w:val="single" w:sz="4" w:space="0" w:color="auto"/>
            </w:tcBorders>
            <w:shd w:val="clear" w:color="auto" w:fill="FFFF00"/>
            <w:noWrap/>
            <w:vAlign w:val="bottom"/>
            <w:hideMark/>
          </w:tcPr>
          <w:p w14:paraId="1BAB92CE"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0.26 - 3.70</w:t>
            </w:r>
          </w:p>
        </w:tc>
        <w:tc>
          <w:tcPr>
            <w:tcW w:w="1436" w:type="dxa"/>
            <w:tcBorders>
              <w:top w:val="nil"/>
              <w:left w:val="nil"/>
              <w:bottom w:val="single" w:sz="4" w:space="0" w:color="auto"/>
              <w:right w:val="single" w:sz="4" w:space="0" w:color="auto"/>
            </w:tcBorders>
            <w:shd w:val="clear" w:color="auto" w:fill="E6B8B7"/>
            <w:noWrap/>
            <w:vAlign w:val="bottom"/>
            <w:hideMark/>
          </w:tcPr>
          <w:p w14:paraId="202BB0B2"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3.71 - 7.99</w:t>
            </w:r>
          </w:p>
        </w:tc>
        <w:tc>
          <w:tcPr>
            <w:tcW w:w="1376" w:type="dxa"/>
            <w:tcBorders>
              <w:top w:val="nil"/>
              <w:left w:val="nil"/>
              <w:bottom w:val="single" w:sz="4" w:space="0" w:color="auto"/>
              <w:right w:val="single" w:sz="4" w:space="0" w:color="auto"/>
            </w:tcBorders>
            <w:shd w:val="clear" w:color="auto" w:fill="FF0000"/>
            <w:noWrap/>
            <w:vAlign w:val="bottom"/>
            <w:hideMark/>
          </w:tcPr>
          <w:p w14:paraId="4726578F"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8.00 - 10.00</w:t>
            </w:r>
          </w:p>
        </w:tc>
      </w:tr>
      <w:tr w:rsidR="00742FDC" w14:paraId="2532690D" w14:textId="77777777" w:rsidTr="00742FDC">
        <w:trPr>
          <w:trHeight w:val="315"/>
        </w:trPr>
        <w:tc>
          <w:tcPr>
            <w:tcW w:w="2237" w:type="dxa"/>
            <w:tcBorders>
              <w:top w:val="nil"/>
              <w:left w:val="single" w:sz="4" w:space="0" w:color="auto"/>
              <w:bottom w:val="single" w:sz="4" w:space="0" w:color="auto"/>
              <w:right w:val="single" w:sz="4" w:space="0" w:color="auto"/>
            </w:tcBorders>
            <w:hideMark/>
          </w:tcPr>
          <w:p w14:paraId="202B0051"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PASII</w:t>
            </w:r>
          </w:p>
        </w:tc>
        <w:tc>
          <w:tcPr>
            <w:tcW w:w="820" w:type="dxa"/>
            <w:tcBorders>
              <w:top w:val="nil"/>
              <w:left w:val="single" w:sz="4" w:space="0" w:color="auto"/>
              <w:bottom w:val="single" w:sz="4" w:space="0" w:color="auto"/>
              <w:right w:val="single" w:sz="4" w:space="0" w:color="auto"/>
            </w:tcBorders>
            <w:noWrap/>
            <w:vAlign w:val="bottom"/>
            <w:hideMark/>
          </w:tcPr>
          <w:p w14:paraId="2CB7F061"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0-10</w:t>
            </w:r>
          </w:p>
        </w:tc>
        <w:tc>
          <w:tcPr>
            <w:tcW w:w="1235" w:type="dxa"/>
            <w:tcBorders>
              <w:top w:val="nil"/>
              <w:left w:val="nil"/>
              <w:bottom w:val="single" w:sz="4" w:space="0" w:color="auto"/>
              <w:right w:val="single" w:sz="4" w:space="0" w:color="auto"/>
            </w:tcBorders>
            <w:shd w:val="clear" w:color="auto" w:fill="92D050"/>
            <w:noWrap/>
            <w:vAlign w:val="bottom"/>
            <w:hideMark/>
          </w:tcPr>
          <w:p w14:paraId="278D819F"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0.00 - 0.25</w:t>
            </w:r>
          </w:p>
        </w:tc>
        <w:tc>
          <w:tcPr>
            <w:tcW w:w="1356" w:type="dxa"/>
            <w:tcBorders>
              <w:top w:val="nil"/>
              <w:left w:val="nil"/>
              <w:bottom w:val="single" w:sz="4" w:space="0" w:color="auto"/>
              <w:right w:val="single" w:sz="4" w:space="0" w:color="auto"/>
            </w:tcBorders>
            <w:shd w:val="clear" w:color="auto" w:fill="FFFF00"/>
            <w:noWrap/>
            <w:vAlign w:val="bottom"/>
            <w:hideMark/>
          </w:tcPr>
          <w:p w14:paraId="7AB27611"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0.26 - 3.70</w:t>
            </w:r>
          </w:p>
        </w:tc>
        <w:tc>
          <w:tcPr>
            <w:tcW w:w="1436" w:type="dxa"/>
            <w:tcBorders>
              <w:top w:val="nil"/>
              <w:left w:val="nil"/>
              <w:bottom w:val="single" w:sz="4" w:space="0" w:color="auto"/>
              <w:right w:val="single" w:sz="4" w:space="0" w:color="auto"/>
            </w:tcBorders>
            <w:shd w:val="clear" w:color="auto" w:fill="E6B8B7"/>
            <w:noWrap/>
            <w:vAlign w:val="bottom"/>
            <w:hideMark/>
          </w:tcPr>
          <w:p w14:paraId="2B686B0E"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3.71 - 7.99</w:t>
            </w:r>
          </w:p>
        </w:tc>
        <w:tc>
          <w:tcPr>
            <w:tcW w:w="1376" w:type="dxa"/>
            <w:tcBorders>
              <w:top w:val="nil"/>
              <w:left w:val="nil"/>
              <w:bottom w:val="single" w:sz="4" w:space="0" w:color="auto"/>
              <w:right w:val="single" w:sz="4" w:space="0" w:color="auto"/>
            </w:tcBorders>
            <w:shd w:val="clear" w:color="auto" w:fill="FF0000"/>
            <w:noWrap/>
            <w:vAlign w:val="bottom"/>
            <w:hideMark/>
          </w:tcPr>
          <w:p w14:paraId="5FDFBBBF" w14:textId="77777777" w:rsidR="00742FDC" w:rsidRDefault="00742FDC">
            <w:pPr>
              <w:ind w:left="0" w:firstLine="0"/>
              <w:rPr>
                <w:rFonts w:ascii="Calibri" w:eastAsia="Times New Roman" w:hAnsi="Calibri" w:cs="Times New Roman"/>
                <w:color w:val="000000"/>
              </w:rPr>
            </w:pPr>
            <w:r>
              <w:rPr>
                <w:rFonts w:ascii="Calibri" w:eastAsia="Times New Roman" w:hAnsi="Calibri" w:cs="Times New Roman"/>
                <w:color w:val="000000"/>
              </w:rPr>
              <w:t>8.00 - 10.00</w:t>
            </w:r>
          </w:p>
        </w:tc>
      </w:tr>
    </w:tbl>
    <w:p w14:paraId="19F4E952" w14:textId="77777777" w:rsidR="00742FDC" w:rsidRDefault="00742FDC" w:rsidP="00742FDC">
      <w:pPr>
        <w:ind w:left="0" w:firstLine="0"/>
        <w:rPr>
          <w:iCs/>
          <w:caps/>
        </w:rPr>
      </w:pPr>
    </w:p>
    <w:p w14:paraId="3C275E0B" w14:textId="77777777" w:rsidR="00742FDC" w:rsidRDefault="00742FDC" w:rsidP="00742FDC">
      <w:pPr>
        <w:ind w:left="0" w:firstLine="0"/>
      </w:pPr>
      <w:r>
        <w:t xml:space="preserve">In order to assess how patients with rheumatoid arthritis (RA) are responding to therapy or whether they are reaching treatment goals, RA disease activity should be assessed using a validated instrument. </w:t>
      </w:r>
    </w:p>
    <w:p w14:paraId="4D4FB02D" w14:textId="77777777" w:rsidR="00742FDC" w:rsidRDefault="00742FDC" w:rsidP="00742FDC"/>
    <w:p w14:paraId="05268292" w14:textId="77777777" w:rsidR="00742FDC" w:rsidRDefault="00742FDC" w:rsidP="00742FDC">
      <w:r>
        <w:t>Step 1: Measure disease activity using validated instrument</w:t>
      </w:r>
    </w:p>
    <w:p w14:paraId="316BD4CF" w14:textId="77777777" w:rsidR="00742FDC" w:rsidRDefault="00742FDC" w:rsidP="00742FDC"/>
    <w:p w14:paraId="10CFE4C4" w14:textId="77777777" w:rsidR="00742FDC" w:rsidRDefault="00742FDC" w:rsidP="00742FDC">
      <w:r>
        <w:t>Step 2: Review disease activity assessment with patient during office visit: is the patient in remission, low, medium (moderate) or high disease activity?</w:t>
      </w:r>
    </w:p>
    <w:p w14:paraId="1287E555" w14:textId="77777777" w:rsidR="00742FDC" w:rsidRDefault="00742FDC" w:rsidP="00742FDC"/>
    <w:p w14:paraId="0275B537" w14:textId="77777777" w:rsidR="00742FDC" w:rsidRDefault="00742FDC" w:rsidP="00742FDC">
      <w:r>
        <w:t>Step 3: If the patient has moderate or high disease activity, consider treatment modification with goal of remission/ low disease activity.</w:t>
      </w:r>
    </w:p>
    <w:p w14:paraId="78B5AF75" w14:textId="77777777" w:rsidR="00742FDC" w:rsidRDefault="00742FDC" w:rsidP="00742FDC"/>
    <w:p w14:paraId="6D190959" w14:textId="77777777" w:rsidR="00742FDC" w:rsidRDefault="00742FDC" w:rsidP="00742FDC">
      <w:r>
        <w:t>Step 4: At next office visit or 3-6 months after initiation/ change in medication, repeat Steps 1-3 until patient is in remission/ low disease activity or until patient is satisfied with their functional status (patient-reported outcome measure, a separate quality measure).</w:t>
      </w:r>
    </w:p>
    <w:p w14:paraId="74889709" w14:textId="77777777" w:rsidR="00742FDC" w:rsidRDefault="00742FDC" w:rsidP="00742FDC">
      <w:pPr>
        <w:rPr>
          <w:b/>
        </w:rPr>
      </w:pPr>
    </w:p>
    <w:p w14:paraId="37173047" w14:textId="0A1DB8D0" w:rsidR="00742FDC" w:rsidRDefault="00742FDC" w:rsidP="00742FDC">
      <w:proofErr w:type="gramStart"/>
      <w:r>
        <w:rPr>
          <w:b/>
        </w:rPr>
        <w:t>Figure 2.</w:t>
      </w:r>
      <w:proofErr w:type="gramEnd"/>
      <w:r>
        <w:rPr>
          <w:b/>
        </w:rPr>
        <w:t xml:space="preserve">  Algorithm for using standardized disease activity measures to target therapy in rheumatoid arthritis.</w:t>
      </w:r>
      <w:r>
        <w:t xml:space="preserve">  </w:t>
      </w:r>
      <w:r>
        <w:rPr>
          <w:i/>
        </w:rPr>
        <w:t xml:space="preserve"> </w:t>
      </w:r>
      <w:proofErr w:type="gramStart"/>
      <w:r>
        <w:rPr>
          <w:i/>
        </w:rPr>
        <w:t xml:space="preserve">From </w:t>
      </w:r>
      <w:proofErr w:type="spellStart"/>
      <w:r>
        <w:rPr>
          <w:i/>
        </w:rPr>
        <w:t>Smolen</w:t>
      </w:r>
      <w:proofErr w:type="spellEnd"/>
      <w:r>
        <w:rPr>
          <w:i/>
        </w:rPr>
        <w:t xml:space="preserve"> et al.</w:t>
      </w:r>
      <w:proofErr w:type="gramEnd"/>
      <w:r>
        <w:rPr>
          <w:i/>
        </w:rPr>
        <w:t xml:space="preserve">  </w:t>
      </w:r>
      <w:proofErr w:type="gramStart"/>
      <w:r>
        <w:rPr>
          <w:i/>
        </w:rPr>
        <w:t>Treating rheumatoid arthritis to target: recommendations of an international task force.</w:t>
      </w:r>
      <w:proofErr w:type="gramEnd"/>
      <w:r>
        <w:rPr>
          <w:i/>
        </w:rPr>
        <w:t xml:space="preserve">  Ann Rheum Dis 2010</w:t>
      </w:r>
      <w:proofErr w:type="gramStart"/>
      <w:r>
        <w:rPr>
          <w:i/>
        </w:rPr>
        <w:t>;69:631</w:t>
      </w:r>
      <w:proofErr w:type="gramEnd"/>
      <w:r>
        <w:rPr>
          <w:i/>
        </w:rPr>
        <w:t>-637</w:t>
      </w:r>
      <w:r w:rsidR="002361BB">
        <w:rPr>
          <w:i/>
        </w:rPr>
        <w:t xml:space="preserve"> </w:t>
      </w:r>
      <w:r>
        <w:rPr>
          <w:i/>
        </w:rPr>
        <w:t>Algorithm for treating rheumatoid arthritis (RA) to target based on the recommendations.</w:t>
      </w:r>
    </w:p>
    <w:p w14:paraId="0FA3DEF3" w14:textId="77777777" w:rsidR="00742FDC" w:rsidRDefault="00742FDC" w:rsidP="00742FDC"/>
    <w:p w14:paraId="1CACCAE0" w14:textId="77777777" w:rsidR="00742FDC" w:rsidRDefault="00742FDC" w:rsidP="00742FDC"/>
    <w:p w14:paraId="2BEFA880" w14:textId="6196A6F3" w:rsidR="00742FDC" w:rsidRDefault="00742FDC" w:rsidP="00742FDC">
      <w:r>
        <w:rPr>
          <w:noProof/>
        </w:rPr>
        <w:lastRenderedPageBreak/>
        <w:drawing>
          <wp:inline distT="0" distB="0" distL="0" distR="0" wp14:anchorId="0DACE059" wp14:editId="634C7FFB">
            <wp:extent cx="3679190" cy="1545590"/>
            <wp:effectExtent l="0" t="0" r="0" b="0"/>
            <wp:docPr id="2" name="Picture 2" descr="Figure 2.  Algorithm for using standardized disease activity measures to target therapy in rheumatoid arthritis.&#10;The figure shows the main targets for patients with active RA, remission and low disease activity. It notes that providers should adapt therapy according to disease activity, which should be assessed every 3-6 months. For patienst in remission or low disease activity, therapy should be adapted if that disease state is l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jinoosyazdany:Desktop:F1.larg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79190" cy="1545590"/>
                    </a:xfrm>
                    <a:prstGeom prst="rect">
                      <a:avLst/>
                    </a:prstGeom>
                    <a:noFill/>
                    <a:ln>
                      <a:noFill/>
                    </a:ln>
                  </pic:spPr>
                </pic:pic>
              </a:graphicData>
            </a:graphic>
          </wp:inline>
        </w:drawing>
      </w:r>
    </w:p>
    <w:p w14:paraId="24200806" w14:textId="77777777" w:rsidR="00742FDC" w:rsidRDefault="00742FDC" w:rsidP="00742FDC"/>
    <w:p w14:paraId="7BE099A1" w14:textId="77777777" w:rsidR="00742FDC" w:rsidRDefault="00742FDC" w:rsidP="00742FDC">
      <w:pPr>
        <w:ind w:left="0" w:firstLine="0"/>
      </w:pPr>
    </w:p>
    <w:p w14:paraId="7272B251" w14:textId="77777777" w:rsidR="00742FDC" w:rsidRDefault="00742FDC" w:rsidP="00742FDC">
      <w:pPr>
        <w:ind w:left="0" w:firstLine="0"/>
        <w:rPr>
          <w:i/>
        </w:rPr>
      </w:pPr>
      <w:r>
        <w:t>Standard collection of disease activity outcomes in RA to facilitate a “treat to target” approach, where the target is disease remission or low disease activity, has been shown to improve clinical and radiographic outcomes (</w:t>
      </w:r>
      <w:proofErr w:type="spellStart"/>
      <w:r>
        <w:rPr>
          <w:i/>
        </w:rPr>
        <w:t>Schipper</w:t>
      </w:r>
      <w:proofErr w:type="spellEnd"/>
      <w:r>
        <w:rPr>
          <w:i/>
        </w:rPr>
        <w:t xml:space="preserve"> LG et al.  A tight control treatment strategy aiming for remission in early rheumatoid arthritis is more effective than usual care treatment in daily clinical practice: a study of two cohorts in the Dutch Rheumatoid Arthritis Monitoring registry. Ann Rheum Dis. 2012 Jun</w:t>
      </w:r>
      <w:proofErr w:type="gramStart"/>
      <w:r>
        <w:rPr>
          <w:i/>
        </w:rPr>
        <w:t>;71</w:t>
      </w:r>
      <w:proofErr w:type="gramEnd"/>
      <w:r>
        <w:rPr>
          <w:i/>
        </w:rPr>
        <w:t xml:space="preserve">(6):845-50;   </w:t>
      </w:r>
      <w:proofErr w:type="spellStart"/>
      <w:r>
        <w:rPr>
          <w:i/>
        </w:rPr>
        <w:t>Smolen</w:t>
      </w:r>
      <w:proofErr w:type="spellEnd"/>
      <w:r>
        <w:rPr>
          <w:i/>
        </w:rPr>
        <w:t xml:space="preserve"> JS et al. Treating rheumatoid arthritis to target: recommendations of an international task force.  Ann Rheum Dis. 2010 Apr</w:t>
      </w:r>
      <w:proofErr w:type="gramStart"/>
      <w:r>
        <w:rPr>
          <w:i/>
        </w:rPr>
        <w:t>;69</w:t>
      </w:r>
      <w:proofErr w:type="gramEnd"/>
      <w:r>
        <w:rPr>
          <w:i/>
        </w:rPr>
        <w:t xml:space="preserve">(4):631-7;  </w:t>
      </w:r>
      <w:proofErr w:type="spellStart"/>
      <w:r>
        <w:rPr>
          <w:i/>
        </w:rPr>
        <w:t>Grigor</w:t>
      </w:r>
      <w:proofErr w:type="spellEnd"/>
      <w:r>
        <w:rPr>
          <w:i/>
        </w:rPr>
        <w:t xml:space="preserve"> C et al.  Effect of a treatment strategy of tight control for rheumatoid arthritis (the TICORA study): a single-blind </w:t>
      </w:r>
      <w:proofErr w:type="spellStart"/>
      <w:r>
        <w:rPr>
          <w:i/>
        </w:rPr>
        <w:t>randomised</w:t>
      </w:r>
      <w:proofErr w:type="spellEnd"/>
    </w:p>
    <w:p w14:paraId="352FBECB" w14:textId="77777777" w:rsidR="00742FDC" w:rsidRDefault="00742FDC" w:rsidP="00742FDC">
      <w:pPr>
        <w:ind w:left="0" w:firstLine="0"/>
        <w:rPr>
          <w:i/>
        </w:rPr>
      </w:pPr>
      <w:proofErr w:type="gramStart"/>
      <w:r>
        <w:rPr>
          <w:i/>
        </w:rPr>
        <w:t>controlled</w:t>
      </w:r>
      <w:proofErr w:type="gramEnd"/>
      <w:r>
        <w:rPr>
          <w:i/>
        </w:rPr>
        <w:t xml:space="preserve"> trial. Lancet 2004</w:t>
      </w:r>
      <w:proofErr w:type="gramStart"/>
      <w:r>
        <w:rPr>
          <w:i/>
        </w:rPr>
        <w:t>;364:263</w:t>
      </w:r>
      <w:proofErr w:type="gramEnd"/>
      <w:r>
        <w:rPr>
          <w:i/>
        </w:rPr>
        <w:t>–9.).</w:t>
      </w: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252709FE" w14:textId="5DFE2226" w:rsidR="00EB33BE" w:rsidRPr="00EB33BE" w:rsidRDefault="00EB33BE" w:rsidP="00EB33BE">
      <w:pPr>
        <w:ind w:left="0" w:firstLine="0"/>
      </w:pPr>
      <w:r w:rsidRPr="00EB33BE">
        <w:t>While not all recommended disease activity measure are derived from patient report, it is important to note that patients participated in creating the updated 2015 ACR Guideline for the Treatment of Rheumatoid Arthritis and supported the key principle of collecting disease activity.</w:t>
      </w:r>
    </w:p>
    <w:p w14:paraId="55B8DA5D" w14:textId="011E29A0"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180DF3">
        <w:rPr>
          <w:rFonts w:ascii="Times New Roman" w:eastAsia="Arial Unicode MS" w:hAnsi="Times New Roman" w:cs="Mangal" w:hint="eastAsia"/>
          <w:color w:val="0000FF"/>
          <w:kern w:val="1"/>
          <w:sz w:val="24"/>
          <w:szCs w:val="24"/>
          <w:highlight w:val="yellow"/>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2699"/>
        <w:gridCol w:w="6877"/>
      </w:tblGrid>
      <w:tr w:rsidR="00AB4ECE" w14:paraId="55B8DA76" w14:textId="77777777" w:rsidTr="00D27CEC">
        <w:tc>
          <w:tcPr>
            <w:tcW w:w="2833"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6517" w:type="dxa"/>
          </w:tcPr>
          <w:p w14:paraId="7CC6EDC9" w14:textId="77777777" w:rsidR="00180DF3" w:rsidRDefault="00180DF3" w:rsidP="00180DF3">
            <w:pPr>
              <w:pStyle w:val="ListParagraph"/>
              <w:ind w:firstLine="0"/>
            </w:pPr>
          </w:p>
          <w:p w14:paraId="3BF0448E" w14:textId="20948534" w:rsidR="00180DF3" w:rsidRDefault="00180DF3" w:rsidP="00180DF3">
            <w:pPr>
              <w:pStyle w:val="ListParagraph"/>
              <w:numPr>
                <w:ilvl w:val="0"/>
                <w:numId w:val="9"/>
              </w:numPr>
            </w:pPr>
            <w:r>
              <w:t>2015 American College of Rheumatology</w:t>
            </w:r>
          </w:p>
          <w:p w14:paraId="36476D6B" w14:textId="77777777" w:rsidR="00AB4ECE" w:rsidRDefault="00180DF3" w:rsidP="00180DF3">
            <w:pPr>
              <w:pStyle w:val="ListParagraph"/>
              <w:numPr>
                <w:ilvl w:val="0"/>
                <w:numId w:val="9"/>
              </w:numPr>
            </w:pPr>
            <w:r>
              <w:t>Guideline for the Treatment of Rheumatoid Arthritis</w:t>
            </w:r>
          </w:p>
          <w:p w14:paraId="09F345AB" w14:textId="77777777" w:rsidR="00180DF3" w:rsidRPr="00180DF3" w:rsidRDefault="00180DF3" w:rsidP="00180DF3">
            <w:pPr>
              <w:pStyle w:val="ListParagraph"/>
              <w:numPr>
                <w:ilvl w:val="0"/>
                <w:numId w:val="9"/>
              </w:numPr>
              <w:rPr>
                <w:i/>
              </w:rPr>
            </w:pPr>
            <w:r w:rsidRPr="00180DF3">
              <w:rPr>
                <w:i/>
              </w:rPr>
              <w:t>Singh J et al.</w:t>
            </w:r>
          </w:p>
          <w:p w14:paraId="3C108930" w14:textId="329FE189" w:rsidR="00180DF3" w:rsidRPr="00180DF3" w:rsidRDefault="00180DF3" w:rsidP="00180DF3">
            <w:pPr>
              <w:pStyle w:val="ListParagraph"/>
              <w:numPr>
                <w:ilvl w:val="0"/>
                <w:numId w:val="9"/>
              </w:numPr>
              <w:rPr>
                <w:i/>
              </w:rPr>
            </w:pPr>
            <w:r w:rsidRPr="00180DF3">
              <w:rPr>
                <w:i/>
              </w:rPr>
              <w:t>2016 Dec</w:t>
            </w:r>
          </w:p>
          <w:p w14:paraId="3A9C0E20" w14:textId="1DA9F16C" w:rsidR="00180DF3" w:rsidRPr="00180DF3" w:rsidRDefault="00180DF3" w:rsidP="00180DF3">
            <w:pPr>
              <w:pStyle w:val="ListParagraph"/>
              <w:numPr>
                <w:ilvl w:val="0"/>
                <w:numId w:val="9"/>
              </w:numPr>
              <w:rPr>
                <w:i/>
              </w:rPr>
            </w:pPr>
            <w:r w:rsidRPr="00180DF3">
              <w:rPr>
                <w:i/>
              </w:rPr>
              <w:t>Arthritis Rheumatol.;68(1):1-26</w:t>
            </w:r>
          </w:p>
          <w:p w14:paraId="1B9F903B" w14:textId="237AC660" w:rsidR="00180DF3" w:rsidRPr="00180DF3" w:rsidRDefault="00F2650F" w:rsidP="00180DF3">
            <w:pPr>
              <w:pStyle w:val="ListParagraph"/>
              <w:numPr>
                <w:ilvl w:val="0"/>
                <w:numId w:val="9"/>
              </w:numPr>
              <w:rPr>
                <w:b/>
              </w:rPr>
            </w:pPr>
            <w:hyperlink r:id="rId19" w:history="1">
              <w:r w:rsidR="00180DF3" w:rsidRPr="00180DF3">
                <w:rPr>
                  <w:rStyle w:val="Hyperlink"/>
                  <w:b/>
                </w:rPr>
                <w:t>https://onlinelibrary.wiley.com/doi/epdf/10.1002/art.39480</w:t>
              </w:r>
            </w:hyperlink>
            <w:r w:rsidR="00180DF3" w:rsidRPr="00180DF3">
              <w:rPr>
                <w:b/>
              </w:rPr>
              <w:t xml:space="preserve"> </w:t>
            </w:r>
          </w:p>
          <w:p w14:paraId="55B8DA75" w14:textId="3D95EF77" w:rsidR="00180DF3" w:rsidRPr="00AB4ECE" w:rsidRDefault="00180DF3" w:rsidP="00180DF3">
            <w:pPr>
              <w:ind w:left="0" w:firstLine="0"/>
              <w:rPr>
                <w:b/>
              </w:rPr>
            </w:pPr>
          </w:p>
        </w:tc>
      </w:tr>
      <w:tr w:rsidR="00AB4ECE" w14:paraId="55B8DA79" w14:textId="77777777" w:rsidTr="00D27CEC">
        <w:tc>
          <w:tcPr>
            <w:tcW w:w="2833"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6517" w:type="dxa"/>
          </w:tcPr>
          <w:p w14:paraId="161EC55E" w14:textId="20204E9A" w:rsidR="00AB4ECE" w:rsidRDefault="00180DF3" w:rsidP="00F82AF6">
            <w:pPr>
              <w:ind w:left="31" w:firstLine="0"/>
              <w:rPr>
                <w:rStyle w:val="current-selection"/>
                <w:lang w:val="en"/>
              </w:rPr>
            </w:pPr>
            <w:r w:rsidRPr="00180DF3">
              <w:rPr>
                <w:rStyle w:val="current-selection"/>
                <w:lang w:val="en"/>
              </w:rPr>
              <w:t>Disease</w:t>
            </w:r>
            <w:r w:rsidRPr="00180DF3">
              <w:rPr>
                <w:rStyle w:val="a"/>
                <w:lang w:val="en"/>
              </w:rPr>
              <w:t xml:space="preserve"> </w:t>
            </w:r>
            <w:r w:rsidRPr="00180DF3">
              <w:rPr>
                <w:rStyle w:val="current-selection"/>
                <w:lang w:val="en"/>
              </w:rPr>
              <w:t>activity</w:t>
            </w:r>
            <w:r w:rsidRPr="00180DF3">
              <w:rPr>
                <w:rStyle w:val="a"/>
                <w:lang w:val="en"/>
              </w:rPr>
              <w:t xml:space="preserve"> </w:t>
            </w:r>
            <w:r w:rsidRPr="00180DF3">
              <w:rPr>
                <w:rStyle w:val="current-selection"/>
                <w:lang w:val="en"/>
              </w:rPr>
              <w:t>measurement</w:t>
            </w:r>
            <w:r w:rsidRPr="00180DF3">
              <w:rPr>
                <w:rStyle w:val="a"/>
                <w:lang w:val="en"/>
              </w:rPr>
              <w:t xml:space="preserve"> </w:t>
            </w:r>
            <w:r w:rsidRPr="00180DF3">
              <w:rPr>
                <w:rStyle w:val="current-selection"/>
                <w:lang w:val="en"/>
              </w:rPr>
              <w:t>using</w:t>
            </w:r>
            <w:r w:rsidRPr="00180DF3">
              <w:rPr>
                <w:rStyle w:val="a"/>
                <w:lang w:val="en"/>
              </w:rPr>
              <w:t xml:space="preserve"> </w:t>
            </w:r>
            <w:r w:rsidRPr="00180DF3">
              <w:rPr>
                <w:rStyle w:val="current-selection"/>
                <w:lang w:val="en"/>
              </w:rPr>
              <w:t>an</w:t>
            </w:r>
            <w:r w:rsidRPr="00180DF3">
              <w:rPr>
                <w:rStyle w:val="a"/>
                <w:lang w:val="en"/>
              </w:rPr>
              <w:t xml:space="preserve"> </w:t>
            </w:r>
            <w:r w:rsidRPr="00180DF3">
              <w:rPr>
                <w:rStyle w:val="current-selection"/>
                <w:lang w:val="en"/>
              </w:rPr>
              <w:t>ACR-recommended</w:t>
            </w:r>
            <w:r w:rsidRPr="00180DF3">
              <w:rPr>
                <w:rStyle w:val="a"/>
                <w:lang w:val="en"/>
              </w:rPr>
              <w:t xml:space="preserve"> </w:t>
            </w:r>
            <w:r w:rsidRPr="00180DF3">
              <w:rPr>
                <w:rStyle w:val="current-selection"/>
                <w:lang w:val="en"/>
              </w:rPr>
              <w:t>measure</w:t>
            </w:r>
            <w:r w:rsidRPr="00180DF3">
              <w:rPr>
                <w:rStyle w:val="a"/>
                <w:lang w:val="en"/>
              </w:rPr>
              <w:t xml:space="preserve"> </w:t>
            </w:r>
            <w:r w:rsidRPr="00180DF3">
              <w:rPr>
                <w:rStyle w:val="current-selection"/>
                <w:lang w:val="en"/>
              </w:rPr>
              <w:t>should</w:t>
            </w:r>
            <w:r w:rsidRPr="00180DF3">
              <w:rPr>
                <w:rStyle w:val="a"/>
                <w:lang w:val="en"/>
              </w:rPr>
              <w:t xml:space="preserve"> </w:t>
            </w:r>
            <w:r w:rsidRPr="00180DF3">
              <w:rPr>
                <w:rStyle w:val="current-selection"/>
                <w:lang w:val="en"/>
              </w:rPr>
              <w:t>be</w:t>
            </w:r>
            <w:r w:rsidRPr="00180DF3">
              <w:rPr>
                <w:rStyle w:val="a"/>
                <w:lang w:val="en"/>
              </w:rPr>
              <w:t xml:space="preserve"> </w:t>
            </w:r>
            <w:r w:rsidRPr="00180DF3">
              <w:rPr>
                <w:rStyle w:val="current-selection"/>
                <w:lang w:val="en"/>
              </w:rPr>
              <w:t>performed</w:t>
            </w:r>
            <w:r w:rsidRPr="00180DF3">
              <w:rPr>
                <w:rStyle w:val="a"/>
                <w:lang w:val="en"/>
              </w:rPr>
              <w:t xml:space="preserve"> </w:t>
            </w:r>
            <w:r w:rsidRPr="00180DF3">
              <w:rPr>
                <w:rStyle w:val="current-selection"/>
                <w:lang w:val="en"/>
              </w:rPr>
              <w:t>in</w:t>
            </w:r>
            <w:r w:rsidRPr="00180DF3">
              <w:rPr>
                <w:rStyle w:val="a"/>
                <w:lang w:val="en"/>
              </w:rPr>
              <w:t xml:space="preserve"> </w:t>
            </w:r>
            <w:r w:rsidRPr="00180DF3">
              <w:rPr>
                <w:rStyle w:val="current-selection"/>
                <w:lang w:val="en"/>
              </w:rPr>
              <w:t>a</w:t>
            </w:r>
            <w:r w:rsidRPr="00180DF3">
              <w:rPr>
                <w:rStyle w:val="a"/>
                <w:lang w:val="en"/>
              </w:rPr>
              <w:t xml:space="preserve"> </w:t>
            </w:r>
            <w:r w:rsidRPr="00180DF3">
              <w:rPr>
                <w:rStyle w:val="current-selection"/>
                <w:lang w:val="en"/>
              </w:rPr>
              <w:t>majority</w:t>
            </w:r>
            <w:r w:rsidRPr="00180DF3">
              <w:rPr>
                <w:rStyle w:val="a"/>
                <w:lang w:val="en"/>
              </w:rPr>
              <w:t xml:space="preserve"> </w:t>
            </w:r>
            <w:r w:rsidRPr="00180DF3">
              <w:rPr>
                <w:rStyle w:val="current-selection"/>
                <w:lang w:val="en"/>
              </w:rPr>
              <w:t>of</w:t>
            </w:r>
            <w:r w:rsidRPr="00180DF3">
              <w:rPr>
                <w:rStyle w:val="a"/>
                <w:lang w:val="en"/>
              </w:rPr>
              <w:t xml:space="preserve"> </w:t>
            </w:r>
            <w:r w:rsidRPr="00180DF3">
              <w:rPr>
                <w:rStyle w:val="current-selection"/>
                <w:lang w:val="en"/>
              </w:rPr>
              <w:t>encounters</w:t>
            </w:r>
            <w:r w:rsidRPr="00180DF3">
              <w:rPr>
                <w:rStyle w:val="a"/>
                <w:lang w:val="en"/>
              </w:rPr>
              <w:t xml:space="preserve"> </w:t>
            </w:r>
            <w:r w:rsidRPr="00180DF3">
              <w:rPr>
                <w:rStyle w:val="current-selection"/>
                <w:lang w:val="en"/>
              </w:rPr>
              <w:t>for</w:t>
            </w:r>
            <w:r w:rsidRPr="00180DF3">
              <w:rPr>
                <w:rStyle w:val="a"/>
                <w:lang w:val="en"/>
              </w:rPr>
              <w:t xml:space="preserve"> </w:t>
            </w:r>
            <w:r w:rsidRPr="00180DF3">
              <w:rPr>
                <w:rStyle w:val="current-selection"/>
                <w:lang w:val="en"/>
              </w:rPr>
              <w:t>RA</w:t>
            </w:r>
            <w:r w:rsidRPr="00180DF3">
              <w:rPr>
                <w:rStyle w:val="a"/>
                <w:lang w:val="en"/>
              </w:rPr>
              <w:t xml:space="preserve"> </w:t>
            </w:r>
            <w:r w:rsidRPr="00180DF3">
              <w:rPr>
                <w:rStyle w:val="current-selection"/>
                <w:lang w:val="en"/>
              </w:rPr>
              <w:t>patients</w:t>
            </w:r>
            <w:r w:rsidRPr="00180DF3">
              <w:rPr>
                <w:rStyle w:val="a"/>
                <w:lang w:val="en"/>
              </w:rPr>
              <w:t xml:space="preserve"> </w:t>
            </w:r>
            <w:r w:rsidRPr="00180DF3">
              <w:rPr>
                <w:rStyle w:val="current-selection"/>
                <w:lang w:val="en"/>
              </w:rPr>
              <w:t>(16)</w:t>
            </w:r>
            <w:proofErr w:type="gramStart"/>
            <w:r w:rsidRPr="00180DF3">
              <w:rPr>
                <w:rStyle w:val="current-selection"/>
                <w:lang w:val="en"/>
              </w:rPr>
              <w:t>.†</w:t>
            </w:r>
            <w:proofErr w:type="gramEnd"/>
          </w:p>
          <w:p w14:paraId="127439BF" w14:textId="77777777" w:rsidR="00180DF3" w:rsidRPr="00180DF3" w:rsidRDefault="00180DF3" w:rsidP="00F82AF6">
            <w:pPr>
              <w:ind w:left="31" w:firstLine="0"/>
              <w:rPr>
                <w:rStyle w:val="current-selection"/>
                <w:lang w:val="en"/>
              </w:rPr>
            </w:pPr>
          </w:p>
          <w:p w14:paraId="105808DE" w14:textId="0BF2BF58" w:rsidR="00180DF3" w:rsidRPr="00180DF3" w:rsidRDefault="00180DF3" w:rsidP="00F82AF6">
            <w:pPr>
              <w:ind w:left="31" w:firstLine="0"/>
              <w:rPr>
                <w:rFonts w:eastAsia="Times New Roman" w:cs="Times New Roman"/>
                <w:lang w:val="en"/>
              </w:rPr>
            </w:pPr>
            <w:r w:rsidRPr="00180DF3">
              <w:rPr>
                <w:rStyle w:val="current-selection"/>
                <w:lang w:val="en"/>
              </w:rPr>
              <w:t>†</w:t>
            </w:r>
            <w:r w:rsidRPr="00180DF3">
              <w:rPr>
                <w:rStyle w:val="a"/>
                <w:lang w:val="en"/>
              </w:rPr>
              <w:t xml:space="preserve"> </w:t>
            </w:r>
            <w:r w:rsidRPr="00180DF3">
              <w:rPr>
                <w:rStyle w:val="current-selection"/>
                <w:lang w:val="en"/>
              </w:rPr>
              <w:t>Any</w:t>
            </w:r>
            <w:r w:rsidRPr="00180DF3">
              <w:rPr>
                <w:rStyle w:val="a"/>
                <w:lang w:val="en"/>
              </w:rPr>
              <w:t xml:space="preserve"> </w:t>
            </w:r>
            <w:r w:rsidRPr="00180DF3">
              <w:rPr>
                <w:rStyle w:val="current-selection"/>
                <w:lang w:val="en"/>
              </w:rPr>
              <w:t>of</w:t>
            </w:r>
            <w:r w:rsidRPr="00180DF3">
              <w:rPr>
                <w:rStyle w:val="a"/>
                <w:lang w:val="en"/>
              </w:rPr>
              <w:t xml:space="preserve"> </w:t>
            </w:r>
            <w:r w:rsidRPr="00180DF3">
              <w:rPr>
                <w:rStyle w:val="current-selection"/>
                <w:lang w:val="en"/>
              </w:rPr>
              <w:t>the</w:t>
            </w:r>
            <w:r w:rsidRPr="00180DF3">
              <w:rPr>
                <w:rStyle w:val="a"/>
                <w:lang w:val="en"/>
              </w:rPr>
              <w:t xml:space="preserve"> </w:t>
            </w:r>
            <w:r w:rsidRPr="00180DF3">
              <w:rPr>
                <w:rStyle w:val="current-selection"/>
                <w:lang w:val="en"/>
              </w:rPr>
              <w:t>ACR</w:t>
            </w:r>
            <w:r w:rsidRPr="00180DF3">
              <w:rPr>
                <w:rStyle w:val="a"/>
                <w:lang w:val="en"/>
              </w:rPr>
              <w:t xml:space="preserve"> </w:t>
            </w:r>
            <w:r w:rsidRPr="00180DF3">
              <w:rPr>
                <w:rStyle w:val="current-selection"/>
                <w:lang w:val="en"/>
              </w:rPr>
              <w:t>recommended</w:t>
            </w:r>
            <w:r w:rsidRPr="00180DF3">
              <w:rPr>
                <w:rStyle w:val="a"/>
                <w:lang w:val="en"/>
              </w:rPr>
              <w:t xml:space="preserve"> </w:t>
            </w:r>
            <w:r w:rsidRPr="00180DF3">
              <w:rPr>
                <w:rStyle w:val="current-selection"/>
                <w:lang w:val="en"/>
              </w:rPr>
              <w:t>disease</w:t>
            </w:r>
            <w:r w:rsidRPr="00180DF3">
              <w:rPr>
                <w:rStyle w:val="a"/>
                <w:lang w:val="en"/>
              </w:rPr>
              <w:t xml:space="preserve"> </w:t>
            </w:r>
            <w:r w:rsidRPr="00180DF3">
              <w:rPr>
                <w:rStyle w:val="current-selection"/>
                <w:lang w:val="en"/>
              </w:rPr>
              <w:t>activity</w:t>
            </w:r>
            <w:r w:rsidRPr="00180DF3">
              <w:rPr>
                <w:rStyle w:val="a"/>
                <w:lang w:val="en"/>
              </w:rPr>
              <w:t xml:space="preserve"> </w:t>
            </w:r>
            <w:r w:rsidRPr="00180DF3">
              <w:rPr>
                <w:rStyle w:val="current-selection"/>
                <w:lang w:val="en"/>
              </w:rPr>
              <w:t>measures</w:t>
            </w:r>
            <w:r w:rsidRPr="00180DF3">
              <w:rPr>
                <w:rStyle w:val="a"/>
                <w:lang w:val="en"/>
              </w:rPr>
              <w:t xml:space="preserve"> </w:t>
            </w:r>
            <w:r w:rsidRPr="00180DF3">
              <w:rPr>
                <w:rStyle w:val="current-selection"/>
                <w:lang w:val="en"/>
              </w:rPr>
              <w:t>may</w:t>
            </w:r>
            <w:r w:rsidRPr="00180DF3">
              <w:rPr>
                <w:rStyle w:val="a"/>
                <w:lang w:val="en"/>
              </w:rPr>
              <w:t xml:space="preserve"> </w:t>
            </w:r>
            <w:r w:rsidRPr="00180DF3">
              <w:rPr>
                <w:rStyle w:val="current-selection"/>
                <w:lang w:val="en"/>
              </w:rPr>
              <w:t>be</w:t>
            </w:r>
            <w:r w:rsidRPr="00180DF3">
              <w:rPr>
                <w:rStyle w:val="a"/>
                <w:lang w:val="en"/>
              </w:rPr>
              <w:t xml:space="preserve"> </w:t>
            </w:r>
            <w:r w:rsidRPr="00180DF3">
              <w:rPr>
                <w:rStyle w:val="current-selection"/>
                <w:lang w:val="en"/>
              </w:rPr>
              <w:t>chosen,</w:t>
            </w:r>
            <w:r w:rsidRPr="00180DF3">
              <w:rPr>
                <w:rStyle w:val="a"/>
                <w:lang w:val="en"/>
              </w:rPr>
              <w:t xml:space="preserve"> </w:t>
            </w:r>
            <w:r w:rsidRPr="00180DF3">
              <w:rPr>
                <w:rStyle w:val="current-selection"/>
                <w:lang w:val="en"/>
              </w:rPr>
              <w:t>as</w:t>
            </w:r>
            <w:r w:rsidRPr="00180DF3">
              <w:rPr>
                <w:rStyle w:val="a"/>
                <w:lang w:val="en"/>
              </w:rPr>
              <w:t xml:space="preserve"> </w:t>
            </w:r>
            <w:r w:rsidRPr="00180DF3">
              <w:rPr>
                <w:rStyle w:val="current-selection"/>
                <w:lang w:val="en"/>
              </w:rPr>
              <w:t>described</w:t>
            </w:r>
            <w:r w:rsidRPr="00180DF3">
              <w:rPr>
                <w:rStyle w:val="a"/>
                <w:lang w:val="en"/>
              </w:rPr>
              <w:t xml:space="preserve"> </w:t>
            </w:r>
            <w:r w:rsidRPr="00180DF3">
              <w:rPr>
                <w:rStyle w:val="current-selection"/>
                <w:lang w:val="en"/>
              </w:rPr>
              <w:t>in</w:t>
            </w:r>
            <w:r w:rsidRPr="00180DF3">
              <w:rPr>
                <w:rStyle w:val="a"/>
                <w:lang w:val="en"/>
              </w:rPr>
              <w:t xml:space="preserve"> </w:t>
            </w:r>
            <w:r w:rsidRPr="00180DF3">
              <w:rPr>
                <w:rFonts w:eastAsia="Times New Roman" w:cs="Times New Roman"/>
                <w:lang w:val="en"/>
              </w:rPr>
              <w:t xml:space="preserve">Anderson J, Caplan L, Yazdany J, Robbins ML, </w:t>
            </w:r>
            <w:proofErr w:type="spellStart"/>
            <w:r w:rsidRPr="00180DF3">
              <w:rPr>
                <w:rFonts w:eastAsia="Times New Roman" w:cs="Times New Roman"/>
                <w:lang w:val="en"/>
              </w:rPr>
              <w:t>Neogi</w:t>
            </w:r>
            <w:proofErr w:type="spellEnd"/>
            <w:r w:rsidRPr="00180DF3">
              <w:rPr>
                <w:rFonts w:eastAsia="Times New Roman" w:cs="Times New Roman"/>
                <w:lang w:val="en"/>
              </w:rPr>
              <w:t xml:space="preserve"> T, Michaud K, et al. Rheumatoid arthritis disease activity measures: American College of Rheumatology recommendations for use in clinical practice. Arthritis Care Res (Hoboken) 2012;</w:t>
            </w:r>
            <w:r w:rsidR="00B56989">
              <w:rPr>
                <w:rFonts w:eastAsia="Times New Roman" w:cs="Times New Roman"/>
                <w:lang w:val="en"/>
              </w:rPr>
              <w:t xml:space="preserve"> </w:t>
            </w:r>
            <w:r w:rsidRPr="00180DF3">
              <w:rPr>
                <w:rFonts w:eastAsia="Times New Roman" w:cs="Times New Roman"/>
                <w:lang w:val="en"/>
              </w:rPr>
              <w:t>64:640–7.</w:t>
            </w:r>
          </w:p>
          <w:p w14:paraId="55B8DA78" w14:textId="6A13F51E" w:rsidR="00180DF3" w:rsidRPr="00180DF3" w:rsidRDefault="00180DF3" w:rsidP="00180DF3">
            <w:pPr>
              <w:ind w:left="301" w:firstLine="0"/>
            </w:pPr>
          </w:p>
        </w:tc>
      </w:tr>
      <w:tr w:rsidR="00AB4ECE" w14:paraId="55B8DA7C" w14:textId="77777777" w:rsidTr="00D27CEC">
        <w:tc>
          <w:tcPr>
            <w:tcW w:w="2833"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6517" w:type="dxa"/>
          </w:tcPr>
          <w:p w14:paraId="55B8DA7B" w14:textId="3A126DC8" w:rsidR="00AB4ECE" w:rsidRDefault="00EB33BE" w:rsidP="002E2177">
            <w:pPr>
              <w:ind w:left="0" w:firstLine="0"/>
            </w:pPr>
            <w:r>
              <w:t xml:space="preserve">Collection of disease activity is a fundamental principle underlying all remaining guidelines (evidence for subsequent guidelines ranges from low to high). </w:t>
            </w:r>
          </w:p>
        </w:tc>
      </w:tr>
      <w:tr w:rsidR="00AB4ECE" w14:paraId="55B8DA7F" w14:textId="77777777" w:rsidTr="00D27CEC">
        <w:tc>
          <w:tcPr>
            <w:tcW w:w="2833" w:type="dxa"/>
          </w:tcPr>
          <w:p w14:paraId="55B8DA7D" w14:textId="77777777" w:rsidR="00AB4ECE" w:rsidRDefault="00AB4ECE" w:rsidP="00E42FAA">
            <w:pPr>
              <w:ind w:left="0" w:firstLine="0"/>
            </w:pPr>
            <w:r>
              <w:t>Provide all other grades and definitions from the evidence grading system</w:t>
            </w:r>
          </w:p>
        </w:tc>
        <w:tc>
          <w:tcPr>
            <w:tcW w:w="6517" w:type="dxa"/>
          </w:tcPr>
          <w:p w14:paraId="7FB718C5" w14:textId="693D2C3A" w:rsidR="00704D71" w:rsidRPr="00A52129" w:rsidRDefault="00704D71" w:rsidP="00704D71">
            <w:pPr>
              <w:ind w:left="0" w:firstLine="0"/>
              <w:rPr>
                <w:rFonts w:eastAsia="Times New Roman" w:cs="Times New Roman"/>
                <w:lang w:val="en"/>
              </w:rPr>
            </w:pPr>
            <w:r w:rsidRPr="00A52129">
              <w:rPr>
                <w:rFonts w:eastAsia="Times New Roman" w:cs="Times New Roman"/>
                <w:lang w:val="en"/>
              </w:rPr>
              <w:t>We developed this guideline following the recently revised ACR guideline development process (</w:t>
            </w:r>
            <w:hyperlink r:id="rId20" w:history="1">
              <w:r w:rsidR="00A52129" w:rsidRPr="007204B8">
                <w:rPr>
                  <w:rStyle w:val="Hyperlink"/>
                  <w:rFonts w:eastAsia="Times New Roman" w:cs="Times New Roman"/>
                  <w:lang w:val="en"/>
                </w:rPr>
                <w:t>http://www.rheumatology.org/Practice-Quality/Clinical-Support/Clinical-Practice-Guidelines</w:t>
              </w:r>
            </w:hyperlink>
            <w:r w:rsidR="00A52129">
              <w:rPr>
                <w:rFonts w:eastAsia="Times New Roman" w:cs="Times New Roman"/>
                <w:lang w:val="en"/>
              </w:rPr>
              <w:t xml:space="preserve"> </w:t>
            </w:r>
            <w:r w:rsidRPr="00A52129">
              <w:rPr>
                <w:rFonts w:eastAsia="Times New Roman" w:cs="Times New Roman"/>
                <w:lang w:val="en"/>
              </w:rPr>
              <w:t xml:space="preserve">). This process includes the Grading of Recommendations Assessment, Development, and Evaluation (GRADE) methodology (available at </w:t>
            </w:r>
            <w:hyperlink r:id="rId21" w:history="1">
              <w:r w:rsidR="00A52129" w:rsidRPr="00A52129">
                <w:rPr>
                  <w:rStyle w:val="Hyperlink"/>
                  <w:rFonts w:eastAsia="Times New Roman" w:cs="Times New Roman"/>
                  <w:lang w:val="en"/>
                </w:rPr>
                <w:t>www.gradeworkinggroup.org</w:t>
              </w:r>
            </w:hyperlink>
            <w:r w:rsidRPr="00A52129">
              <w:rPr>
                <w:rFonts w:eastAsia="Times New Roman" w:cs="Times New Roman"/>
                <w:lang w:val="en"/>
              </w:rPr>
              <w:t>)</w:t>
            </w:r>
          </w:p>
          <w:p w14:paraId="30DEB3B7" w14:textId="0A186A00" w:rsidR="00A52129" w:rsidRPr="00A52129" w:rsidRDefault="00A52129" w:rsidP="00704D71">
            <w:pPr>
              <w:ind w:left="0" w:firstLine="0"/>
              <w:rPr>
                <w:rFonts w:eastAsia="Times New Roman" w:cs="Times New Roman"/>
                <w:lang w:val="en"/>
              </w:rPr>
            </w:pPr>
          </w:p>
          <w:p w14:paraId="2EF0E3D1" w14:textId="59BAF0FE" w:rsidR="00A52129" w:rsidRPr="00A52129" w:rsidRDefault="00A52129" w:rsidP="00A52129">
            <w:pPr>
              <w:ind w:left="0" w:firstLine="0"/>
              <w:rPr>
                <w:rFonts w:eastAsia="Times New Roman" w:cs="Times New Roman"/>
                <w:lang w:val="en"/>
              </w:rPr>
            </w:pPr>
            <w:proofErr w:type="spellStart"/>
            <w:r w:rsidRPr="00A52129">
              <w:rPr>
                <w:rFonts w:eastAsia="Times New Roman" w:cs="Times New Roman"/>
                <w:lang w:val="en"/>
              </w:rPr>
              <w:t>Guyatt</w:t>
            </w:r>
            <w:proofErr w:type="spellEnd"/>
            <w:r w:rsidRPr="00A52129">
              <w:rPr>
                <w:rFonts w:eastAsia="Times New Roman" w:cs="Times New Roman"/>
                <w:lang w:val="en"/>
              </w:rPr>
              <w:t xml:space="preserve"> GH, </w:t>
            </w:r>
            <w:proofErr w:type="spellStart"/>
            <w:r w:rsidRPr="00A52129">
              <w:rPr>
                <w:rFonts w:eastAsia="Times New Roman" w:cs="Times New Roman"/>
                <w:lang w:val="en"/>
              </w:rPr>
              <w:t>Oxman</w:t>
            </w:r>
            <w:proofErr w:type="spellEnd"/>
            <w:r w:rsidRPr="00A52129">
              <w:rPr>
                <w:rFonts w:eastAsia="Times New Roman" w:cs="Times New Roman"/>
                <w:lang w:val="en"/>
              </w:rPr>
              <w:t xml:space="preserve"> AD, </w:t>
            </w:r>
            <w:proofErr w:type="spellStart"/>
            <w:r w:rsidRPr="00A52129">
              <w:rPr>
                <w:rFonts w:eastAsia="Times New Roman" w:cs="Times New Roman"/>
                <w:lang w:val="en"/>
              </w:rPr>
              <w:t>Vist</w:t>
            </w:r>
            <w:proofErr w:type="spellEnd"/>
            <w:r w:rsidRPr="00A52129">
              <w:rPr>
                <w:rFonts w:eastAsia="Times New Roman" w:cs="Times New Roman"/>
                <w:lang w:val="en"/>
              </w:rPr>
              <w:t xml:space="preserve"> GE, Kunz R, </w:t>
            </w:r>
            <w:proofErr w:type="spellStart"/>
            <w:r w:rsidRPr="00A52129">
              <w:rPr>
                <w:rFonts w:eastAsia="Times New Roman" w:cs="Times New Roman"/>
                <w:lang w:val="en"/>
              </w:rPr>
              <w:t>Falck-Ytter</w:t>
            </w:r>
            <w:proofErr w:type="spellEnd"/>
            <w:r w:rsidRPr="00A52129">
              <w:rPr>
                <w:rFonts w:eastAsia="Times New Roman" w:cs="Times New Roman"/>
                <w:lang w:val="en"/>
              </w:rPr>
              <w:t xml:space="preserve"> Y, Alonso-</w:t>
            </w:r>
            <w:proofErr w:type="spellStart"/>
            <w:r w:rsidRPr="00A52129">
              <w:rPr>
                <w:rFonts w:eastAsia="Times New Roman" w:cs="Times New Roman"/>
                <w:lang w:val="en"/>
              </w:rPr>
              <w:t>Coello</w:t>
            </w:r>
            <w:proofErr w:type="spellEnd"/>
            <w:r w:rsidRPr="00A52129">
              <w:rPr>
                <w:rFonts w:eastAsia="Times New Roman" w:cs="Times New Roman"/>
                <w:lang w:val="en"/>
              </w:rPr>
              <w:t xml:space="preserve"> P, et al. GRADE: an emerging consensus on rating quality of evidence and strength of recommendations. BMJ 2008</w:t>
            </w:r>
            <w:proofErr w:type="gramStart"/>
            <w:r w:rsidRPr="00A52129">
              <w:rPr>
                <w:rFonts w:eastAsia="Times New Roman" w:cs="Times New Roman"/>
                <w:lang w:val="en"/>
              </w:rPr>
              <w:t>;336:924</w:t>
            </w:r>
            <w:proofErr w:type="gramEnd"/>
            <w:r w:rsidRPr="00A52129">
              <w:rPr>
                <w:rFonts w:eastAsia="Times New Roman" w:cs="Times New Roman"/>
                <w:lang w:val="en"/>
              </w:rPr>
              <w:t>–6.</w:t>
            </w:r>
          </w:p>
          <w:p w14:paraId="73BC1C48" w14:textId="241FA486" w:rsidR="00A52129" w:rsidRPr="00A52129" w:rsidRDefault="00A52129" w:rsidP="00A52129">
            <w:pPr>
              <w:ind w:left="0" w:firstLine="0"/>
              <w:rPr>
                <w:rFonts w:eastAsia="Times New Roman" w:cs="Times New Roman"/>
                <w:lang w:val="en"/>
              </w:rPr>
            </w:pPr>
          </w:p>
          <w:p w14:paraId="6A609B92" w14:textId="6BB62D82" w:rsidR="00A52129" w:rsidRPr="00A52129" w:rsidRDefault="00A52129" w:rsidP="00A52129">
            <w:pPr>
              <w:ind w:left="0" w:firstLine="0"/>
              <w:rPr>
                <w:rFonts w:eastAsia="Times New Roman" w:cs="Times New Roman"/>
                <w:lang w:val="en"/>
              </w:rPr>
            </w:pPr>
            <w:r w:rsidRPr="00A52129">
              <w:rPr>
                <w:rFonts w:eastAsia="Times New Roman" w:cs="Times New Roman"/>
                <w:lang w:val="en"/>
              </w:rPr>
              <w:t xml:space="preserve">Andrews J, </w:t>
            </w:r>
            <w:proofErr w:type="spellStart"/>
            <w:r w:rsidRPr="00A52129">
              <w:rPr>
                <w:rFonts w:eastAsia="Times New Roman" w:cs="Times New Roman"/>
                <w:lang w:val="en"/>
              </w:rPr>
              <w:t>Guyatt</w:t>
            </w:r>
            <w:proofErr w:type="spellEnd"/>
            <w:r w:rsidRPr="00A52129">
              <w:rPr>
                <w:rFonts w:eastAsia="Times New Roman" w:cs="Times New Roman"/>
                <w:lang w:val="en"/>
              </w:rPr>
              <w:t xml:space="preserve"> G, </w:t>
            </w:r>
            <w:proofErr w:type="spellStart"/>
            <w:r w:rsidRPr="00A52129">
              <w:rPr>
                <w:rFonts w:eastAsia="Times New Roman" w:cs="Times New Roman"/>
                <w:lang w:val="en"/>
              </w:rPr>
              <w:t>Oxman</w:t>
            </w:r>
            <w:proofErr w:type="spellEnd"/>
            <w:r w:rsidRPr="00A52129">
              <w:rPr>
                <w:rFonts w:eastAsia="Times New Roman" w:cs="Times New Roman"/>
                <w:lang w:val="en"/>
              </w:rPr>
              <w:t xml:space="preserve"> AD, Alderson P, </w:t>
            </w:r>
            <w:proofErr w:type="spellStart"/>
            <w:r w:rsidRPr="00A52129">
              <w:rPr>
                <w:rFonts w:eastAsia="Times New Roman" w:cs="Times New Roman"/>
                <w:lang w:val="en"/>
              </w:rPr>
              <w:t>Dahm</w:t>
            </w:r>
            <w:proofErr w:type="spellEnd"/>
            <w:r w:rsidRPr="00A52129">
              <w:rPr>
                <w:rFonts w:eastAsia="Times New Roman" w:cs="Times New Roman"/>
                <w:lang w:val="en"/>
              </w:rPr>
              <w:t xml:space="preserve"> P, </w:t>
            </w:r>
            <w:proofErr w:type="spellStart"/>
            <w:r w:rsidRPr="00A52129">
              <w:rPr>
                <w:rFonts w:eastAsia="Times New Roman" w:cs="Times New Roman"/>
                <w:lang w:val="en"/>
              </w:rPr>
              <w:t>Falck</w:t>
            </w:r>
            <w:proofErr w:type="spellEnd"/>
            <w:r w:rsidRPr="00A52129">
              <w:rPr>
                <w:rFonts w:eastAsia="Times New Roman" w:cs="Times New Roman"/>
                <w:lang w:val="en"/>
              </w:rPr>
              <w:t>-</w:t>
            </w:r>
          </w:p>
          <w:p w14:paraId="173D2E4C" w14:textId="77777777" w:rsidR="00A52129" w:rsidRPr="00A52129" w:rsidRDefault="00A52129" w:rsidP="00A52129">
            <w:pPr>
              <w:ind w:left="0" w:firstLine="0"/>
              <w:rPr>
                <w:rFonts w:eastAsia="Times New Roman" w:cs="Times New Roman"/>
                <w:lang w:val="en"/>
              </w:rPr>
            </w:pPr>
            <w:proofErr w:type="spellStart"/>
            <w:r w:rsidRPr="00A52129">
              <w:rPr>
                <w:rFonts w:eastAsia="Times New Roman" w:cs="Times New Roman"/>
                <w:lang w:val="en"/>
              </w:rPr>
              <w:t>Ytter</w:t>
            </w:r>
            <w:proofErr w:type="spellEnd"/>
            <w:r w:rsidRPr="00A52129">
              <w:rPr>
                <w:rFonts w:eastAsia="Times New Roman" w:cs="Times New Roman"/>
                <w:lang w:val="en"/>
              </w:rPr>
              <w:t xml:space="preserve"> Y, et al. GRADE guidelines: 14. Going from evidence to</w:t>
            </w:r>
          </w:p>
          <w:p w14:paraId="2125CF8F" w14:textId="77777777" w:rsidR="00A52129" w:rsidRPr="00A52129" w:rsidRDefault="00A52129" w:rsidP="00A52129">
            <w:pPr>
              <w:ind w:left="0" w:firstLine="0"/>
              <w:rPr>
                <w:rFonts w:eastAsia="Times New Roman" w:cs="Times New Roman"/>
                <w:lang w:val="en"/>
              </w:rPr>
            </w:pPr>
            <w:r w:rsidRPr="00A52129">
              <w:rPr>
                <w:rFonts w:eastAsia="Times New Roman" w:cs="Times New Roman"/>
                <w:lang w:val="en"/>
              </w:rPr>
              <w:lastRenderedPageBreak/>
              <w:t xml:space="preserve">recommendations: the significance and presentation of </w:t>
            </w:r>
            <w:proofErr w:type="spellStart"/>
            <w:r w:rsidRPr="00A52129">
              <w:rPr>
                <w:rFonts w:eastAsia="Times New Roman" w:cs="Times New Roman"/>
                <w:lang w:val="en"/>
              </w:rPr>
              <w:t>recom</w:t>
            </w:r>
            <w:proofErr w:type="spellEnd"/>
            <w:r w:rsidRPr="00A52129">
              <w:rPr>
                <w:rFonts w:eastAsia="Times New Roman" w:cs="Times New Roman"/>
                <w:lang w:val="en"/>
              </w:rPr>
              <w:t>-</w:t>
            </w:r>
          </w:p>
          <w:p w14:paraId="42987265" w14:textId="51B9D9CC" w:rsidR="00A52129" w:rsidRPr="00A52129" w:rsidRDefault="00A52129" w:rsidP="00A52129">
            <w:pPr>
              <w:ind w:left="0" w:firstLine="0"/>
              <w:rPr>
                <w:rFonts w:eastAsia="Times New Roman" w:cs="Times New Roman"/>
                <w:lang w:val="en"/>
              </w:rPr>
            </w:pPr>
            <w:proofErr w:type="spellStart"/>
            <w:proofErr w:type="gramStart"/>
            <w:r w:rsidRPr="00A52129">
              <w:rPr>
                <w:rFonts w:eastAsia="Times New Roman" w:cs="Times New Roman"/>
                <w:lang w:val="en"/>
              </w:rPr>
              <w:t>mendations</w:t>
            </w:r>
            <w:proofErr w:type="spellEnd"/>
            <w:proofErr w:type="gramEnd"/>
            <w:r w:rsidRPr="00A52129">
              <w:rPr>
                <w:rFonts w:eastAsia="Times New Roman" w:cs="Times New Roman"/>
                <w:lang w:val="en"/>
              </w:rPr>
              <w:t xml:space="preserve">. J </w:t>
            </w:r>
            <w:proofErr w:type="spellStart"/>
            <w:r w:rsidRPr="00A52129">
              <w:rPr>
                <w:rFonts w:eastAsia="Times New Roman" w:cs="Times New Roman"/>
                <w:lang w:val="en"/>
              </w:rPr>
              <w:t>Clin</w:t>
            </w:r>
            <w:proofErr w:type="spellEnd"/>
            <w:r w:rsidRPr="00A52129">
              <w:rPr>
                <w:rFonts w:eastAsia="Times New Roman" w:cs="Times New Roman"/>
                <w:lang w:val="en"/>
              </w:rPr>
              <w:t xml:space="preserve"> </w:t>
            </w:r>
            <w:proofErr w:type="spellStart"/>
            <w:r w:rsidRPr="00A52129">
              <w:rPr>
                <w:rFonts w:eastAsia="Times New Roman" w:cs="Times New Roman"/>
                <w:lang w:val="en"/>
              </w:rPr>
              <w:t>Epidemiol</w:t>
            </w:r>
            <w:proofErr w:type="spellEnd"/>
            <w:r w:rsidRPr="00A52129">
              <w:rPr>
                <w:rFonts w:eastAsia="Times New Roman" w:cs="Times New Roman"/>
                <w:lang w:val="en"/>
              </w:rPr>
              <w:t xml:space="preserve"> 2013</w:t>
            </w:r>
            <w:proofErr w:type="gramStart"/>
            <w:r w:rsidRPr="00A52129">
              <w:rPr>
                <w:rFonts w:eastAsia="Times New Roman" w:cs="Times New Roman"/>
                <w:lang w:val="en"/>
              </w:rPr>
              <w:t>;66:719</w:t>
            </w:r>
            <w:proofErr w:type="gramEnd"/>
            <w:r w:rsidRPr="00A52129">
              <w:rPr>
                <w:rFonts w:eastAsia="Times New Roman" w:cs="Times New Roman"/>
                <w:lang w:val="en"/>
              </w:rPr>
              <w:t>–25.</w:t>
            </w:r>
          </w:p>
          <w:p w14:paraId="61E53841" w14:textId="60F41C01" w:rsidR="00A52129" w:rsidRPr="00A52129" w:rsidRDefault="00A52129" w:rsidP="00A52129">
            <w:pPr>
              <w:ind w:left="0" w:firstLine="0"/>
              <w:rPr>
                <w:rFonts w:eastAsia="Times New Roman" w:cs="Times New Roman"/>
                <w:lang w:val="en"/>
              </w:rPr>
            </w:pPr>
          </w:p>
          <w:p w14:paraId="7D76EBCD" w14:textId="77777777" w:rsidR="00A52129" w:rsidRPr="00A52129" w:rsidRDefault="00A52129" w:rsidP="00A52129">
            <w:pPr>
              <w:ind w:left="0" w:firstLine="0"/>
              <w:rPr>
                <w:rFonts w:eastAsia="Times New Roman" w:cs="Times New Roman"/>
                <w:lang w:val="en"/>
              </w:rPr>
            </w:pPr>
            <w:r w:rsidRPr="00A52129">
              <w:rPr>
                <w:rFonts w:eastAsia="Times New Roman" w:cs="Times New Roman"/>
                <w:lang w:val="en"/>
              </w:rPr>
              <w:t xml:space="preserve">Andrews JC, </w:t>
            </w:r>
            <w:proofErr w:type="spellStart"/>
            <w:r w:rsidRPr="00A52129">
              <w:rPr>
                <w:rFonts w:eastAsia="Times New Roman" w:cs="Times New Roman"/>
                <w:lang w:val="en"/>
              </w:rPr>
              <w:t>Schunemann</w:t>
            </w:r>
            <w:proofErr w:type="spellEnd"/>
            <w:r w:rsidRPr="00A52129">
              <w:rPr>
                <w:rFonts w:eastAsia="Times New Roman" w:cs="Times New Roman"/>
                <w:lang w:val="en"/>
              </w:rPr>
              <w:t xml:space="preserve"> HJ, </w:t>
            </w:r>
            <w:proofErr w:type="spellStart"/>
            <w:r w:rsidRPr="00A52129">
              <w:rPr>
                <w:rFonts w:eastAsia="Times New Roman" w:cs="Times New Roman"/>
                <w:lang w:val="en"/>
              </w:rPr>
              <w:t>Oxman</w:t>
            </w:r>
            <w:proofErr w:type="spellEnd"/>
            <w:r w:rsidRPr="00A52129">
              <w:rPr>
                <w:rFonts w:eastAsia="Times New Roman" w:cs="Times New Roman"/>
                <w:lang w:val="en"/>
              </w:rPr>
              <w:t xml:space="preserve"> AD, </w:t>
            </w:r>
            <w:proofErr w:type="spellStart"/>
            <w:r w:rsidRPr="00A52129">
              <w:rPr>
                <w:rFonts w:eastAsia="Times New Roman" w:cs="Times New Roman"/>
                <w:lang w:val="en"/>
              </w:rPr>
              <w:t>Pottie</w:t>
            </w:r>
            <w:proofErr w:type="spellEnd"/>
            <w:r w:rsidRPr="00A52129">
              <w:rPr>
                <w:rFonts w:eastAsia="Times New Roman" w:cs="Times New Roman"/>
                <w:lang w:val="en"/>
              </w:rPr>
              <w:t xml:space="preserve"> K, </w:t>
            </w:r>
            <w:proofErr w:type="spellStart"/>
            <w:r w:rsidRPr="00A52129">
              <w:rPr>
                <w:rFonts w:eastAsia="Times New Roman" w:cs="Times New Roman"/>
                <w:lang w:val="en"/>
              </w:rPr>
              <w:t>Meerpohl</w:t>
            </w:r>
            <w:proofErr w:type="spellEnd"/>
          </w:p>
          <w:p w14:paraId="56411008" w14:textId="77777777" w:rsidR="00A52129" w:rsidRPr="00A52129" w:rsidRDefault="00A52129" w:rsidP="00A52129">
            <w:pPr>
              <w:ind w:left="0" w:firstLine="0"/>
              <w:rPr>
                <w:rFonts w:eastAsia="Times New Roman" w:cs="Times New Roman"/>
                <w:lang w:val="en"/>
              </w:rPr>
            </w:pPr>
            <w:r w:rsidRPr="00A52129">
              <w:rPr>
                <w:rFonts w:eastAsia="Times New Roman" w:cs="Times New Roman"/>
                <w:lang w:val="en"/>
              </w:rPr>
              <w:t xml:space="preserve">JJ, </w:t>
            </w:r>
            <w:proofErr w:type="spellStart"/>
            <w:r w:rsidRPr="00A52129">
              <w:rPr>
                <w:rFonts w:eastAsia="Times New Roman" w:cs="Times New Roman"/>
                <w:lang w:val="en"/>
              </w:rPr>
              <w:t>Coello</w:t>
            </w:r>
            <w:proofErr w:type="spellEnd"/>
            <w:r w:rsidRPr="00A52129">
              <w:rPr>
                <w:rFonts w:eastAsia="Times New Roman" w:cs="Times New Roman"/>
                <w:lang w:val="en"/>
              </w:rPr>
              <w:t xml:space="preserve"> PA, et al. GRADE guidelines: 15. Going from </w:t>
            </w:r>
            <w:proofErr w:type="spellStart"/>
            <w:r w:rsidRPr="00A52129">
              <w:rPr>
                <w:rFonts w:eastAsia="Times New Roman" w:cs="Times New Roman"/>
                <w:lang w:val="en"/>
              </w:rPr>
              <w:t>evi</w:t>
            </w:r>
            <w:proofErr w:type="spellEnd"/>
            <w:r w:rsidRPr="00A52129">
              <w:rPr>
                <w:rFonts w:eastAsia="Times New Roman" w:cs="Times New Roman"/>
                <w:lang w:val="en"/>
              </w:rPr>
              <w:t>-</w:t>
            </w:r>
          </w:p>
          <w:p w14:paraId="1910E6CA" w14:textId="77777777" w:rsidR="00A52129" w:rsidRPr="00A52129" w:rsidRDefault="00A52129" w:rsidP="00A52129">
            <w:pPr>
              <w:ind w:left="0" w:firstLine="0"/>
              <w:rPr>
                <w:rFonts w:eastAsia="Times New Roman" w:cs="Times New Roman"/>
                <w:lang w:val="en"/>
              </w:rPr>
            </w:pPr>
            <w:proofErr w:type="spellStart"/>
            <w:r w:rsidRPr="00A52129">
              <w:rPr>
                <w:rFonts w:eastAsia="Times New Roman" w:cs="Times New Roman"/>
                <w:lang w:val="en"/>
              </w:rPr>
              <w:t>dence</w:t>
            </w:r>
            <w:proofErr w:type="spellEnd"/>
            <w:r w:rsidRPr="00A52129">
              <w:rPr>
                <w:rFonts w:eastAsia="Times New Roman" w:cs="Times New Roman"/>
                <w:lang w:val="en"/>
              </w:rPr>
              <w:t xml:space="preserve"> to recommendation: determinants of a recommendation’s</w:t>
            </w:r>
          </w:p>
          <w:p w14:paraId="0FE347E4" w14:textId="5E9CCA95" w:rsidR="00A52129" w:rsidRPr="00A52129" w:rsidRDefault="00A52129" w:rsidP="00A52129">
            <w:pPr>
              <w:ind w:left="0" w:firstLine="0"/>
              <w:rPr>
                <w:rFonts w:eastAsia="Times New Roman" w:cs="Times New Roman"/>
                <w:lang w:val="en"/>
              </w:rPr>
            </w:pPr>
            <w:proofErr w:type="gramStart"/>
            <w:r w:rsidRPr="00A52129">
              <w:rPr>
                <w:rFonts w:eastAsia="Times New Roman" w:cs="Times New Roman"/>
                <w:lang w:val="en"/>
              </w:rPr>
              <w:t>direction</w:t>
            </w:r>
            <w:proofErr w:type="gramEnd"/>
            <w:r w:rsidRPr="00A52129">
              <w:rPr>
                <w:rFonts w:eastAsia="Times New Roman" w:cs="Times New Roman"/>
                <w:lang w:val="en"/>
              </w:rPr>
              <w:t xml:space="preserve"> and strength. J </w:t>
            </w:r>
            <w:proofErr w:type="spellStart"/>
            <w:r w:rsidRPr="00A52129">
              <w:rPr>
                <w:rFonts w:eastAsia="Times New Roman" w:cs="Times New Roman"/>
                <w:lang w:val="en"/>
              </w:rPr>
              <w:t>Clin</w:t>
            </w:r>
            <w:proofErr w:type="spellEnd"/>
            <w:r w:rsidRPr="00A52129">
              <w:rPr>
                <w:rFonts w:eastAsia="Times New Roman" w:cs="Times New Roman"/>
                <w:lang w:val="en"/>
              </w:rPr>
              <w:t xml:space="preserve"> </w:t>
            </w:r>
            <w:proofErr w:type="spellStart"/>
            <w:r w:rsidRPr="00A52129">
              <w:rPr>
                <w:rFonts w:eastAsia="Times New Roman" w:cs="Times New Roman"/>
                <w:lang w:val="en"/>
              </w:rPr>
              <w:t>Epidemiol</w:t>
            </w:r>
            <w:proofErr w:type="spellEnd"/>
            <w:r w:rsidRPr="00A52129">
              <w:rPr>
                <w:rFonts w:eastAsia="Times New Roman" w:cs="Times New Roman"/>
                <w:lang w:val="en"/>
              </w:rPr>
              <w:t xml:space="preserve"> 2013</w:t>
            </w:r>
            <w:proofErr w:type="gramStart"/>
            <w:r w:rsidRPr="00A52129">
              <w:rPr>
                <w:rFonts w:eastAsia="Times New Roman" w:cs="Times New Roman"/>
                <w:lang w:val="en"/>
              </w:rPr>
              <w:t>;66:726</w:t>
            </w:r>
            <w:proofErr w:type="gramEnd"/>
            <w:r w:rsidRPr="00A52129">
              <w:rPr>
                <w:rFonts w:eastAsia="Times New Roman" w:cs="Times New Roman"/>
                <w:lang w:val="en"/>
              </w:rPr>
              <w:t>–35.</w:t>
            </w:r>
          </w:p>
          <w:p w14:paraId="65A73819" w14:textId="77777777" w:rsidR="00A52129" w:rsidRPr="00704D71" w:rsidRDefault="00A52129" w:rsidP="00704D71">
            <w:pPr>
              <w:ind w:left="0" w:firstLine="0"/>
              <w:rPr>
                <w:rFonts w:eastAsia="Times New Roman" w:cs="Times New Roman"/>
                <w:lang w:val="en"/>
              </w:rPr>
            </w:pPr>
          </w:p>
          <w:p w14:paraId="55B8DA7E" w14:textId="77777777" w:rsidR="00AB4ECE" w:rsidRPr="00A52129" w:rsidRDefault="00AB4ECE" w:rsidP="002E2177">
            <w:pPr>
              <w:ind w:left="0" w:firstLine="0"/>
            </w:pPr>
          </w:p>
        </w:tc>
      </w:tr>
      <w:tr w:rsidR="00AB4ECE" w14:paraId="55B8DA82" w14:textId="77777777" w:rsidTr="00D27CEC">
        <w:tc>
          <w:tcPr>
            <w:tcW w:w="2833" w:type="dxa"/>
          </w:tcPr>
          <w:p w14:paraId="55B8DA80" w14:textId="77777777" w:rsidR="00AB4ECE" w:rsidRDefault="00AB4ECE" w:rsidP="00E42FAA">
            <w:pPr>
              <w:ind w:left="0" w:firstLine="0"/>
            </w:pPr>
            <w:r>
              <w:lastRenderedPageBreak/>
              <w:t xml:space="preserve">Grade assigned to the </w:t>
            </w:r>
            <w:r w:rsidRPr="004E7215">
              <w:rPr>
                <w:b/>
              </w:rPr>
              <w:t>recommendation</w:t>
            </w:r>
            <w:r>
              <w:t xml:space="preserve"> with definition of the grade</w:t>
            </w:r>
          </w:p>
        </w:tc>
        <w:tc>
          <w:tcPr>
            <w:tcW w:w="6517" w:type="dxa"/>
          </w:tcPr>
          <w:p w14:paraId="55B8DA81" w14:textId="42D43D28" w:rsidR="00AB4ECE" w:rsidRDefault="00FD4693" w:rsidP="002E2177">
            <w:pPr>
              <w:ind w:left="0" w:firstLine="0"/>
            </w:pPr>
            <w:r>
              <w:t>N/A</w:t>
            </w:r>
          </w:p>
        </w:tc>
      </w:tr>
      <w:tr w:rsidR="00AB4ECE" w14:paraId="55B8DA85" w14:textId="77777777" w:rsidTr="00D27CEC">
        <w:tc>
          <w:tcPr>
            <w:tcW w:w="2833" w:type="dxa"/>
          </w:tcPr>
          <w:p w14:paraId="55B8DA83" w14:textId="77777777" w:rsidR="00AB4ECE" w:rsidRDefault="00AB4ECE" w:rsidP="00E42FAA">
            <w:pPr>
              <w:ind w:left="0" w:firstLine="0"/>
            </w:pPr>
            <w:r>
              <w:t>Provide all other grades and definitions from the recommendation grading system</w:t>
            </w:r>
          </w:p>
        </w:tc>
        <w:tc>
          <w:tcPr>
            <w:tcW w:w="6517" w:type="dxa"/>
          </w:tcPr>
          <w:p w14:paraId="55B8DA84" w14:textId="279E3DC1" w:rsidR="00AB4ECE" w:rsidRDefault="00FD4693" w:rsidP="002E2177">
            <w:pPr>
              <w:ind w:left="0" w:firstLine="0"/>
            </w:pPr>
            <w:r>
              <w:t>N/A</w:t>
            </w:r>
          </w:p>
        </w:tc>
      </w:tr>
      <w:tr w:rsidR="00AB4ECE" w14:paraId="55B8DA8A" w14:textId="77777777" w:rsidTr="00D27CEC">
        <w:tc>
          <w:tcPr>
            <w:tcW w:w="2833"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6517" w:type="dxa"/>
          </w:tcPr>
          <w:p w14:paraId="55B8DA89" w14:textId="3EB91568" w:rsidR="00AB4ECE" w:rsidRDefault="00FD4693" w:rsidP="002E2177">
            <w:pPr>
              <w:ind w:left="0" w:firstLine="0"/>
            </w:pPr>
            <w:r>
              <w:t>N/A</w:t>
            </w:r>
          </w:p>
        </w:tc>
      </w:tr>
      <w:tr w:rsidR="00D27CEC" w14:paraId="55B8DA8D" w14:textId="77777777" w:rsidTr="00D27CEC">
        <w:tc>
          <w:tcPr>
            <w:tcW w:w="2833" w:type="dxa"/>
          </w:tcPr>
          <w:p w14:paraId="55B8DA8B" w14:textId="77777777" w:rsidR="00D27CEC" w:rsidRDefault="00D27CEC" w:rsidP="00D27CEC">
            <w:pPr>
              <w:ind w:left="0" w:firstLine="0"/>
            </w:pPr>
            <w:r>
              <w:t xml:space="preserve">Estimates of benefit and consistency across studies </w:t>
            </w:r>
          </w:p>
        </w:tc>
        <w:tc>
          <w:tcPr>
            <w:tcW w:w="6517" w:type="dxa"/>
          </w:tcPr>
          <w:p w14:paraId="55B8DA8C" w14:textId="1ED41E9F" w:rsidR="00D27CEC" w:rsidRDefault="00D27CEC" w:rsidP="00D27CEC">
            <w:pPr>
              <w:ind w:left="0" w:firstLine="0"/>
            </w:pPr>
            <w:r>
              <w:t>N/A</w:t>
            </w:r>
          </w:p>
        </w:tc>
      </w:tr>
      <w:tr w:rsidR="00D27CEC" w14:paraId="55B8DA90" w14:textId="77777777" w:rsidTr="00D27CEC">
        <w:tc>
          <w:tcPr>
            <w:tcW w:w="2833" w:type="dxa"/>
          </w:tcPr>
          <w:p w14:paraId="55B8DA8E" w14:textId="77777777" w:rsidR="00D27CEC" w:rsidRDefault="00D27CEC" w:rsidP="00D27CEC">
            <w:pPr>
              <w:ind w:left="0" w:firstLine="0"/>
            </w:pPr>
            <w:r>
              <w:t>What harms were identified?</w:t>
            </w:r>
          </w:p>
        </w:tc>
        <w:tc>
          <w:tcPr>
            <w:tcW w:w="6517" w:type="dxa"/>
          </w:tcPr>
          <w:p w14:paraId="55B8DA8F" w14:textId="4AA77435" w:rsidR="00D27CEC" w:rsidRDefault="00D27CEC" w:rsidP="00D27CEC">
            <w:pPr>
              <w:ind w:left="0" w:firstLine="0"/>
            </w:pPr>
            <w:r>
              <w:t>N/A</w:t>
            </w:r>
          </w:p>
        </w:tc>
      </w:tr>
      <w:tr w:rsidR="00D27CEC" w14:paraId="55B8DA93" w14:textId="77777777" w:rsidTr="00D27CEC">
        <w:tc>
          <w:tcPr>
            <w:tcW w:w="2833" w:type="dxa"/>
          </w:tcPr>
          <w:p w14:paraId="55B8DA91" w14:textId="77777777" w:rsidR="00D27CEC" w:rsidRDefault="00D27CEC" w:rsidP="00D27CEC">
            <w:pPr>
              <w:ind w:left="0" w:firstLine="0"/>
            </w:pPr>
            <w:r>
              <w:t>Identify any new studies conducted since the SR. Do the new studies change the conclusions from the SR?</w:t>
            </w:r>
          </w:p>
        </w:tc>
        <w:tc>
          <w:tcPr>
            <w:tcW w:w="6517" w:type="dxa"/>
          </w:tcPr>
          <w:p w14:paraId="55B8DA92" w14:textId="1521E2CF" w:rsidR="00D27CEC" w:rsidRDefault="00D27CEC" w:rsidP="00D27CEC">
            <w:pPr>
              <w:ind w:left="0" w:firstLine="0"/>
            </w:pPr>
            <w:r>
              <w:t>N/A</w:t>
            </w:r>
          </w:p>
        </w:tc>
      </w:tr>
    </w:tbl>
    <w:p w14:paraId="55B8DA94" w14:textId="1762319D" w:rsidR="007C1887" w:rsidRDefault="007C1887" w:rsidP="002E2177">
      <w:pPr>
        <w:ind w:left="0" w:firstLine="0"/>
      </w:pPr>
    </w:p>
    <w:tbl>
      <w:tblPr>
        <w:tblStyle w:val="TableGrid"/>
        <w:tblW w:w="0" w:type="auto"/>
        <w:tblLook w:val="04A0" w:firstRow="1" w:lastRow="0" w:firstColumn="1" w:lastColumn="0" w:noHBand="0" w:noVBand="1"/>
      </w:tblPr>
      <w:tblGrid>
        <w:gridCol w:w="2446"/>
        <w:gridCol w:w="7130"/>
      </w:tblGrid>
      <w:tr w:rsidR="00946C07" w14:paraId="10A22F0F" w14:textId="77777777" w:rsidTr="008648B5">
        <w:tc>
          <w:tcPr>
            <w:tcW w:w="4068" w:type="dxa"/>
          </w:tcPr>
          <w:p w14:paraId="5A3C8AB7" w14:textId="77777777" w:rsidR="00F82AF6" w:rsidRPr="00AB4ECE" w:rsidRDefault="00F82AF6" w:rsidP="008648B5">
            <w:pPr>
              <w:ind w:left="0" w:firstLine="0"/>
              <w:rPr>
                <w:b/>
              </w:rPr>
            </w:pPr>
            <w:r w:rsidRPr="00AB4ECE">
              <w:rPr>
                <w:b/>
              </w:rPr>
              <w:t>Source of Systematic Review:</w:t>
            </w:r>
          </w:p>
          <w:p w14:paraId="5FA26A7E" w14:textId="77777777" w:rsidR="00F82AF6" w:rsidRPr="00AB4ECE" w:rsidRDefault="00F82AF6" w:rsidP="008648B5">
            <w:pPr>
              <w:pStyle w:val="ListParagraph"/>
              <w:numPr>
                <w:ilvl w:val="0"/>
                <w:numId w:val="9"/>
              </w:numPr>
              <w:rPr>
                <w:b/>
              </w:rPr>
            </w:pPr>
            <w:r w:rsidRPr="00AB4ECE">
              <w:rPr>
                <w:b/>
              </w:rPr>
              <w:t>Title</w:t>
            </w:r>
          </w:p>
          <w:p w14:paraId="74DC3FB5" w14:textId="77777777" w:rsidR="00F82AF6" w:rsidRPr="00AB4ECE" w:rsidRDefault="00F82AF6" w:rsidP="008648B5">
            <w:pPr>
              <w:pStyle w:val="ListParagraph"/>
              <w:numPr>
                <w:ilvl w:val="0"/>
                <w:numId w:val="9"/>
              </w:numPr>
              <w:rPr>
                <w:b/>
              </w:rPr>
            </w:pPr>
            <w:r w:rsidRPr="00AB4ECE">
              <w:rPr>
                <w:b/>
              </w:rPr>
              <w:t>Author</w:t>
            </w:r>
          </w:p>
          <w:p w14:paraId="4084FE16" w14:textId="77777777" w:rsidR="00F82AF6" w:rsidRPr="00AB4ECE" w:rsidRDefault="00F82AF6" w:rsidP="008648B5">
            <w:pPr>
              <w:pStyle w:val="ListParagraph"/>
              <w:numPr>
                <w:ilvl w:val="0"/>
                <w:numId w:val="9"/>
              </w:numPr>
              <w:rPr>
                <w:b/>
              </w:rPr>
            </w:pPr>
            <w:r w:rsidRPr="00AB4ECE">
              <w:rPr>
                <w:b/>
              </w:rPr>
              <w:t>Date</w:t>
            </w:r>
          </w:p>
          <w:p w14:paraId="49146B3B" w14:textId="77777777" w:rsidR="00F82AF6" w:rsidRPr="00AB4ECE" w:rsidRDefault="00F82AF6" w:rsidP="008648B5">
            <w:pPr>
              <w:pStyle w:val="ListParagraph"/>
              <w:numPr>
                <w:ilvl w:val="0"/>
                <w:numId w:val="9"/>
              </w:numPr>
              <w:rPr>
                <w:b/>
              </w:rPr>
            </w:pPr>
            <w:r w:rsidRPr="00AB4ECE">
              <w:rPr>
                <w:b/>
              </w:rPr>
              <w:t>Citation, including page number</w:t>
            </w:r>
          </w:p>
          <w:p w14:paraId="2F629D16" w14:textId="77777777" w:rsidR="00F82AF6" w:rsidRPr="00AB4ECE" w:rsidRDefault="00F82AF6" w:rsidP="008648B5">
            <w:pPr>
              <w:pStyle w:val="ListParagraph"/>
              <w:numPr>
                <w:ilvl w:val="0"/>
                <w:numId w:val="9"/>
              </w:numPr>
              <w:rPr>
                <w:b/>
              </w:rPr>
            </w:pPr>
            <w:r w:rsidRPr="00AB4ECE">
              <w:rPr>
                <w:b/>
              </w:rPr>
              <w:t>URL</w:t>
            </w:r>
          </w:p>
        </w:tc>
        <w:tc>
          <w:tcPr>
            <w:tcW w:w="5130" w:type="dxa"/>
          </w:tcPr>
          <w:p w14:paraId="626F20EC" w14:textId="77777777" w:rsidR="00F82AF6" w:rsidRDefault="00F82AF6" w:rsidP="008648B5">
            <w:pPr>
              <w:pStyle w:val="ListParagraph"/>
              <w:numPr>
                <w:ilvl w:val="0"/>
                <w:numId w:val="9"/>
              </w:numPr>
              <w:rPr>
                <w:i/>
              </w:rPr>
            </w:pPr>
            <w:r w:rsidRPr="00A5477E">
              <w:t xml:space="preserve">EULAR recommendations for the management of rheumatoid arthritis with synthetic and biological disease-modifying </w:t>
            </w:r>
            <w:proofErr w:type="spellStart"/>
            <w:r w:rsidRPr="00A5477E">
              <w:t>antirheumatic</w:t>
            </w:r>
            <w:proofErr w:type="spellEnd"/>
            <w:r w:rsidRPr="00A5477E">
              <w:t xml:space="preserve"> drugs: 2013 update</w:t>
            </w:r>
            <w:r w:rsidRPr="00180DF3">
              <w:rPr>
                <w:i/>
              </w:rPr>
              <w:t xml:space="preserve"> </w:t>
            </w:r>
          </w:p>
          <w:p w14:paraId="5D3F0E50" w14:textId="77777777" w:rsidR="00F82AF6" w:rsidRDefault="00F82AF6" w:rsidP="008648B5">
            <w:pPr>
              <w:pStyle w:val="ListParagraph"/>
              <w:numPr>
                <w:ilvl w:val="0"/>
                <w:numId w:val="9"/>
              </w:numPr>
              <w:rPr>
                <w:i/>
              </w:rPr>
            </w:pPr>
            <w:proofErr w:type="spellStart"/>
            <w:r>
              <w:t>Smolen</w:t>
            </w:r>
            <w:proofErr w:type="spellEnd"/>
            <w:r>
              <w:t xml:space="preserve"> JS et al</w:t>
            </w:r>
            <w:r w:rsidRPr="00180DF3">
              <w:rPr>
                <w:i/>
              </w:rPr>
              <w:t xml:space="preserve"> </w:t>
            </w:r>
          </w:p>
          <w:p w14:paraId="604E8975" w14:textId="77777777" w:rsidR="00F82AF6" w:rsidRPr="00F82AF6" w:rsidRDefault="00F82AF6" w:rsidP="008648B5">
            <w:pPr>
              <w:pStyle w:val="ListParagraph"/>
              <w:numPr>
                <w:ilvl w:val="0"/>
                <w:numId w:val="9"/>
              </w:numPr>
              <w:rPr>
                <w:i/>
              </w:rPr>
            </w:pPr>
            <w:r w:rsidRPr="00A5477E">
              <w:t>Mar 2014</w:t>
            </w:r>
          </w:p>
          <w:p w14:paraId="432CC362" w14:textId="1B78378E" w:rsidR="00F82AF6" w:rsidRPr="00180DF3" w:rsidRDefault="00F82AF6" w:rsidP="008648B5">
            <w:pPr>
              <w:pStyle w:val="ListParagraph"/>
              <w:numPr>
                <w:ilvl w:val="0"/>
                <w:numId w:val="9"/>
              </w:numPr>
              <w:rPr>
                <w:i/>
              </w:rPr>
            </w:pPr>
            <w:r w:rsidRPr="00A5477E">
              <w:t>Ann Rheum Dis; 73(3): 492–509</w:t>
            </w:r>
          </w:p>
          <w:p w14:paraId="53C6E73F" w14:textId="1B0CC5D8" w:rsidR="00F82AF6" w:rsidRPr="00F82AF6" w:rsidRDefault="00F2650F" w:rsidP="00F82AF6">
            <w:pPr>
              <w:pStyle w:val="ListParagraph"/>
              <w:numPr>
                <w:ilvl w:val="0"/>
                <w:numId w:val="9"/>
              </w:numPr>
              <w:rPr>
                <w:b/>
              </w:rPr>
            </w:pPr>
            <w:hyperlink r:id="rId22" w:history="1">
              <w:r w:rsidR="00F82AF6" w:rsidRPr="007204B8">
                <w:rPr>
                  <w:rStyle w:val="Hyperlink"/>
                  <w:b/>
                </w:rPr>
                <w:t>https://www.ncbi.nlm.nih.gov/pmc/ar</w:t>
              </w:r>
              <w:r w:rsidR="00F82AF6" w:rsidRPr="007204B8">
                <w:rPr>
                  <w:rStyle w:val="Hyperlink"/>
                  <w:b/>
                </w:rPr>
                <w:t>t</w:t>
              </w:r>
              <w:r w:rsidR="00F82AF6" w:rsidRPr="007204B8">
                <w:rPr>
                  <w:rStyle w:val="Hyperlink"/>
                  <w:b/>
                </w:rPr>
                <w:t>icles/PMC3933074/</w:t>
              </w:r>
            </w:hyperlink>
            <w:r w:rsidR="00F82AF6">
              <w:rPr>
                <w:b/>
              </w:rPr>
              <w:t xml:space="preserve"> </w:t>
            </w:r>
          </w:p>
        </w:tc>
      </w:tr>
      <w:tr w:rsidR="00946C07" w14:paraId="6EBC99A9" w14:textId="77777777" w:rsidTr="008648B5">
        <w:tc>
          <w:tcPr>
            <w:tcW w:w="4068" w:type="dxa"/>
          </w:tcPr>
          <w:p w14:paraId="38F41DC1" w14:textId="77777777" w:rsidR="00F82AF6" w:rsidRDefault="00F82AF6" w:rsidP="008648B5">
            <w:pPr>
              <w:ind w:left="0" w:firstLine="0"/>
            </w:pPr>
            <w:r>
              <w:t xml:space="preserve">Quote the guideline or recommendation verbatim about the process, structure or intermediate outcome being measured. If not a </w:t>
            </w:r>
            <w:r>
              <w:lastRenderedPageBreak/>
              <w:t>guideline, summarize the conclusions from the SR.</w:t>
            </w:r>
          </w:p>
        </w:tc>
        <w:tc>
          <w:tcPr>
            <w:tcW w:w="5130" w:type="dxa"/>
          </w:tcPr>
          <w:p w14:paraId="1534EA33" w14:textId="6E7D3FF7" w:rsidR="00B2693E" w:rsidRPr="00B2693E" w:rsidRDefault="00B2693E" w:rsidP="00F82AF6">
            <w:pPr>
              <w:ind w:left="0" w:firstLine="0"/>
              <w:rPr>
                <w:rFonts w:eastAsia="Times New Roman" w:cs="Times New Roman"/>
              </w:rPr>
            </w:pPr>
            <w:r w:rsidRPr="00F82AF6">
              <w:rPr>
                <w:rFonts w:eastAsia="Times New Roman" w:cs="Times New Roman"/>
              </w:rPr>
              <w:lastRenderedPageBreak/>
              <w:t>Treatment should be aimed at reaching a target of remission or low disease activity in every patient</w:t>
            </w:r>
            <w:r w:rsidRPr="00B2693E">
              <w:rPr>
                <w:rFonts w:eastAsia="Times New Roman" w:cs="Times New Roman"/>
              </w:rPr>
              <w:t>.</w:t>
            </w:r>
          </w:p>
          <w:p w14:paraId="2A0951B0" w14:textId="4AD12F62" w:rsidR="00B2693E" w:rsidRPr="00B2693E" w:rsidRDefault="00B2693E" w:rsidP="00F82AF6">
            <w:pPr>
              <w:ind w:left="0" w:firstLine="0"/>
              <w:rPr>
                <w:rFonts w:eastAsia="Times New Roman" w:cs="Times New Roman"/>
              </w:rPr>
            </w:pPr>
          </w:p>
          <w:p w14:paraId="2EB521B6" w14:textId="354B0D44" w:rsidR="00F82AF6" w:rsidRPr="00B2693E" w:rsidRDefault="00B2693E" w:rsidP="00B2693E">
            <w:pPr>
              <w:ind w:left="0" w:firstLine="0"/>
              <w:rPr>
                <w:rFonts w:eastAsia="Times New Roman" w:cs="Times New Roman"/>
                <w:lang w:val="en"/>
              </w:rPr>
            </w:pPr>
            <w:r w:rsidRPr="00F82AF6">
              <w:rPr>
                <w:rFonts w:eastAsia="Times New Roman" w:cs="Times New Roman"/>
              </w:rPr>
              <w:t>Monitoring should be frequent in active disease (every 1–3 months); if there is no improvement by at most 3 months after the start of treatment or the target has not been reached by 6 months, therapy should be adjusted</w:t>
            </w:r>
            <w:r w:rsidR="00F82AF6" w:rsidRPr="00B2693E">
              <w:rPr>
                <w:rFonts w:eastAsia="Times New Roman" w:cs="Times New Roman"/>
                <w:lang w:val="en"/>
              </w:rPr>
              <w:t>.</w:t>
            </w:r>
          </w:p>
          <w:p w14:paraId="75DB0786" w14:textId="77777777" w:rsidR="00F82AF6" w:rsidRPr="00180DF3" w:rsidRDefault="00F82AF6" w:rsidP="008648B5">
            <w:pPr>
              <w:ind w:left="301" w:firstLine="0"/>
            </w:pPr>
          </w:p>
        </w:tc>
      </w:tr>
      <w:tr w:rsidR="00946C07" w14:paraId="2A4FCA0F" w14:textId="77777777" w:rsidTr="008648B5">
        <w:tc>
          <w:tcPr>
            <w:tcW w:w="4068" w:type="dxa"/>
          </w:tcPr>
          <w:p w14:paraId="545FDD82" w14:textId="77777777" w:rsidR="00F82AF6" w:rsidRDefault="00F82AF6" w:rsidP="008648B5">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50F2090B" w14:textId="70489604" w:rsidR="00F82AF6" w:rsidRPr="00D00124" w:rsidRDefault="00B2693E" w:rsidP="00B2693E">
            <w:pPr>
              <w:ind w:left="0" w:firstLine="0"/>
            </w:pPr>
            <w:r>
              <w:rPr>
                <w:lang w:val="en"/>
              </w:rPr>
              <w:t>L</w:t>
            </w:r>
            <w:r w:rsidRPr="00D00124">
              <w:rPr>
                <w:lang w:val="en"/>
              </w:rPr>
              <w:t>evels of evidence (</w:t>
            </w:r>
            <w:proofErr w:type="spellStart"/>
            <w:r w:rsidRPr="00D00124">
              <w:rPr>
                <w:lang w:val="en"/>
              </w:rPr>
              <w:t>LoE</w:t>
            </w:r>
            <w:proofErr w:type="spellEnd"/>
            <w:r w:rsidRPr="00D00124">
              <w:rPr>
                <w:lang w:val="en"/>
              </w:rPr>
              <w:t>), grades of recommendations (</w:t>
            </w:r>
            <w:proofErr w:type="spellStart"/>
            <w:r w:rsidRPr="00D00124">
              <w:rPr>
                <w:lang w:val="en"/>
              </w:rPr>
              <w:t>GoR</w:t>
            </w:r>
            <w:proofErr w:type="spellEnd"/>
            <w:r w:rsidRPr="00D00124">
              <w:rPr>
                <w:lang w:val="en"/>
              </w:rPr>
              <w:t>), strength of recommendation (</w:t>
            </w:r>
            <w:proofErr w:type="spellStart"/>
            <w:r w:rsidRPr="00D00124">
              <w:rPr>
                <w:lang w:val="en"/>
              </w:rPr>
              <w:t>SoR</w:t>
            </w:r>
            <w:proofErr w:type="spellEnd"/>
            <w:r w:rsidRPr="00D00124">
              <w:rPr>
                <w:lang w:val="en"/>
              </w:rPr>
              <w:t>; = level of agreement), and % of votes for the respective items as worded, based on the recommendations of the Oxford Centre for Evidence-Based Medicine</w:t>
            </w:r>
            <w:r w:rsidR="00F82AF6" w:rsidRPr="00D00124">
              <w:t xml:space="preserve"> </w:t>
            </w:r>
          </w:p>
          <w:p w14:paraId="2BAFFB1C" w14:textId="3F5D01F0" w:rsidR="00FD4693" w:rsidRPr="00D00124" w:rsidRDefault="00FD4693" w:rsidP="00B2693E">
            <w:pPr>
              <w:ind w:left="0" w:firstLine="0"/>
            </w:pPr>
          </w:p>
          <w:p w14:paraId="23EE09FC" w14:textId="6B94AA35" w:rsidR="00FD4693" w:rsidRPr="00D00124" w:rsidRDefault="00FD4693" w:rsidP="00FD4693">
            <w:pPr>
              <w:ind w:left="0" w:firstLine="0"/>
              <w:rPr>
                <w:rFonts w:eastAsia="Times New Roman" w:cs="Times New Roman"/>
              </w:rPr>
            </w:pPr>
            <w:r w:rsidRPr="00F82AF6">
              <w:rPr>
                <w:rFonts w:eastAsia="Times New Roman" w:cs="Times New Roman"/>
              </w:rPr>
              <w:t>Treatment should be aimed at reaching a target of remission or low disease activity in every patient</w:t>
            </w:r>
            <w:r w:rsidRPr="00D00124">
              <w:rPr>
                <w:rFonts w:eastAsia="Times New Roman" w:cs="Times New Roman"/>
              </w:rPr>
              <w:t>. LoE</w:t>
            </w:r>
            <w:proofErr w:type="gramStart"/>
            <w:r w:rsidRPr="00D00124">
              <w:rPr>
                <w:rFonts w:eastAsia="Times New Roman" w:cs="Times New Roman"/>
              </w:rPr>
              <w:t>:1a</w:t>
            </w:r>
            <w:proofErr w:type="gramEnd"/>
            <w:r w:rsidRPr="00D00124">
              <w:rPr>
                <w:rFonts w:eastAsia="Times New Roman" w:cs="Times New Roman"/>
              </w:rPr>
              <w:t xml:space="preserve">; </w:t>
            </w:r>
            <w:proofErr w:type="spellStart"/>
            <w:r w:rsidRPr="00D00124">
              <w:rPr>
                <w:rFonts w:eastAsia="Times New Roman" w:cs="Times New Roman"/>
              </w:rPr>
              <w:t>GoR</w:t>
            </w:r>
            <w:proofErr w:type="spellEnd"/>
            <w:r w:rsidRPr="00D00124">
              <w:rPr>
                <w:rFonts w:eastAsia="Times New Roman" w:cs="Times New Roman"/>
              </w:rPr>
              <w:t xml:space="preserve">: A; </w:t>
            </w:r>
            <w:proofErr w:type="spellStart"/>
            <w:r w:rsidRPr="00D00124">
              <w:rPr>
                <w:rFonts w:eastAsia="Times New Roman" w:cs="Times New Roman"/>
              </w:rPr>
              <w:t>SoR</w:t>
            </w:r>
            <w:proofErr w:type="spellEnd"/>
            <w:r w:rsidRPr="00D00124">
              <w:rPr>
                <w:rFonts w:eastAsia="Times New Roman" w:cs="Times New Roman"/>
              </w:rPr>
              <w:t xml:space="preserve">: </w:t>
            </w:r>
            <w:r w:rsidRPr="00FD4693">
              <w:rPr>
                <w:rFonts w:eastAsia="Times New Roman" w:cs="Times New Roman"/>
              </w:rPr>
              <w:t>9.6±0.7</w:t>
            </w:r>
            <w:r w:rsidRPr="00D00124">
              <w:rPr>
                <w:rFonts w:eastAsia="Times New Roman" w:cs="Times New Roman"/>
              </w:rPr>
              <w:t>; %: 100.</w:t>
            </w:r>
          </w:p>
          <w:p w14:paraId="7E01BE0B" w14:textId="77777777" w:rsidR="00FD4693" w:rsidRPr="00D00124" w:rsidRDefault="00FD4693" w:rsidP="00FD4693">
            <w:pPr>
              <w:ind w:left="0" w:firstLine="0"/>
              <w:rPr>
                <w:rFonts w:eastAsia="Times New Roman" w:cs="Times New Roman"/>
              </w:rPr>
            </w:pPr>
          </w:p>
          <w:p w14:paraId="7832491D" w14:textId="76B35768" w:rsidR="00FD4693" w:rsidRPr="00D00124" w:rsidRDefault="00FD4693" w:rsidP="00FD4693">
            <w:pPr>
              <w:ind w:left="0" w:firstLine="0"/>
              <w:rPr>
                <w:rFonts w:eastAsia="Times New Roman" w:cs="Times New Roman"/>
              </w:rPr>
            </w:pPr>
            <w:r w:rsidRPr="00F82AF6">
              <w:rPr>
                <w:rFonts w:eastAsia="Times New Roman" w:cs="Times New Roman"/>
              </w:rPr>
              <w:t>Monitoring should be frequent in active disease (every 1–3 months); if there is no improvement by at most 3 months after the start of treatment or the target has not been reached by 6 months, therapy should be adjusted</w:t>
            </w:r>
            <w:r w:rsidRPr="00D00124">
              <w:rPr>
                <w:rFonts w:eastAsia="Times New Roman" w:cs="Times New Roman"/>
                <w:lang w:val="en"/>
              </w:rPr>
              <w:t xml:space="preserve">. </w:t>
            </w:r>
            <w:r w:rsidR="00D00124" w:rsidRPr="00D00124">
              <w:rPr>
                <w:rFonts w:eastAsia="Times New Roman" w:cs="Times New Roman"/>
              </w:rPr>
              <w:t>LoE</w:t>
            </w:r>
            <w:proofErr w:type="gramStart"/>
            <w:r w:rsidR="00D00124" w:rsidRPr="00D00124">
              <w:rPr>
                <w:rFonts w:eastAsia="Times New Roman" w:cs="Times New Roman"/>
              </w:rPr>
              <w:t>:2b</w:t>
            </w:r>
            <w:proofErr w:type="gramEnd"/>
            <w:r w:rsidRPr="00D00124">
              <w:rPr>
                <w:rFonts w:eastAsia="Times New Roman" w:cs="Times New Roman"/>
              </w:rPr>
              <w:t>;</w:t>
            </w:r>
            <w:r w:rsidR="00D00124" w:rsidRPr="00D00124">
              <w:rPr>
                <w:rFonts w:eastAsia="Times New Roman" w:cs="Times New Roman"/>
              </w:rPr>
              <w:t xml:space="preserve"> </w:t>
            </w:r>
            <w:proofErr w:type="spellStart"/>
            <w:r w:rsidR="00D00124" w:rsidRPr="00D00124">
              <w:rPr>
                <w:rFonts w:eastAsia="Times New Roman" w:cs="Times New Roman"/>
              </w:rPr>
              <w:t>GoR</w:t>
            </w:r>
            <w:proofErr w:type="spellEnd"/>
            <w:r w:rsidR="00D00124" w:rsidRPr="00D00124">
              <w:rPr>
                <w:rFonts w:eastAsia="Times New Roman" w:cs="Times New Roman"/>
              </w:rPr>
              <w:t>: B</w:t>
            </w:r>
            <w:r w:rsidRPr="00D00124">
              <w:rPr>
                <w:rFonts w:eastAsia="Times New Roman" w:cs="Times New Roman"/>
              </w:rPr>
              <w:t xml:space="preserve">; </w:t>
            </w:r>
            <w:proofErr w:type="spellStart"/>
            <w:r w:rsidRPr="00D00124">
              <w:rPr>
                <w:rFonts w:eastAsia="Times New Roman" w:cs="Times New Roman"/>
              </w:rPr>
              <w:t>SoR</w:t>
            </w:r>
            <w:proofErr w:type="spellEnd"/>
            <w:r w:rsidRPr="00D00124">
              <w:rPr>
                <w:rFonts w:eastAsia="Times New Roman" w:cs="Times New Roman"/>
              </w:rPr>
              <w:t xml:space="preserve">: </w:t>
            </w:r>
            <w:r w:rsidR="00D00124" w:rsidRPr="00FD4693">
              <w:rPr>
                <w:rFonts w:eastAsia="Times New Roman" w:cs="Times New Roman"/>
              </w:rPr>
              <w:t>9.5±1.0</w:t>
            </w:r>
            <w:r w:rsidRPr="00D00124">
              <w:rPr>
                <w:rFonts w:eastAsia="Times New Roman" w:cs="Times New Roman"/>
              </w:rPr>
              <w:t>; %: 100.</w:t>
            </w:r>
          </w:p>
          <w:p w14:paraId="7CC19A77" w14:textId="1185CFD3" w:rsidR="00FD4693" w:rsidRDefault="00FD4693" w:rsidP="00B2693E">
            <w:pPr>
              <w:ind w:left="0" w:firstLine="0"/>
            </w:pPr>
          </w:p>
        </w:tc>
      </w:tr>
      <w:tr w:rsidR="00946C07" w14:paraId="427872ED" w14:textId="77777777" w:rsidTr="008648B5">
        <w:tc>
          <w:tcPr>
            <w:tcW w:w="4068" w:type="dxa"/>
          </w:tcPr>
          <w:p w14:paraId="52075A9E" w14:textId="77777777" w:rsidR="00F82AF6" w:rsidRDefault="00F82AF6" w:rsidP="008648B5">
            <w:pPr>
              <w:ind w:left="0" w:firstLine="0"/>
            </w:pPr>
            <w:r>
              <w:t>Provide all other grades and definitions from the evidence grading system</w:t>
            </w:r>
          </w:p>
        </w:tc>
        <w:tc>
          <w:tcPr>
            <w:tcW w:w="5130" w:type="dxa"/>
          </w:tcPr>
          <w:p w14:paraId="61187EAE" w14:textId="6FA789E9" w:rsidR="00F82AF6" w:rsidRPr="00A52129" w:rsidRDefault="00F82AF6" w:rsidP="00B2693E">
            <w:pPr>
              <w:ind w:left="0" w:firstLine="0"/>
              <w:rPr>
                <w:rFonts w:eastAsia="Times New Roman" w:cs="Times New Roman"/>
                <w:lang w:val="en"/>
              </w:rPr>
            </w:pPr>
          </w:p>
          <w:p w14:paraId="03C0B5E7" w14:textId="432D3694" w:rsidR="00F82AF6" w:rsidRPr="00704D71" w:rsidRDefault="00D00124" w:rsidP="008648B5">
            <w:pPr>
              <w:ind w:left="0" w:firstLine="0"/>
              <w:rPr>
                <w:rFonts w:eastAsia="Times New Roman" w:cs="Times New Roman"/>
                <w:lang w:val="en"/>
              </w:rPr>
            </w:pPr>
            <w:r>
              <w:rPr>
                <w:rFonts w:eastAsia="Times New Roman" w:cs="Times New Roman"/>
                <w:lang w:val="en"/>
              </w:rPr>
              <w:t>N/A</w:t>
            </w:r>
          </w:p>
          <w:p w14:paraId="130F067C" w14:textId="77777777" w:rsidR="00F82AF6" w:rsidRPr="00A52129" w:rsidRDefault="00F82AF6" w:rsidP="008648B5">
            <w:pPr>
              <w:ind w:left="0" w:firstLine="0"/>
            </w:pPr>
          </w:p>
        </w:tc>
      </w:tr>
      <w:tr w:rsidR="00946C07" w14:paraId="1943327D" w14:textId="77777777" w:rsidTr="008648B5">
        <w:tc>
          <w:tcPr>
            <w:tcW w:w="4068" w:type="dxa"/>
          </w:tcPr>
          <w:p w14:paraId="21DDCA90" w14:textId="77777777" w:rsidR="00F82AF6" w:rsidRDefault="00F82AF6" w:rsidP="008648B5">
            <w:pPr>
              <w:ind w:left="0" w:firstLine="0"/>
            </w:pPr>
            <w:r>
              <w:t xml:space="preserve">Grade assigned to the </w:t>
            </w:r>
            <w:r w:rsidRPr="004E7215">
              <w:rPr>
                <w:b/>
              </w:rPr>
              <w:t>recommendation</w:t>
            </w:r>
            <w:r>
              <w:t xml:space="preserve"> with definition of the grade</w:t>
            </w:r>
          </w:p>
        </w:tc>
        <w:tc>
          <w:tcPr>
            <w:tcW w:w="5130" w:type="dxa"/>
          </w:tcPr>
          <w:p w14:paraId="54B0AF55" w14:textId="13FD399B" w:rsidR="00F82AF6" w:rsidRDefault="00D00124" w:rsidP="008648B5">
            <w:pPr>
              <w:ind w:left="0" w:firstLine="0"/>
            </w:pPr>
            <w:r>
              <w:t>See above</w:t>
            </w:r>
          </w:p>
        </w:tc>
      </w:tr>
      <w:tr w:rsidR="00946C07" w14:paraId="519D73EB" w14:textId="77777777" w:rsidTr="008648B5">
        <w:tc>
          <w:tcPr>
            <w:tcW w:w="4068" w:type="dxa"/>
          </w:tcPr>
          <w:p w14:paraId="41F49A62" w14:textId="77777777" w:rsidR="00F82AF6" w:rsidRDefault="00F82AF6" w:rsidP="008648B5">
            <w:pPr>
              <w:ind w:left="0" w:firstLine="0"/>
            </w:pPr>
            <w:r>
              <w:t>Provide all other grades and definitions from the recommendation grading system</w:t>
            </w:r>
          </w:p>
        </w:tc>
        <w:tc>
          <w:tcPr>
            <w:tcW w:w="5130" w:type="dxa"/>
          </w:tcPr>
          <w:p w14:paraId="1DBCD57B" w14:textId="7963078F" w:rsidR="00F2650F" w:rsidRPr="00F2650F" w:rsidRDefault="00F2650F" w:rsidP="008648B5">
            <w:pPr>
              <w:ind w:left="0" w:firstLine="0"/>
              <w:rPr>
                <w:b/>
              </w:rPr>
            </w:pPr>
            <w:r w:rsidRPr="00F2650F">
              <w:rPr>
                <w:b/>
              </w:rPr>
              <w:t xml:space="preserve">Figure 3. Recommendations of the Oxford Centre for Evidence-Based Medicine for </w:t>
            </w:r>
            <w:r w:rsidRPr="00F2650F">
              <w:rPr>
                <w:b/>
                <w:color w:val="000000"/>
              </w:rPr>
              <w:t>levels of evidence (</w:t>
            </w:r>
            <w:proofErr w:type="spellStart"/>
            <w:r w:rsidRPr="00F2650F">
              <w:rPr>
                <w:b/>
                <w:color w:val="000000"/>
              </w:rPr>
              <w:t>LoE</w:t>
            </w:r>
            <w:proofErr w:type="spellEnd"/>
            <w:r w:rsidRPr="00F2650F">
              <w:rPr>
                <w:b/>
                <w:color w:val="000000"/>
              </w:rPr>
              <w:t>) and</w:t>
            </w:r>
            <w:r w:rsidRPr="00F2650F">
              <w:rPr>
                <w:b/>
                <w:color w:val="000000"/>
              </w:rPr>
              <w:t xml:space="preserve"> grades of recommendations (</w:t>
            </w:r>
            <w:proofErr w:type="spellStart"/>
            <w:r w:rsidRPr="00F2650F">
              <w:rPr>
                <w:b/>
                <w:color w:val="000000"/>
              </w:rPr>
              <w:t>GoR</w:t>
            </w:r>
            <w:proofErr w:type="spellEnd"/>
            <w:r w:rsidRPr="00F2650F">
              <w:rPr>
                <w:b/>
                <w:color w:val="000000"/>
              </w:rPr>
              <w:t>)</w:t>
            </w:r>
          </w:p>
          <w:p w14:paraId="5FD38B8C" w14:textId="58F72E6C" w:rsidR="00F2650F" w:rsidRDefault="00D27CEC" w:rsidP="008648B5">
            <w:pPr>
              <w:ind w:left="0" w:firstLine="0"/>
            </w:pPr>
            <w:bookmarkStart w:id="6" w:name="_GoBack"/>
            <w:r>
              <w:rPr>
                <w:noProof/>
              </w:rPr>
              <w:drawing>
                <wp:inline distT="0" distB="0" distL="0" distR="0" wp14:anchorId="1E5E30CB" wp14:editId="46DEE870">
                  <wp:extent cx="4390779" cy="2894818"/>
                  <wp:effectExtent l="0" t="0" r="0" b="1270"/>
                  <wp:docPr id="3" name="Picture 3" descr="Figure 3. Recommendations of the Oxford Centre for Evidence-Based Medicine for levels of evidence (LoE) and grades of recommendations (GoR)&#10;1a - Systematic review (with homogeneity) of RCTs&#10;1b - Individual RCT (with narrow Confidence Interval)&#10;1c - All or none (ie all patients died before the Rx became available, but some now survive on it; or when some patients died before the Rx became available, but none now die on it)&#10;2a - Systematic review (with homogeneity) of cohort studies&#10;2b - Individual cohort study (including low quality RCT; e.g. &lt;80% follow-up)&#10;2c - &quot;Outcomes&quot; research or ecologic studies&#10;3a - Systematic review (with homogeneity) of case-control studies&#10;3b - Individual Case-Control study&#10;4 - Case series (and poor quality cohort and case-control studies)&#10;5 - Expert opinion or based on physiology, bench research or &quot;first principl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vels-of-Evidence-Oxford-Centre-for-EBM.jpg"/>
                          <pic:cNvPicPr/>
                        </pic:nvPicPr>
                        <pic:blipFill>
                          <a:blip r:embed="rId23">
                            <a:extLst>
                              <a:ext uri="{28A0092B-C50C-407E-A947-70E740481C1C}">
                                <a14:useLocalDpi xmlns:a14="http://schemas.microsoft.com/office/drawing/2010/main" val="0"/>
                              </a:ext>
                            </a:extLst>
                          </a:blip>
                          <a:stretch>
                            <a:fillRect/>
                          </a:stretch>
                        </pic:blipFill>
                        <pic:spPr>
                          <a:xfrm>
                            <a:off x="0" y="0"/>
                            <a:ext cx="4403241" cy="2903034"/>
                          </a:xfrm>
                          <a:prstGeom prst="rect">
                            <a:avLst/>
                          </a:prstGeom>
                        </pic:spPr>
                      </pic:pic>
                    </a:graphicData>
                  </a:graphic>
                </wp:inline>
              </w:drawing>
            </w:r>
            <w:bookmarkEnd w:id="6"/>
          </w:p>
        </w:tc>
      </w:tr>
      <w:tr w:rsidR="00946C07" w14:paraId="67E8477D" w14:textId="77777777" w:rsidTr="008648B5">
        <w:tc>
          <w:tcPr>
            <w:tcW w:w="4068" w:type="dxa"/>
          </w:tcPr>
          <w:p w14:paraId="2074D417" w14:textId="77777777" w:rsidR="00F82AF6" w:rsidRDefault="00F82AF6" w:rsidP="008648B5">
            <w:pPr>
              <w:ind w:left="0" w:firstLine="0"/>
            </w:pPr>
            <w:r>
              <w:t>Body of evidence:</w:t>
            </w:r>
          </w:p>
          <w:p w14:paraId="3CF94867" w14:textId="77777777" w:rsidR="00F82AF6" w:rsidRDefault="00F82AF6" w:rsidP="008648B5">
            <w:pPr>
              <w:pStyle w:val="ListParagraph"/>
              <w:numPr>
                <w:ilvl w:val="0"/>
                <w:numId w:val="10"/>
              </w:numPr>
            </w:pPr>
            <w:r>
              <w:t>Quantity – how many studies?</w:t>
            </w:r>
          </w:p>
          <w:p w14:paraId="425B6D49" w14:textId="77777777" w:rsidR="00F82AF6" w:rsidRDefault="00F82AF6" w:rsidP="008648B5">
            <w:pPr>
              <w:pStyle w:val="ListParagraph"/>
              <w:numPr>
                <w:ilvl w:val="0"/>
                <w:numId w:val="10"/>
              </w:numPr>
            </w:pPr>
            <w:r>
              <w:t xml:space="preserve">Quality – what </w:t>
            </w:r>
            <w:r>
              <w:lastRenderedPageBreak/>
              <w:t>type of studies?</w:t>
            </w:r>
          </w:p>
        </w:tc>
        <w:tc>
          <w:tcPr>
            <w:tcW w:w="5130" w:type="dxa"/>
          </w:tcPr>
          <w:p w14:paraId="487C6981" w14:textId="643BB781" w:rsidR="00F82AF6" w:rsidRDefault="00946C07" w:rsidP="008648B5">
            <w:pPr>
              <w:ind w:left="0" w:firstLine="0"/>
            </w:pPr>
            <w:r>
              <w:lastRenderedPageBreak/>
              <w:t>Not reported</w:t>
            </w:r>
          </w:p>
        </w:tc>
      </w:tr>
      <w:tr w:rsidR="00946C07" w14:paraId="32E06D11" w14:textId="77777777" w:rsidTr="008648B5">
        <w:tc>
          <w:tcPr>
            <w:tcW w:w="4068" w:type="dxa"/>
          </w:tcPr>
          <w:p w14:paraId="550B6724" w14:textId="77777777" w:rsidR="00F82AF6" w:rsidRDefault="00F82AF6" w:rsidP="008648B5">
            <w:pPr>
              <w:ind w:left="0" w:firstLine="0"/>
            </w:pPr>
            <w:r>
              <w:lastRenderedPageBreak/>
              <w:t xml:space="preserve">Estimates of benefit and consistency across studies </w:t>
            </w:r>
          </w:p>
        </w:tc>
        <w:tc>
          <w:tcPr>
            <w:tcW w:w="5130" w:type="dxa"/>
          </w:tcPr>
          <w:p w14:paraId="3180BD06" w14:textId="6D38DF82" w:rsidR="00F82AF6" w:rsidRDefault="00D00124" w:rsidP="008648B5">
            <w:pPr>
              <w:ind w:left="0" w:firstLine="0"/>
            </w:pPr>
            <w:r>
              <w:t>N/A</w:t>
            </w:r>
          </w:p>
        </w:tc>
      </w:tr>
      <w:tr w:rsidR="00946C07" w14:paraId="23D31BA6" w14:textId="77777777" w:rsidTr="008648B5">
        <w:tc>
          <w:tcPr>
            <w:tcW w:w="4068" w:type="dxa"/>
          </w:tcPr>
          <w:p w14:paraId="66C4EF81" w14:textId="77777777" w:rsidR="00F82AF6" w:rsidRDefault="00F82AF6" w:rsidP="008648B5">
            <w:pPr>
              <w:ind w:left="0" w:firstLine="0"/>
            </w:pPr>
            <w:r>
              <w:t>What harms were identified?</w:t>
            </w:r>
          </w:p>
        </w:tc>
        <w:tc>
          <w:tcPr>
            <w:tcW w:w="5130" w:type="dxa"/>
          </w:tcPr>
          <w:p w14:paraId="2C2508E6" w14:textId="7DF81822" w:rsidR="00F82AF6" w:rsidRDefault="00D00124" w:rsidP="008648B5">
            <w:pPr>
              <w:ind w:left="0" w:firstLine="0"/>
            </w:pPr>
            <w:r>
              <w:t>N/A</w:t>
            </w:r>
          </w:p>
        </w:tc>
      </w:tr>
      <w:tr w:rsidR="00946C07" w14:paraId="7B0AE212" w14:textId="77777777" w:rsidTr="008648B5">
        <w:tc>
          <w:tcPr>
            <w:tcW w:w="4068" w:type="dxa"/>
          </w:tcPr>
          <w:p w14:paraId="74D87CB4" w14:textId="77777777" w:rsidR="00F82AF6" w:rsidRDefault="00F82AF6" w:rsidP="008648B5">
            <w:pPr>
              <w:ind w:left="0" w:firstLine="0"/>
            </w:pPr>
            <w:r>
              <w:t>Identify any new studies conducted since the SR. Do the new studies change the conclusions from the SR?</w:t>
            </w:r>
          </w:p>
        </w:tc>
        <w:tc>
          <w:tcPr>
            <w:tcW w:w="5130" w:type="dxa"/>
          </w:tcPr>
          <w:p w14:paraId="3034F795" w14:textId="7EC5B6C1" w:rsidR="00F82AF6" w:rsidRDefault="00D00124" w:rsidP="008648B5">
            <w:pPr>
              <w:ind w:left="0" w:firstLine="0"/>
            </w:pPr>
            <w:r>
              <w:t>N/A</w:t>
            </w:r>
          </w:p>
        </w:tc>
      </w:tr>
    </w:tbl>
    <w:p w14:paraId="2D160471" w14:textId="4A901733" w:rsidR="00F82AF6" w:rsidRDefault="00F82AF6" w:rsidP="002E2177">
      <w:pPr>
        <w:ind w:left="0" w:firstLine="0"/>
      </w:pPr>
    </w:p>
    <w:p w14:paraId="14D6DF70" w14:textId="77777777" w:rsidR="00946C07" w:rsidRPr="003B1CC5" w:rsidRDefault="00946C0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711ADD" w14:textId="77777777" w:rsidR="00AD0091" w:rsidRDefault="00AD0091" w:rsidP="007E37A5">
      <w:r>
        <w:separator/>
      </w:r>
    </w:p>
  </w:endnote>
  <w:endnote w:type="continuationSeparator" w:id="0">
    <w:p w14:paraId="4AB44067" w14:textId="77777777" w:rsidR="00AD0091" w:rsidRDefault="00AD0091"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3" w14:textId="2FC8C6B1"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F2650F">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56973" w14:textId="77777777" w:rsidR="00AD0091" w:rsidRDefault="00AD0091" w:rsidP="007E37A5">
      <w:r>
        <w:separator/>
      </w:r>
    </w:p>
  </w:footnote>
  <w:footnote w:type="continuationSeparator" w:id="0">
    <w:p w14:paraId="5F4F88EF" w14:textId="77777777" w:rsidR="00AD0091" w:rsidRDefault="00AD0091"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50F11DF"/>
    <w:multiLevelType w:val="hybridMultilevel"/>
    <w:tmpl w:val="73FAB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13A7"/>
    <w:rsid w:val="000F4A7F"/>
    <w:rsid w:val="00114848"/>
    <w:rsid w:val="00120934"/>
    <w:rsid w:val="00132070"/>
    <w:rsid w:val="00141875"/>
    <w:rsid w:val="0014347E"/>
    <w:rsid w:val="00154438"/>
    <w:rsid w:val="001551F6"/>
    <w:rsid w:val="0015535B"/>
    <w:rsid w:val="00162036"/>
    <w:rsid w:val="001632DD"/>
    <w:rsid w:val="00176E60"/>
    <w:rsid w:val="00180DF3"/>
    <w:rsid w:val="00194913"/>
    <w:rsid w:val="00194D9A"/>
    <w:rsid w:val="001A196B"/>
    <w:rsid w:val="001A6D05"/>
    <w:rsid w:val="001B38BF"/>
    <w:rsid w:val="001B772D"/>
    <w:rsid w:val="001D5B5D"/>
    <w:rsid w:val="001E6153"/>
    <w:rsid w:val="001E6395"/>
    <w:rsid w:val="00201FF9"/>
    <w:rsid w:val="00205857"/>
    <w:rsid w:val="00223C83"/>
    <w:rsid w:val="00235ADC"/>
    <w:rsid w:val="002361BB"/>
    <w:rsid w:val="00236F87"/>
    <w:rsid w:val="00265702"/>
    <w:rsid w:val="002662B2"/>
    <w:rsid w:val="002717C7"/>
    <w:rsid w:val="002875E9"/>
    <w:rsid w:val="00287EB3"/>
    <w:rsid w:val="002A47BA"/>
    <w:rsid w:val="002A6777"/>
    <w:rsid w:val="002A6B04"/>
    <w:rsid w:val="002B06BD"/>
    <w:rsid w:val="002C0E48"/>
    <w:rsid w:val="002C6F04"/>
    <w:rsid w:val="002E2177"/>
    <w:rsid w:val="002E2E41"/>
    <w:rsid w:val="002E7359"/>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5E31E6"/>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04D71"/>
    <w:rsid w:val="00712588"/>
    <w:rsid w:val="00724801"/>
    <w:rsid w:val="00734949"/>
    <w:rsid w:val="00736AEC"/>
    <w:rsid w:val="00736E0F"/>
    <w:rsid w:val="00742FDC"/>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6C07"/>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52129"/>
    <w:rsid w:val="00A67EB1"/>
    <w:rsid w:val="00A9011D"/>
    <w:rsid w:val="00A91A47"/>
    <w:rsid w:val="00A95D2B"/>
    <w:rsid w:val="00AA5587"/>
    <w:rsid w:val="00AB4ECE"/>
    <w:rsid w:val="00AC1E53"/>
    <w:rsid w:val="00AD0091"/>
    <w:rsid w:val="00AD79C8"/>
    <w:rsid w:val="00AE6CE0"/>
    <w:rsid w:val="00B058A6"/>
    <w:rsid w:val="00B117D0"/>
    <w:rsid w:val="00B13998"/>
    <w:rsid w:val="00B2693E"/>
    <w:rsid w:val="00B35C5F"/>
    <w:rsid w:val="00B439DD"/>
    <w:rsid w:val="00B52E0F"/>
    <w:rsid w:val="00B56989"/>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0124"/>
    <w:rsid w:val="00D048DB"/>
    <w:rsid w:val="00D14F0B"/>
    <w:rsid w:val="00D178CA"/>
    <w:rsid w:val="00D27CEC"/>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33BE"/>
    <w:rsid w:val="00EB66AC"/>
    <w:rsid w:val="00EC1225"/>
    <w:rsid w:val="00EC2247"/>
    <w:rsid w:val="00EE1F87"/>
    <w:rsid w:val="00EE3931"/>
    <w:rsid w:val="00EE5AF6"/>
    <w:rsid w:val="00EF2CEF"/>
    <w:rsid w:val="00F1092D"/>
    <w:rsid w:val="00F2650F"/>
    <w:rsid w:val="00F42C20"/>
    <w:rsid w:val="00F431D8"/>
    <w:rsid w:val="00F63E8D"/>
    <w:rsid w:val="00F67706"/>
    <w:rsid w:val="00F81FE3"/>
    <w:rsid w:val="00F82AF6"/>
    <w:rsid w:val="00F90F82"/>
    <w:rsid w:val="00F92D75"/>
    <w:rsid w:val="00F97327"/>
    <w:rsid w:val="00FA296F"/>
    <w:rsid w:val="00FA7323"/>
    <w:rsid w:val="00FB1299"/>
    <w:rsid w:val="00FC32D3"/>
    <w:rsid w:val="00FD469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B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current-selection">
    <w:name w:val="current-selection"/>
    <w:basedOn w:val="DefaultParagraphFont"/>
    <w:rsid w:val="00180DF3"/>
  </w:style>
  <w:style w:type="character" w:customStyle="1" w:styleId="a">
    <w:name w:val="_"/>
    <w:basedOn w:val="DefaultParagraphFont"/>
    <w:rsid w:val="00180D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current-selection">
    <w:name w:val="current-selection"/>
    <w:basedOn w:val="DefaultParagraphFont"/>
    <w:rsid w:val="00180DF3"/>
  </w:style>
  <w:style w:type="character" w:customStyle="1" w:styleId="a">
    <w:name w:val="_"/>
    <w:basedOn w:val="DefaultParagraphFont"/>
    <w:rsid w:val="00180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65113">
      <w:bodyDiv w:val="1"/>
      <w:marLeft w:val="0"/>
      <w:marRight w:val="0"/>
      <w:marTop w:val="0"/>
      <w:marBottom w:val="0"/>
      <w:divBdr>
        <w:top w:val="none" w:sz="0" w:space="0" w:color="auto"/>
        <w:left w:val="none" w:sz="0" w:space="0" w:color="auto"/>
        <w:bottom w:val="none" w:sz="0" w:space="0" w:color="auto"/>
        <w:right w:val="none" w:sz="0" w:space="0" w:color="auto"/>
      </w:divBdr>
      <w:divsChild>
        <w:div w:id="38088274">
          <w:marLeft w:val="0"/>
          <w:marRight w:val="0"/>
          <w:marTop w:val="0"/>
          <w:marBottom w:val="0"/>
          <w:divBdr>
            <w:top w:val="none" w:sz="0" w:space="0" w:color="auto"/>
            <w:left w:val="none" w:sz="0" w:space="0" w:color="auto"/>
            <w:bottom w:val="none" w:sz="0" w:space="0" w:color="auto"/>
            <w:right w:val="none" w:sz="0" w:space="0" w:color="auto"/>
          </w:divBdr>
          <w:divsChild>
            <w:div w:id="758911281">
              <w:marLeft w:val="0"/>
              <w:marRight w:val="0"/>
              <w:marTop w:val="0"/>
              <w:marBottom w:val="0"/>
              <w:divBdr>
                <w:top w:val="none" w:sz="0" w:space="0" w:color="auto"/>
                <w:left w:val="none" w:sz="0" w:space="0" w:color="auto"/>
                <w:bottom w:val="none" w:sz="0" w:space="0" w:color="auto"/>
                <w:right w:val="none" w:sz="0" w:space="0" w:color="auto"/>
              </w:divBdr>
              <w:divsChild>
                <w:div w:id="714934027">
                  <w:marLeft w:val="0"/>
                  <w:marRight w:val="0"/>
                  <w:marTop w:val="0"/>
                  <w:marBottom w:val="0"/>
                  <w:divBdr>
                    <w:top w:val="none" w:sz="0" w:space="0" w:color="auto"/>
                    <w:left w:val="none" w:sz="0" w:space="0" w:color="auto"/>
                    <w:bottom w:val="none" w:sz="0" w:space="0" w:color="auto"/>
                    <w:right w:val="none" w:sz="0" w:space="0" w:color="auto"/>
                  </w:divBdr>
                  <w:divsChild>
                    <w:div w:id="1693874185">
                      <w:marLeft w:val="0"/>
                      <w:marRight w:val="0"/>
                      <w:marTop w:val="0"/>
                      <w:marBottom w:val="0"/>
                      <w:divBdr>
                        <w:top w:val="none" w:sz="0" w:space="0" w:color="auto"/>
                        <w:left w:val="none" w:sz="0" w:space="0" w:color="auto"/>
                        <w:bottom w:val="none" w:sz="0" w:space="0" w:color="auto"/>
                        <w:right w:val="none" w:sz="0" w:space="0" w:color="auto"/>
                      </w:divBdr>
                      <w:divsChild>
                        <w:div w:id="628363491">
                          <w:marLeft w:val="0"/>
                          <w:marRight w:val="0"/>
                          <w:marTop w:val="0"/>
                          <w:marBottom w:val="0"/>
                          <w:divBdr>
                            <w:top w:val="none" w:sz="0" w:space="0" w:color="auto"/>
                            <w:left w:val="none" w:sz="0" w:space="0" w:color="auto"/>
                            <w:bottom w:val="none" w:sz="0" w:space="0" w:color="auto"/>
                            <w:right w:val="none" w:sz="0" w:space="0" w:color="auto"/>
                          </w:divBdr>
                          <w:divsChild>
                            <w:div w:id="914240922">
                              <w:marLeft w:val="0"/>
                              <w:marRight w:val="0"/>
                              <w:marTop w:val="0"/>
                              <w:marBottom w:val="0"/>
                              <w:divBdr>
                                <w:top w:val="none" w:sz="0" w:space="0" w:color="auto"/>
                                <w:left w:val="none" w:sz="0" w:space="0" w:color="auto"/>
                                <w:bottom w:val="none" w:sz="0" w:space="0" w:color="auto"/>
                                <w:right w:val="none" w:sz="0" w:space="0" w:color="auto"/>
                              </w:divBdr>
                            </w:div>
                            <w:div w:id="1988589330">
                              <w:marLeft w:val="0"/>
                              <w:marRight w:val="0"/>
                              <w:marTop w:val="0"/>
                              <w:marBottom w:val="0"/>
                              <w:divBdr>
                                <w:top w:val="none" w:sz="0" w:space="0" w:color="auto"/>
                                <w:left w:val="none" w:sz="0" w:space="0" w:color="auto"/>
                                <w:bottom w:val="none" w:sz="0" w:space="0" w:color="auto"/>
                                <w:right w:val="none" w:sz="0" w:space="0" w:color="auto"/>
                              </w:divBdr>
                            </w:div>
                            <w:div w:id="134686339">
                              <w:marLeft w:val="0"/>
                              <w:marRight w:val="0"/>
                              <w:marTop w:val="0"/>
                              <w:marBottom w:val="0"/>
                              <w:divBdr>
                                <w:top w:val="none" w:sz="0" w:space="0" w:color="auto"/>
                                <w:left w:val="none" w:sz="0" w:space="0" w:color="auto"/>
                                <w:bottom w:val="none" w:sz="0" w:space="0" w:color="auto"/>
                                <w:right w:val="none" w:sz="0" w:space="0" w:color="auto"/>
                              </w:divBdr>
                            </w:div>
                            <w:div w:id="259218513">
                              <w:marLeft w:val="0"/>
                              <w:marRight w:val="0"/>
                              <w:marTop w:val="0"/>
                              <w:marBottom w:val="0"/>
                              <w:divBdr>
                                <w:top w:val="none" w:sz="0" w:space="0" w:color="auto"/>
                                <w:left w:val="none" w:sz="0" w:space="0" w:color="auto"/>
                                <w:bottom w:val="none" w:sz="0" w:space="0" w:color="auto"/>
                                <w:right w:val="none" w:sz="0" w:space="0" w:color="auto"/>
                              </w:divBdr>
                            </w:div>
                            <w:div w:id="845025236">
                              <w:marLeft w:val="0"/>
                              <w:marRight w:val="0"/>
                              <w:marTop w:val="0"/>
                              <w:marBottom w:val="0"/>
                              <w:divBdr>
                                <w:top w:val="none" w:sz="0" w:space="0" w:color="auto"/>
                                <w:left w:val="none" w:sz="0" w:space="0" w:color="auto"/>
                                <w:bottom w:val="none" w:sz="0" w:space="0" w:color="auto"/>
                                <w:right w:val="none" w:sz="0" w:space="0" w:color="auto"/>
                              </w:divBdr>
                            </w:div>
                            <w:div w:id="1142308751">
                              <w:marLeft w:val="0"/>
                              <w:marRight w:val="0"/>
                              <w:marTop w:val="0"/>
                              <w:marBottom w:val="0"/>
                              <w:divBdr>
                                <w:top w:val="none" w:sz="0" w:space="0" w:color="auto"/>
                                <w:left w:val="none" w:sz="0" w:space="0" w:color="auto"/>
                                <w:bottom w:val="none" w:sz="0" w:space="0" w:color="auto"/>
                                <w:right w:val="none" w:sz="0" w:space="0" w:color="auto"/>
                              </w:divBdr>
                            </w:div>
                            <w:div w:id="167483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880598">
      <w:bodyDiv w:val="1"/>
      <w:marLeft w:val="0"/>
      <w:marRight w:val="0"/>
      <w:marTop w:val="0"/>
      <w:marBottom w:val="0"/>
      <w:divBdr>
        <w:top w:val="none" w:sz="0" w:space="0" w:color="auto"/>
        <w:left w:val="none" w:sz="0" w:space="0" w:color="auto"/>
        <w:bottom w:val="none" w:sz="0" w:space="0" w:color="auto"/>
        <w:right w:val="none" w:sz="0" w:space="0" w:color="auto"/>
      </w:divBdr>
    </w:div>
    <w:div w:id="501553269">
      <w:bodyDiv w:val="1"/>
      <w:marLeft w:val="0"/>
      <w:marRight w:val="0"/>
      <w:marTop w:val="0"/>
      <w:marBottom w:val="0"/>
      <w:divBdr>
        <w:top w:val="none" w:sz="0" w:space="0" w:color="auto"/>
        <w:left w:val="none" w:sz="0" w:space="0" w:color="auto"/>
        <w:bottom w:val="none" w:sz="0" w:space="0" w:color="auto"/>
        <w:right w:val="none" w:sz="0" w:space="0" w:color="auto"/>
      </w:divBdr>
      <w:divsChild>
        <w:div w:id="2043701226">
          <w:marLeft w:val="0"/>
          <w:marRight w:val="0"/>
          <w:marTop w:val="0"/>
          <w:marBottom w:val="0"/>
          <w:divBdr>
            <w:top w:val="none" w:sz="0" w:space="0" w:color="auto"/>
            <w:left w:val="none" w:sz="0" w:space="0" w:color="auto"/>
            <w:bottom w:val="none" w:sz="0" w:space="0" w:color="auto"/>
            <w:right w:val="none" w:sz="0" w:space="0" w:color="auto"/>
          </w:divBdr>
          <w:divsChild>
            <w:div w:id="1998142875">
              <w:marLeft w:val="0"/>
              <w:marRight w:val="0"/>
              <w:marTop w:val="0"/>
              <w:marBottom w:val="0"/>
              <w:divBdr>
                <w:top w:val="none" w:sz="0" w:space="0" w:color="auto"/>
                <w:left w:val="none" w:sz="0" w:space="0" w:color="auto"/>
                <w:bottom w:val="none" w:sz="0" w:space="0" w:color="auto"/>
                <w:right w:val="none" w:sz="0" w:space="0" w:color="auto"/>
              </w:divBdr>
              <w:divsChild>
                <w:div w:id="1807552993">
                  <w:marLeft w:val="0"/>
                  <w:marRight w:val="0"/>
                  <w:marTop w:val="0"/>
                  <w:marBottom w:val="0"/>
                  <w:divBdr>
                    <w:top w:val="none" w:sz="0" w:space="0" w:color="auto"/>
                    <w:left w:val="none" w:sz="0" w:space="0" w:color="auto"/>
                    <w:bottom w:val="none" w:sz="0" w:space="0" w:color="auto"/>
                    <w:right w:val="none" w:sz="0" w:space="0" w:color="auto"/>
                  </w:divBdr>
                  <w:divsChild>
                    <w:div w:id="31030857">
                      <w:marLeft w:val="0"/>
                      <w:marRight w:val="0"/>
                      <w:marTop w:val="0"/>
                      <w:marBottom w:val="0"/>
                      <w:divBdr>
                        <w:top w:val="none" w:sz="0" w:space="0" w:color="auto"/>
                        <w:left w:val="none" w:sz="0" w:space="0" w:color="auto"/>
                        <w:bottom w:val="none" w:sz="0" w:space="0" w:color="auto"/>
                        <w:right w:val="none" w:sz="0" w:space="0" w:color="auto"/>
                      </w:divBdr>
                      <w:divsChild>
                        <w:div w:id="58670084">
                          <w:marLeft w:val="0"/>
                          <w:marRight w:val="0"/>
                          <w:marTop w:val="0"/>
                          <w:marBottom w:val="0"/>
                          <w:divBdr>
                            <w:top w:val="none" w:sz="0" w:space="0" w:color="auto"/>
                            <w:left w:val="none" w:sz="0" w:space="0" w:color="auto"/>
                            <w:bottom w:val="none" w:sz="0" w:space="0" w:color="auto"/>
                            <w:right w:val="none" w:sz="0" w:space="0" w:color="auto"/>
                          </w:divBdr>
                          <w:divsChild>
                            <w:div w:id="1015810659">
                              <w:marLeft w:val="0"/>
                              <w:marRight w:val="0"/>
                              <w:marTop w:val="0"/>
                              <w:marBottom w:val="0"/>
                              <w:divBdr>
                                <w:top w:val="none" w:sz="0" w:space="0" w:color="auto"/>
                                <w:left w:val="none" w:sz="0" w:space="0" w:color="auto"/>
                                <w:bottom w:val="none" w:sz="0" w:space="0" w:color="auto"/>
                                <w:right w:val="none" w:sz="0" w:space="0" w:color="auto"/>
                              </w:divBdr>
                              <w:divsChild>
                                <w:div w:id="1119573126">
                                  <w:marLeft w:val="0"/>
                                  <w:marRight w:val="0"/>
                                  <w:marTop w:val="0"/>
                                  <w:marBottom w:val="0"/>
                                  <w:divBdr>
                                    <w:top w:val="none" w:sz="0" w:space="0" w:color="auto"/>
                                    <w:left w:val="none" w:sz="0" w:space="0" w:color="auto"/>
                                    <w:bottom w:val="none" w:sz="0" w:space="0" w:color="auto"/>
                                    <w:right w:val="none" w:sz="0" w:space="0" w:color="auto"/>
                                  </w:divBdr>
                                  <w:divsChild>
                                    <w:div w:id="1105417717">
                                      <w:marLeft w:val="0"/>
                                      <w:marRight w:val="0"/>
                                      <w:marTop w:val="0"/>
                                      <w:marBottom w:val="0"/>
                                      <w:divBdr>
                                        <w:top w:val="none" w:sz="0" w:space="0" w:color="auto"/>
                                        <w:left w:val="none" w:sz="0" w:space="0" w:color="auto"/>
                                        <w:bottom w:val="none" w:sz="0" w:space="0" w:color="auto"/>
                                        <w:right w:val="none" w:sz="0" w:space="0" w:color="auto"/>
                                      </w:divBdr>
                                      <w:divsChild>
                                        <w:div w:id="213587774">
                                          <w:marLeft w:val="0"/>
                                          <w:marRight w:val="0"/>
                                          <w:marTop w:val="0"/>
                                          <w:marBottom w:val="0"/>
                                          <w:divBdr>
                                            <w:top w:val="none" w:sz="0" w:space="0" w:color="auto"/>
                                            <w:left w:val="none" w:sz="0" w:space="0" w:color="auto"/>
                                            <w:bottom w:val="none" w:sz="0" w:space="0" w:color="auto"/>
                                            <w:right w:val="none" w:sz="0" w:space="0" w:color="auto"/>
                                          </w:divBdr>
                                          <w:divsChild>
                                            <w:div w:id="1212578057">
                                              <w:marLeft w:val="0"/>
                                              <w:marRight w:val="0"/>
                                              <w:marTop w:val="0"/>
                                              <w:marBottom w:val="0"/>
                                              <w:divBdr>
                                                <w:top w:val="none" w:sz="0" w:space="0" w:color="auto"/>
                                                <w:left w:val="none" w:sz="0" w:space="0" w:color="auto"/>
                                                <w:bottom w:val="none" w:sz="0" w:space="0" w:color="auto"/>
                                                <w:right w:val="none" w:sz="0" w:space="0" w:color="auto"/>
                                              </w:divBdr>
                                              <w:divsChild>
                                                <w:div w:id="347562203">
                                                  <w:marLeft w:val="0"/>
                                                  <w:marRight w:val="0"/>
                                                  <w:marTop w:val="0"/>
                                                  <w:marBottom w:val="0"/>
                                                  <w:divBdr>
                                                    <w:top w:val="none" w:sz="0" w:space="0" w:color="auto"/>
                                                    <w:left w:val="none" w:sz="0" w:space="0" w:color="auto"/>
                                                    <w:bottom w:val="none" w:sz="0" w:space="0" w:color="auto"/>
                                                    <w:right w:val="none" w:sz="0" w:space="0" w:color="auto"/>
                                                  </w:divBdr>
                                                  <w:divsChild>
                                                    <w:div w:id="1159661078">
                                                      <w:marLeft w:val="0"/>
                                                      <w:marRight w:val="0"/>
                                                      <w:marTop w:val="0"/>
                                                      <w:marBottom w:val="0"/>
                                                      <w:divBdr>
                                                        <w:top w:val="none" w:sz="0" w:space="0" w:color="auto"/>
                                                        <w:left w:val="none" w:sz="0" w:space="0" w:color="auto"/>
                                                        <w:bottom w:val="none" w:sz="0" w:space="0" w:color="auto"/>
                                                        <w:right w:val="none" w:sz="0" w:space="0" w:color="auto"/>
                                                      </w:divBdr>
                                                      <w:divsChild>
                                                        <w:div w:id="61947280">
                                                          <w:marLeft w:val="0"/>
                                                          <w:marRight w:val="0"/>
                                                          <w:marTop w:val="0"/>
                                                          <w:marBottom w:val="0"/>
                                                          <w:divBdr>
                                                            <w:top w:val="none" w:sz="0" w:space="0" w:color="auto"/>
                                                            <w:left w:val="none" w:sz="0" w:space="0" w:color="auto"/>
                                                            <w:bottom w:val="none" w:sz="0" w:space="0" w:color="auto"/>
                                                            <w:right w:val="none" w:sz="0" w:space="0" w:color="auto"/>
                                                          </w:divBdr>
                                                          <w:divsChild>
                                                            <w:div w:id="1102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8083111">
      <w:bodyDiv w:val="1"/>
      <w:marLeft w:val="0"/>
      <w:marRight w:val="0"/>
      <w:marTop w:val="0"/>
      <w:marBottom w:val="0"/>
      <w:divBdr>
        <w:top w:val="none" w:sz="0" w:space="0" w:color="auto"/>
        <w:left w:val="none" w:sz="0" w:space="0" w:color="auto"/>
        <w:bottom w:val="none" w:sz="0" w:space="0" w:color="auto"/>
        <w:right w:val="none" w:sz="0" w:space="0" w:color="auto"/>
      </w:divBdr>
    </w:div>
    <w:div w:id="1336105724">
      <w:bodyDiv w:val="1"/>
      <w:marLeft w:val="0"/>
      <w:marRight w:val="0"/>
      <w:marTop w:val="0"/>
      <w:marBottom w:val="0"/>
      <w:divBdr>
        <w:top w:val="none" w:sz="0" w:space="0" w:color="auto"/>
        <w:left w:val="none" w:sz="0" w:space="0" w:color="auto"/>
        <w:bottom w:val="none" w:sz="0" w:space="0" w:color="auto"/>
        <w:right w:val="none" w:sz="0" w:space="0" w:color="auto"/>
      </w:divBdr>
      <w:divsChild>
        <w:div w:id="1236816770">
          <w:marLeft w:val="0"/>
          <w:marRight w:val="0"/>
          <w:marTop w:val="0"/>
          <w:marBottom w:val="0"/>
          <w:divBdr>
            <w:top w:val="none" w:sz="0" w:space="0" w:color="auto"/>
            <w:left w:val="none" w:sz="0" w:space="0" w:color="auto"/>
            <w:bottom w:val="none" w:sz="0" w:space="0" w:color="auto"/>
            <w:right w:val="none" w:sz="0" w:space="0" w:color="auto"/>
          </w:divBdr>
          <w:divsChild>
            <w:div w:id="86002478">
              <w:marLeft w:val="0"/>
              <w:marRight w:val="0"/>
              <w:marTop w:val="0"/>
              <w:marBottom w:val="0"/>
              <w:divBdr>
                <w:top w:val="none" w:sz="0" w:space="0" w:color="auto"/>
                <w:left w:val="none" w:sz="0" w:space="0" w:color="auto"/>
                <w:bottom w:val="none" w:sz="0" w:space="0" w:color="auto"/>
                <w:right w:val="none" w:sz="0" w:space="0" w:color="auto"/>
              </w:divBdr>
              <w:divsChild>
                <w:div w:id="719327470">
                  <w:marLeft w:val="0"/>
                  <w:marRight w:val="0"/>
                  <w:marTop w:val="0"/>
                  <w:marBottom w:val="0"/>
                  <w:divBdr>
                    <w:top w:val="none" w:sz="0" w:space="0" w:color="auto"/>
                    <w:left w:val="none" w:sz="0" w:space="0" w:color="auto"/>
                    <w:bottom w:val="none" w:sz="0" w:space="0" w:color="auto"/>
                    <w:right w:val="none" w:sz="0" w:space="0" w:color="auto"/>
                  </w:divBdr>
                  <w:divsChild>
                    <w:div w:id="848060090">
                      <w:marLeft w:val="0"/>
                      <w:marRight w:val="0"/>
                      <w:marTop w:val="0"/>
                      <w:marBottom w:val="0"/>
                      <w:divBdr>
                        <w:top w:val="none" w:sz="0" w:space="0" w:color="auto"/>
                        <w:left w:val="none" w:sz="0" w:space="0" w:color="auto"/>
                        <w:bottom w:val="none" w:sz="0" w:space="0" w:color="auto"/>
                        <w:right w:val="none" w:sz="0" w:space="0" w:color="auto"/>
                      </w:divBdr>
                      <w:divsChild>
                        <w:div w:id="1929579665">
                          <w:marLeft w:val="0"/>
                          <w:marRight w:val="0"/>
                          <w:marTop w:val="0"/>
                          <w:marBottom w:val="0"/>
                          <w:divBdr>
                            <w:top w:val="none" w:sz="0" w:space="0" w:color="auto"/>
                            <w:left w:val="none" w:sz="0" w:space="0" w:color="auto"/>
                            <w:bottom w:val="none" w:sz="0" w:space="0" w:color="auto"/>
                            <w:right w:val="none" w:sz="0" w:space="0" w:color="auto"/>
                          </w:divBdr>
                          <w:divsChild>
                            <w:div w:id="2054891045">
                              <w:marLeft w:val="0"/>
                              <w:marRight w:val="0"/>
                              <w:marTop w:val="0"/>
                              <w:marBottom w:val="0"/>
                              <w:divBdr>
                                <w:top w:val="none" w:sz="0" w:space="0" w:color="auto"/>
                                <w:left w:val="none" w:sz="0" w:space="0" w:color="auto"/>
                                <w:bottom w:val="none" w:sz="0" w:space="0" w:color="auto"/>
                                <w:right w:val="none" w:sz="0" w:space="0" w:color="auto"/>
                              </w:divBdr>
                              <w:divsChild>
                                <w:div w:id="734400776">
                                  <w:marLeft w:val="0"/>
                                  <w:marRight w:val="0"/>
                                  <w:marTop w:val="0"/>
                                  <w:marBottom w:val="0"/>
                                  <w:divBdr>
                                    <w:top w:val="none" w:sz="0" w:space="0" w:color="auto"/>
                                    <w:left w:val="none" w:sz="0" w:space="0" w:color="auto"/>
                                    <w:bottom w:val="none" w:sz="0" w:space="0" w:color="auto"/>
                                    <w:right w:val="none" w:sz="0" w:space="0" w:color="auto"/>
                                  </w:divBdr>
                                  <w:divsChild>
                                    <w:div w:id="1922985232">
                                      <w:marLeft w:val="0"/>
                                      <w:marRight w:val="0"/>
                                      <w:marTop w:val="0"/>
                                      <w:marBottom w:val="0"/>
                                      <w:divBdr>
                                        <w:top w:val="none" w:sz="0" w:space="0" w:color="auto"/>
                                        <w:left w:val="none" w:sz="0" w:space="0" w:color="auto"/>
                                        <w:bottom w:val="none" w:sz="0" w:space="0" w:color="auto"/>
                                        <w:right w:val="none" w:sz="0" w:space="0" w:color="auto"/>
                                      </w:divBdr>
                                      <w:divsChild>
                                        <w:div w:id="1252546122">
                                          <w:marLeft w:val="0"/>
                                          <w:marRight w:val="0"/>
                                          <w:marTop w:val="0"/>
                                          <w:marBottom w:val="0"/>
                                          <w:divBdr>
                                            <w:top w:val="none" w:sz="0" w:space="0" w:color="auto"/>
                                            <w:left w:val="none" w:sz="0" w:space="0" w:color="auto"/>
                                            <w:bottom w:val="none" w:sz="0" w:space="0" w:color="auto"/>
                                            <w:right w:val="none" w:sz="0" w:space="0" w:color="auto"/>
                                          </w:divBdr>
                                          <w:divsChild>
                                            <w:div w:id="2036735427">
                                              <w:marLeft w:val="0"/>
                                              <w:marRight w:val="0"/>
                                              <w:marTop w:val="0"/>
                                              <w:marBottom w:val="0"/>
                                              <w:divBdr>
                                                <w:top w:val="none" w:sz="0" w:space="0" w:color="auto"/>
                                                <w:left w:val="none" w:sz="0" w:space="0" w:color="auto"/>
                                                <w:bottom w:val="none" w:sz="0" w:space="0" w:color="auto"/>
                                                <w:right w:val="none" w:sz="0" w:space="0" w:color="auto"/>
                                              </w:divBdr>
                                              <w:divsChild>
                                                <w:div w:id="11807433">
                                                  <w:marLeft w:val="0"/>
                                                  <w:marRight w:val="0"/>
                                                  <w:marTop w:val="0"/>
                                                  <w:marBottom w:val="0"/>
                                                  <w:divBdr>
                                                    <w:top w:val="none" w:sz="0" w:space="0" w:color="auto"/>
                                                    <w:left w:val="none" w:sz="0" w:space="0" w:color="auto"/>
                                                    <w:bottom w:val="none" w:sz="0" w:space="0" w:color="auto"/>
                                                    <w:right w:val="none" w:sz="0" w:space="0" w:color="auto"/>
                                                  </w:divBdr>
                                                  <w:divsChild>
                                                    <w:div w:id="871918182">
                                                      <w:marLeft w:val="0"/>
                                                      <w:marRight w:val="0"/>
                                                      <w:marTop w:val="0"/>
                                                      <w:marBottom w:val="0"/>
                                                      <w:divBdr>
                                                        <w:top w:val="none" w:sz="0" w:space="0" w:color="auto"/>
                                                        <w:left w:val="none" w:sz="0" w:space="0" w:color="auto"/>
                                                        <w:bottom w:val="none" w:sz="0" w:space="0" w:color="auto"/>
                                                        <w:right w:val="none" w:sz="0" w:space="0" w:color="auto"/>
                                                      </w:divBdr>
                                                      <w:divsChild>
                                                        <w:div w:id="1629774412">
                                                          <w:marLeft w:val="0"/>
                                                          <w:marRight w:val="0"/>
                                                          <w:marTop w:val="0"/>
                                                          <w:marBottom w:val="0"/>
                                                          <w:divBdr>
                                                            <w:top w:val="none" w:sz="0" w:space="0" w:color="auto"/>
                                                            <w:left w:val="none" w:sz="0" w:space="0" w:color="auto"/>
                                                            <w:bottom w:val="none" w:sz="0" w:space="0" w:color="auto"/>
                                                            <w:right w:val="none" w:sz="0" w:space="0" w:color="auto"/>
                                                          </w:divBdr>
                                                          <w:divsChild>
                                                            <w:div w:id="10289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5621230">
      <w:bodyDiv w:val="1"/>
      <w:marLeft w:val="0"/>
      <w:marRight w:val="0"/>
      <w:marTop w:val="0"/>
      <w:marBottom w:val="0"/>
      <w:divBdr>
        <w:top w:val="none" w:sz="0" w:space="0" w:color="auto"/>
        <w:left w:val="none" w:sz="0" w:space="0" w:color="auto"/>
        <w:bottom w:val="none" w:sz="0" w:space="0" w:color="auto"/>
        <w:right w:val="none" w:sz="0" w:space="0" w:color="auto"/>
      </w:divBdr>
    </w:div>
    <w:div w:id="1788234717">
      <w:bodyDiv w:val="1"/>
      <w:marLeft w:val="0"/>
      <w:marRight w:val="0"/>
      <w:marTop w:val="0"/>
      <w:marBottom w:val="0"/>
      <w:divBdr>
        <w:top w:val="none" w:sz="0" w:space="0" w:color="auto"/>
        <w:left w:val="none" w:sz="0" w:space="0" w:color="auto"/>
        <w:bottom w:val="none" w:sz="0" w:space="0" w:color="auto"/>
        <w:right w:val="none" w:sz="0" w:space="0" w:color="auto"/>
      </w:divBdr>
      <w:divsChild>
        <w:div w:id="603608393">
          <w:marLeft w:val="0"/>
          <w:marRight w:val="0"/>
          <w:marTop w:val="0"/>
          <w:marBottom w:val="0"/>
          <w:divBdr>
            <w:top w:val="none" w:sz="0" w:space="0" w:color="auto"/>
            <w:left w:val="none" w:sz="0" w:space="0" w:color="auto"/>
            <w:bottom w:val="none" w:sz="0" w:space="0" w:color="auto"/>
            <w:right w:val="none" w:sz="0" w:space="0" w:color="auto"/>
          </w:divBdr>
          <w:divsChild>
            <w:div w:id="827474829">
              <w:marLeft w:val="0"/>
              <w:marRight w:val="0"/>
              <w:marTop w:val="0"/>
              <w:marBottom w:val="0"/>
              <w:divBdr>
                <w:top w:val="none" w:sz="0" w:space="0" w:color="auto"/>
                <w:left w:val="none" w:sz="0" w:space="0" w:color="auto"/>
                <w:bottom w:val="none" w:sz="0" w:space="0" w:color="auto"/>
                <w:right w:val="none" w:sz="0" w:space="0" w:color="auto"/>
              </w:divBdr>
              <w:divsChild>
                <w:div w:id="410659097">
                  <w:marLeft w:val="0"/>
                  <w:marRight w:val="0"/>
                  <w:marTop w:val="0"/>
                  <w:marBottom w:val="0"/>
                  <w:divBdr>
                    <w:top w:val="none" w:sz="0" w:space="0" w:color="auto"/>
                    <w:left w:val="none" w:sz="0" w:space="0" w:color="auto"/>
                    <w:bottom w:val="none" w:sz="0" w:space="0" w:color="auto"/>
                    <w:right w:val="none" w:sz="0" w:space="0" w:color="auto"/>
                  </w:divBdr>
                  <w:divsChild>
                    <w:div w:id="511919513">
                      <w:marLeft w:val="0"/>
                      <w:marRight w:val="0"/>
                      <w:marTop w:val="0"/>
                      <w:marBottom w:val="0"/>
                      <w:divBdr>
                        <w:top w:val="none" w:sz="0" w:space="0" w:color="auto"/>
                        <w:left w:val="none" w:sz="0" w:space="0" w:color="auto"/>
                        <w:bottom w:val="none" w:sz="0" w:space="0" w:color="auto"/>
                        <w:right w:val="none" w:sz="0" w:space="0" w:color="auto"/>
                      </w:divBdr>
                      <w:divsChild>
                        <w:div w:id="1746294784">
                          <w:marLeft w:val="0"/>
                          <w:marRight w:val="0"/>
                          <w:marTop w:val="0"/>
                          <w:marBottom w:val="0"/>
                          <w:divBdr>
                            <w:top w:val="none" w:sz="0" w:space="0" w:color="auto"/>
                            <w:left w:val="none" w:sz="0" w:space="0" w:color="auto"/>
                            <w:bottom w:val="none" w:sz="0" w:space="0" w:color="auto"/>
                            <w:right w:val="none" w:sz="0" w:space="0" w:color="auto"/>
                          </w:divBdr>
                          <w:divsChild>
                            <w:div w:id="473180883">
                              <w:marLeft w:val="0"/>
                              <w:marRight w:val="0"/>
                              <w:marTop w:val="0"/>
                              <w:marBottom w:val="0"/>
                              <w:divBdr>
                                <w:top w:val="none" w:sz="0" w:space="0" w:color="auto"/>
                                <w:left w:val="none" w:sz="0" w:space="0" w:color="auto"/>
                                <w:bottom w:val="none" w:sz="0" w:space="0" w:color="auto"/>
                                <w:right w:val="none" w:sz="0" w:space="0" w:color="auto"/>
                              </w:divBdr>
                            </w:div>
                            <w:div w:id="1880624091">
                              <w:marLeft w:val="0"/>
                              <w:marRight w:val="0"/>
                              <w:marTop w:val="0"/>
                              <w:marBottom w:val="0"/>
                              <w:divBdr>
                                <w:top w:val="none" w:sz="0" w:space="0" w:color="auto"/>
                                <w:left w:val="none" w:sz="0" w:space="0" w:color="auto"/>
                                <w:bottom w:val="none" w:sz="0" w:space="0" w:color="auto"/>
                                <w:right w:val="none" w:sz="0" w:space="0" w:color="auto"/>
                              </w:divBdr>
                            </w:div>
                            <w:div w:id="1543057488">
                              <w:marLeft w:val="0"/>
                              <w:marRight w:val="0"/>
                              <w:marTop w:val="0"/>
                              <w:marBottom w:val="0"/>
                              <w:divBdr>
                                <w:top w:val="none" w:sz="0" w:space="0" w:color="auto"/>
                                <w:left w:val="none" w:sz="0" w:space="0" w:color="auto"/>
                                <w:bottom w:val="none" w:sz="0" w:space="0" w:color="auto"/>
                                <w:right w:val="none" w:sz="0" w:space="0" w:color="auto"/>
                              </w:divBdr>
                            </w:div>
                            <w:div w:id="20133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052137">
      <w:bodyDiv w:val="1"/>
      <w:marLeft w:val="0"/>
      <w:marRight w:val="0"/>
      <w:marTop w:val="0"/>
      <w:marBottom w:val="0"/>
      <w:divBdr>
        <w:top w:val="none" w:sz="0" w:space="0" w:color="auto"/>
        <w:left w:val="none" w:sz="0" w:space="0" w:color="auto"/>
        <w:bottom w:val="none" w:sz="0" w:space="0" w:color="auto"/>
        <w:right w:val="none" w:sz="0" w:space="0" w:color="auto"/>
      </w:divBdr>
      <w:divsChild>
        <w:div w:id="790593424">
          <w:marLeft w:val="0"/>
          <w:marRight w:val="0"/>
          <w:marTop w:val="0"/>
          <w:marBottom w:val="0"/>
          <w:divBdr>
            <w:top w:val="none" w:sz="0" w:space="0" w:color="auto"/>
            <w:left w:val="none" w:sz="0" w:space="0" w:color="auto"/>
            <w:bottom w:val="none" w:sz="0" w:space="0" w:color="auto"/>
            <w:right w:val="none" w:sz="0" w:space="0" w:color="auto"/>
          </w:divBdr>
          <w:divsChild>
            <w:div w:id="1007319767">
              <w:marLeft w:val="0"/>
              <w:marRight w:val="0"/>
              <w:marTop w:val="0"/>
              <w:marBottom w:val="0"/>
              <w:divBdr>
                <w:top w:val="none" w:sz="0" w:space="0" w:color="auto"/>
                <w:left w:val="none" w:sz="0" w:space="0" w:color="auto"/>
                <w:bottom w:val="none" w:sz="0" w:space="0" w:color="auto"/>
                <w:right w:val="none" w:sz="0" w:space="0" w:color="auto"/>
              </w:divBdr>
              <w:divsChild>
                <w:div w:id="1337922753">
                  <w:marLeft w:val="0"/>
                  <w:marRight w:val="0"/>
                  <w:marTop w:val="0"/>
                  <w:marBottom w:val="0"/>
                  <w:divBdr>
                    <w:top w:val="none" w:sz="0" w:space="0" w:color="auto"/>
                    <w:left w:val="none" w:sz="0" w:space="0" w:color="auto"/>
                    <w:bottom w:val="none" w:sz="0" w:space="0" w:color="auto"/>
                    <w:right w:val="none" w:sz="0" w:space="0" w:color="auto"/>
                  </w:divBdr>
                  <w:divsChild>
                    <w:div w:id="1375733302">
                      <w:marLeft w:val="0"/>
                      <w:marRight w:val="0"/>
                      <w:marTop w:val="0"/>
                      <w:marBottom w:val="0"/>
                      <w:divBdr>
                        <w:top w:val="none" w:sz="0" w:space="0" w:color="auto"/>
                        <w:left w:val="none" w:sz="0" w:space="0" w:color="auto"/>
                        <w:bottom w:val="none" w:sz="0" w:space="0" w:color="auto"/>
                        <w:right w:val="none" w:sz="0" w:space="0" w:color="auto"/>
                      </w:divBdr>
                      <w:divsChild>
                        <w:div w:id="1923368036">
                          <w:marLeft w:val="0"/>
                          <w:marRight w:val="0"/>
                          <w:marTop w:val="0"/>
                          <w:marBottom w:val="0"/>
                          <w:divBdr>
                            <w:top w:val="none" w:sz="0" w:space="0" w:color="auto"/>
                            <w:left w:val="none" w:sz="0" w:space="0" w:color="auto"/>
                            <w:bottom w:val="none" w:sz="0" w:space="0" w:color="auto"/>
                            <w:right w:val="none" w:sz="0" w:space="0" w:color="auto"/>
                          </w:divBdr>
                          <w:divsChild>
                            <w:div w:id="1886791105">
                              <w:marLeft w:val="0"/>
                              <w:marRight w:val="0"/>
                              <w:marTop w:val="0"/>
                              <w:marBottom w:val="0"/>
                              <w:divBdr>
                                <w:top w:val="none" w:sz="0" w:space="0" w:color="auto"/>
                                <w:left w:val="none" w:sz="0" w:space="0" w:color="auto"/>
                                <w:bottom w:val="none" w:sz="0" w:space="0" w:color="auto"/>
                                <w:right w:val="none" w:sz="0" w:space="0" w:color="auto"/>
                              </w:divBdr>
                            </w:div>
                            <w:div w:id="1645697954">
                              <w:marLeft w:val="0"/>
                              <w:marRight w:val="0"/>
                              <w:marTop w:val="0"/>
                              <w:marBottom w:val="0"/>
                              <w:divBdr>
                                <w:top w:val="none" w:sz="0" w:space="0" w:color="auto"/>
                                <w:left w:val="none" w:sz="0" w:space="0" w:color="auto"/>
                                <w:bottom w:val="none" w:sz="0" w:space="0" w:color="auto"/>
                                <w:right w:val="none" w:sz="0" w:space="0" w:color="auto"/>
                              </w:divBdr>
                            </w:div>
                            <w:div w:id="1805804569">
                              <w:marLeft w:val="0"/>
                              <w:marRight w:val="0"/>
                              <w:marTop w:val="0"/>
                              <w:marBottom w:val="0"/>
                              <w:divBdr>
                                <w:top w:val="none" w:sz="0" w:space="0" w:color="auto"/>
                                <w:left w:val="none" w:sz="0" w:space="0" w:color="auto"/>
                                <w:bottom w:val="none" w:sz="0" w:space="0" w:color="auto"/>
                                <w:right w:val="none" w:sz="0" w:space="0" w:color="auto"/>
                              </w:divBdr>
                            </w:div>
                            <w:div w:id="86863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7728214">
      <w:bodyDiv w:val="1"/>
      <w:marLeft w:val="0"/>
      <w:marRight w:val="0"/>
      <w:marTop w:val="0"/>
      <w:marBottom w:val="0"/>
      <w:divBdr>
        <w:top w:val="none" w:sz="0" w:space="0" w:color="auto"/>
        <w:left w:val="none" w:sz="0" w:space="0" w:color="auto"/>
        <w:bottom w:val="none" w:sz="0" w:space="0" w:color="auto"/>
        <w:right w:val="none" w:sz="0" w:space="0" w:color="auto"/>
      </w:divBdr>
      <w:divsChild>
        <w:div w:id="119341449">
          <w:marLeft w:val="0"/>
          <w:marRight w:val="0"/>
          <w:marTop w:val="0"/>
          <w:marBottom w:val="0"/>
          <w:divBdr>
            <w:top w:val="none" w:sz="0" w:space="0" w:color="auto"/>
            <w:left w:val="none" w:sz="0" w:space="0" w:color="auto"/>
            <w:bottom w:val="none" w:sz="0" w:space="0" w:color="auto"/>
            <w:right w:val="none" w:sz="0" w:space="0" w:color="auto"/>
          </w:divBdr>
          <w:divsChild>
            <w:div w:id="389040513">
              <w:marLeft w:val="0"/>
              <w:marRight w:val="0"/>
              <w:marTop w:val="0"/>
              <w:marBottom w:val="0"/>
              <w:divBdr>
                <w:top w:val="none" w:sz="0" w:space="0" w:color="auto"/>
                <w:left w:val="none" w:sz="0" w:space="0" w:color="auto"/>
                <w:bottom w:val="none" w:sz="0" w:space="0" w:color="auto"/>
                <w:right w:val="none" w:sz="0" w:space="0" w:color="auto"/>
              </w:divBdr>
              <w:divsChild>
                <w:div w:id="173420054">
                  <w:marLeft w:val="0"/>
                  <w:marRight w:val="0"/>
                  <w:marTop w:val="0"/>
                  <w:marBottom w:val="0"/>
                  <w:divBdr>
                    <w:top w:val="none" w:sz="0" w:space="0" w:color="auto"/>
                    <w:left w:val="none" w:sz="0" w:space="0" w:color="auto"/>
                    <w:bottom w:val="none" w:sz="0" w:space="0" w:color="auto"/>
                    <w:right w:val="none" w:sz="0" w:space="0" w:color="auto"/>
                  </w:divBdr>
                  <w:divsChild>
                    <w:div w:id="496532189">
                      <w:marLeft w:val="0"/>
                      <w:marRight w:val="0"/>
                      <w:marTop w:val="0"/>
                      <w:marBottom w:val="0"/>
                      <w:divBdr>
                        <w:top w:val="none" w:sz="0" w:space="0" w:color="auto"/>
                        <w:left w:val="none" w:sz="0" w:space="0" w:color="auto"/>
                        <w:bottom w:val="none" w:sz="0" w:space="0" w:color="auto"/>
                        <w:right w:val="none" w:sz="0" w:space="0" w:color="auto"/>
                      </w:divBdr>
                      <w:divsChild>
                        <w:div w:id="2069373184">
                          <w:marLeft w:val="0"/>
                          <w:marRight w:val="0"/>
                          <w:marTop w:val="0"/>
                          <w:marBottom w:val="0"/>
                          <w:divBdr>
                            <w:top w:val="none" w:sz="0" w:space="0" w:color="auto"/>
                            <w:left w:val="none" w:sz="0" w:space="0" w:color="auto"/>
                            <w:bottom w:val="none" w:sz="0" w:space="0" w:color="auto"/>
                            <w:right w:val="none" w:sz="0" w:space="0" w:color="auto"/>
                          </w:divBdr>
                          <w:divsChild>
                            <w:div w:id="1250239090">
                              <w:marLeft w:val="0"/>
                              <w:marRight w:val="0"/>
                              <w:marTop w:val="0"/>
                              <w:marBottom w:val="0"/>
                              <w:divBdr>
                                <w:top w:val="none" w:sz="0" w:space="0" w:color="auto"/>
                                <w:left w:val="none" w:sz="0" w:space="0" w:color="auto"/>
                                <w:bottom w:val="none" w:sz="0" w:space="0" w:color="auto"/>
                                <w:right w:val="none" w:sz="0" w:space="0" w:color="auto"/>
                              </w:divBdr>
                            </w:div>
                            <w:div w:id="128019258">
                              <w:marLeft w:val="0"/>
                              <w:marRight w:val="0"/>
                              <w:marTop w:val="0"/>
                              <w:marBottom w:val="0"/>
                              <w:divBdr>
                                <w:top w:val="none" w:sz="0" w:space="0" w:color="auto"/>
                                <w:left w:val="none" w:sz="0" w:space="0" w:color="auto"/>
                                <w:bottom w:val="none" w:sz="0" w:space="0" w:color="auto"/>
                                <w:right w:val="none" w:sz="0" w:space="0" w:color="auto"/>
                              </w:divBdr>
                            </w:div>
                            <w:div w:id="987170318">
                              <w:marLeft w:val="0"/>
                              <w:marRight w:val="0"/>
                              <w:marTop w:val="0"/>
                              <w:marBottom w:val="0"/>
                              <w:divBdr>
                                <w:top w:val="none" w:sz="0" w:space="0" w:color="auto"/>
                                <w:left w:val="none" w:sz="0" w:space="0" w:color="auto"/>
                                <w:bottom w:val="none" w:sz="0" w:space="0" w:color="auto"/>
                                <w:right w:val="none" w:sz="0" w:space="0" w:color="auto"/>
                              </w:divBdr>
                            </w:div>
                            <w:div w:id="1551921251">
                              <w:marLeft w:val="0"/>
                              <w:marRight w:val="0"/>
                              <w:marTop w:val="0"/>
                              <w:marBottom w:val="0"/>
                              <w:divBdr>
                                <w:top w:val="none" w:sz="0" w:space="0" w:color="auto"/>
                                <w:left w:val="none" w:sz="0" w:space="0" w:color="auto"/>
                                <w:bottom w:val="none" w:sz="0" w:space="0" w:color="auto"/>
                                <w:right w:val="none" w:sz="0" w:space="0" w:color="auto"/>
                              </w:divBdr>
                            </w:div>
                            <w:div w:id="683869452">
                              <w:marLeft w:val="0"/>
                              <w:marRight w:val="0"/>
                              <w:marTop w:val="0"/>
                              <w:marBottom w:val="0"/>
                              <w:divBdr>
                                <w:top w:val="none" w:sz="0" w:space="0" w:color="auto"/>
                                <w:left w:val="none" w:sz="0" w:space="0" w:color="auto"/>
                                <w:bottom w:val="none" w:sz="0" w:space="0" w:color="auto"/>
                                <w:right w:val="none" w:sz="0" w:space="0" w:color="auto"/>
                              </w:divBdr>
                            </w:div>
                            <w:div w:id="616568764">
                              <w:marLeft w:val="0"/>
                              <w:marRight w:val="0"/>
                              <w:marTop w:val="0"/>
                              <w:marBottom w:val="0"/>
                              <w:divBdr>
                                <w:top w:val="none" w:sz="0" w:space="0" w:color="auto"/>
                                <w:left w:val="none" w:sz="0" w:space="0" w:color="auto"/>
                                <w:bottom w:val="none" w:sz="0" w:space="0" w:color="auto"/>
                                <w:right w:val="none" w:sz="0" w:space="0" w:color="auto"/>
                              </w:divBdr>
                            </w:div>
                            <w:div w:id="64096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image" Target="media/image2.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gradeworkinggroup.org"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1.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hyperlink" Target="http://www.rheumatology.org/Practice-Quality/Clinical-Support/Clinical-Practice-Guidelin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image" Target="media/image3.jpg"/><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onlinelibrary.wiley.com/doi/epdf/10.1002/art.39480"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radeworkinggroup.org" TargetMode="External"/><Relationship Id="rId22" Type="http://schemas.openxmlformats.org/officeDocument/2006/relationships/hyperlink" Target="https://www.ncbi.nlm.nih.gov/pmc/articles/PMC3933074/"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724C7"/>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2.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5.xml><?xml version="1.0" encoding="utf-8"?>
<ds:datastoreItem xmlns:ds="http://schemas.openxmlformats.org/officeDocument/2006/customXml" ds:itemID="{A9AED3A6-316B-4FDE-ADC6-61EDF5DDC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2644</Words>
  <Characters>15075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Tracy Johansson</cp:lastModifiedBy>
  <cp:revision>3</cp:revision>
  <dcterms:created xsi:type="dcterms:W3CDTF">2019-04-19T03:08:00Z</dcterms:created>
  <dcterms:modified xsi:type="dcterms:W3CDTF">2019-04-19T03:25:00Z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