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0B70BE">
            <w:rPr>
              <w:rStyle w:val="Style1"/>
            </w:rPr>
            <w:t>1667</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2E5E0F">
            <w:rPr>
              <w:rFonts w:ascii="Trebuchet MS" w:hAnsi="Trebuchet MS"/>
              <w:iCs/>
            </w:rPr>
            <w:t>Pediatric Kidney Disease:</w:t>
          </w:r>
          <w:r w:rsidR="000B70BE" w:rsidRPr="00492951">
            <w:rPr>
              <w:rFonts w:ascii="Trebuchet MS" w:hAnsi="Trebuchet MS"/>
              <w:iCs/>
            </w:rPr>
            <w:t xml:space="preserve"> ESRD Patients Receiving Dialysis: Hemoglobin Level &lt; 10g/dL</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5-02-27T00:00:00Z">
            <w:dateFormat w:val="M/d/yyyy"/>
            <w:lid w:val="en-US"/>
            <w:storeMappedDataAs w:val="dateTime"/>
            <w:calendar w:val="gregorian"/>
          </w:date>
        </w:sdtPr>
        <w:sdtEndPr>
          <w:rPr>
            <w:rStyle w:val="DefaultParagraphFont"/>
            <w:noProof/>
            <w:color w:val="auto"/>
            <w:u w:val="none"/>
          </w:rPr>
        </w:sdtEndPr>
        <w:sdtContent>
          <w:r w:rsidR="000B70BE">
            <w:rPr>
              <w:rStyle w:val="Style2"/>
            </w:rPr>
            <w:t>2/27/2015</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 xml:space="preserve">Measurement Framework: Evaluating </w:t>
              </w:r>
              <w:r w:rsidRPr="003B1CC5">
                <w:rPr>
                  <w:rFonts w:eastAsia="Calibri" w:cs="Calibri"/>
                  <w:color w:val="0000FF"/>
                  <w:sz w:val="20"/>
                  <w:szCs w:val="20"/>
                  <w:u w:val="single"/>
                </w:rPr>
                <w:lastRenderedPageBreak/>
                <w:t>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EF0328"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626DFF">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dtPr>
        <w:sdtEndPr>
          <w:rPr>
            <w:rStyle w:val="DefaultParagraphFont"/>
            <w:rFonts w:cstheme="minorBidi"/>
            <w:color w:val="auto"/>
            <w:u w:val="none"/>
          </w:rPr>
        </w:sdtEndPr>
        <w:sdtContent>
          <w:r w:rsidR="002E5E0F">
            <w:rPr>
              <w:rStyle w:val="Style2"/>
              <w:rFonts w:cstheme="minorHAnsi"/>
            </w:rPr>
            <w:t>Decreasing associated illness and improving quality of life. See 1a.2</w:t>
          </w:r>
        </w:sdtContent>
      </w:sdt>
    </w:p>
    <w:p w:rsidR="00236F87" w:rsidRPr="003B1CC5" w:rsidRDefault="00EF0328"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EF0328"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sidR="00626DFF">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sdt>
            <w:sdtPr>
              <w:rPr>
                <w:rStyle w:val="Style2"/>
                <w:rFonts w:cstheme="minorHAnsi"/>
              </w:rPr>
              <w:id w:val="-486928932"/>
              <w:placeholder>
                <w:docPart w:val="525DAA1AAA7847C7927BC41E8BCCD053"/>
              </w:placeholder>
            </w:sdtPr>
            <w:sdtEndPr>
              <w:rPr>
                <w:rStyle w:val="DefaultParagraphFont"/>
                <w:rFonts w:cstheme="minorBidi"/>
                <w:color w:val="auto"/>
                <w:u w:val="none"/>
              </w:rPr>
            </w:sdtEndPr>
            <w:sdtContent>
              <w:r w:rsidR="00626DFF">
                <w:rPr>
                  <w:rStyle w:val="Style2"/>
                  <w:rFonts w:cstheme="minorHAnsi"/>
                </w:rPr>
                <w:t>Decreasing associated illness and improving quality of life. See 1a.2</w:t>
              </w:r>
            </w:sdtContent>
          </w:sdt>
        </w:sdtContent>
      </w:sdt>
    </w:p>
    <w:p w:rsidR="00496AF8" w:rsidRPr="003B1CC5" w:rsidRDefault="00EF0328"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EF0328"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EF0328"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E5E0F" w:rsidRPr="00CD35D2" w:rsidRDefault="002E5E0F" w:rsidP="002E5E0F">
      <w:pPr>
        <w:rPr>
          <w:rFonts w:ascii="Arial Narrow" w:hAnsi="Arial Narrow" w:cs="Arial"/>
          <w:b/>
        </w:rPr>
      </w:pPr>
      <w:r w:rsidRPr="00CD35D2">
        <w:rPr>
          <w:rFonts w:ascii="Arial Narrow" w:hAnsi="Arial Narrow" w:cs="Arial"/>
          <w:color w:val="0000FF"/>
        </w:rPr>
        <w:t>This measure captures the number of calendar months during which patients have a Hemoglobin level &lt; 10g/dL, which is a measurement of a Hemoglobin level lower than the target range, an intermediate clinical outcome.  Identifying patients with a Hemoglobin level lower than the target range is linked to improved health outcomes such as decreasing the incidence of an associated illness and attaining the highest quality and quantity of life after onset of illness.</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2E5E0F" w:rsidRPr="00CD35D2" w:rsidRDefault="002E5E0F" w:rsidP="002E5E0F">
      <w:pPr>
        <w:rPr>
          <w:rFonts w:ascii="Arial Narrow" w:hAnsi="Arial Narrow" w:cs="Arial"/>
          <w:color w:val="0000FF"/>
        </w:rPr>
      </w:pPr>
      <w:r>
        <w:rPr>
          <w:rFonts w:ascii="Arial Narrow" w:hAnsi="Arial Narrow" w:cs="Arial"/>
          <w:color w:val="0000FF"/>
        </w:rPr>
        <w:t>The guideline recommendation supporting this measure, focuses on a specific patient population including dialysis and nondialysis patients with CKD receiving ESA therapy.  This measure specifically focuses on patients with ESRD who are receiving hemodialysis or peritoneal dialysis.  The ESRD population has severe kidney disease and are usually receiving dialysis.  Therefore, the measure development work group thought it would be most beneficial to focus on this subset of patients.  Although this measure does not address patients receiving ESA therapy, the same target range of 11.0 to 12.0 g/dL is being used for this patient population.  The measure focuses on capturing those patients who do not achieve a Hemoglobin level within this specified target range.</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EF0328"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2E5E0F">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EF0328"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EF0328"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EF0328"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lastRenderedPageBreak/>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2E5E0F" w:rsidRDefault="002E5E0F" w:rsidP="002E5E0F">
      <w:pPr>
        <w:rPr>
          <w:rFonts w:ascii="Arial Narrow" w:hAnsi="Arial Narrow" w:cs="Arial"/>
          <w:color w:val="0000FF"/>
        </w:rPr>
      </w:pPr>
      <w:r>
        <w:rPr>
          <w:rFonts w:ascii="Arial Narrow" w:hAnsi="Arial Narrow" w:cs="Arial"/>
          <w:color w:val="0000FF"/>
        </w:rPr>
        <w:t>National Kidney Foundation.  KDOQI Clinical Practice Guidelines and Clinical Practice Recommendations for Anemia in Chronic Kidney Disease: 2007 Update of Hemoglobin Target. Am J Kidney Dis 50, No 3 (September), 2007.</w:t>
      </w:r>
    </w:p>
    <w:p w:rsidR="002E5E0F" w:rsidRDefault="002E5E0F" w:rsidP="002E2177">
      <w:pPr>
        <w:ind w:left="0" w:firstLine="0"/>
        <w:rPr>
          <w:color w:val="0000FF"/>
        </w:rPr>
      </w:pPr>
    </w:p>
    <w:p w:rsidR="006F4B7F" w:rsidRDefault="00EF0328" w:rsidP="002E2177">
      <w:pPr>
        <w:ind w:left="0" w:firstLine="0"/>
        <w:rPr>
          <w:color w:val="0000FF"/>
        </w:rPr>
      </w:pPr>
      <w:hyperlink r:id="rId15" w:history="1">
        <w:r w:rsidR="002E5E0F" w:rsidRPr="00D052C5">
          <w:rPr>
            <w:rStyle w:val="Hyperlink"/>
          </w:rPr>
          <w:t>http://www2.kidney.org/professionals/KDOQI/guidelines_anemiaUP/guide2.htm</w:t>
        </w:r>
      </w:hyperlink>
      <w:r w:rsidR="002E5E0F">
        <w:rPr>
          <w:color w:val="0000FF"/>
        </w:rPr>
        <w:t xml:space="preserve"> </w:t>
      </w:r>
      <w:hyperlink r:id="rId16" w:anchor="rationale211" w:history="1">
        <w:r w:rsidR="002E5E0F" w:rsidRPr="00D052C5">
          <w:rPr>
            <w:rStyle w:val="Hyperlink"/>
          </w:rPr>
          <w:t>http://www2.kidney.org/professionals/KDOQI/guidelines_anemiaUP/guide1.htm#rationale211</w:t>
        </w:r>
      </w:hyperlink>
      <w:r w:rsidR="002E5E0F">
        <w:rPr>
          <w:color w:val="0000FF"/>
        </w:rPr>
        <w:t xml:space="preserve"> </w:t>
      </w:r>
    </w:p>
    <w:p w:rsidR="002E5E0F" w:rsidRPr="003B1CC5" w:rsidRDefault="002E5E0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6476F7" w:rsidRPr="006476F7" w:rsidRDefault="006476F7" w:rsidP="002E5E0F">
      <w:pPr>
        <w:ind w:left="0" w:firstLine="0"/>
        <w:rPr>
          <w:rStyle w:val="Strong"/>
          <w:rFonts w:ascii="Arial Narrow" w:hAnsi="Arial Narrow"/>
          <w:b w:val="0"/>
          <w:color w:val="0000FF"/>
        </w:rPr>
      </w:pPr>
      <w:r w:rsidRPr="006476F7">
        <w:rPr>
          <w:rStyle w:val="Strong"/>
          <w:b w:val="0"/>
          <w:color w:val="0000FF"/>
        </w:rPr>
        <w:t>2.1.1 Lower limit of Hb: (</w:t>
      </w:r>
      <w:r w:rsidRPr="006476F7">
        <w:rPr>
          <w:rStyle w:val="Emphasis"/>
          <w:b/>
          <w:bCs/>
          <w:color w:val="0000FF"/>
        </w:rPr>
        <w:t>FULLY APPLICABLE TO CHILDREN</w:t>
      </w:r>
      <w:r w:rsidRPr="006476F7">
        <w:rPr>
          <w:rStyle w:val="Strong"/>
          <w:b w:val="0"/>
          <w:color w:val="0000FF"/>
        </w:rPr>
        <w:t>)</w:t>
      </w:r>
      <w:r w:rsidRPr="006476F7">
        <w:rPr>
          <w:b/>
          <w:bCs/>
          <w:color w:val="0000FF"/>
        </w:rPr>
        <w:br/>
      </w:r>
      <w:r w:rsidRPr="006476F7">
        <w:rPr>
          <w:rStyle w:val="Strong"/>
          <w:b w:val="0"/>
          <w:color w:val="0000FF"/>
        </w:rPr>
        <w:t>In patients with CKD, Hb level should be 11.0 g/dL or greater. (</w:t>
      </w:r>
      <w:r w:rsidRPr="006476F7">
        <w:rPr>
          <w:rStyle w:val="Emphasis"/>
          <w:b/>
          <w:bCs/>
          <w:color w:val="0000FF"/>
        </w:rPr>
        <w:t>MODERATELY STRONG RECOMMENDATION</w:t>
      </w:r>
      <w:r w:rsidRPr="006476F7">
        <w:rPr>
          <w:rStyle w:val="Strong"/>
          <w:b w:val="0"/>
          <w:color w:val="0000FF"/>
        </w:rPr>
        <w:t>) [http://www2.kidney.org/professionals/KDOQI/guidelines_anemia/ped21original.htm]</w:t>
      </w:r>
    </w:p>
    <w:p w:rsidR="006476F7" w:rsidRDefault="006476F7" w:rsidP="002E5E0F">
      <w:pPr>
        <w:ind w:left="0" w:firstLine="0"/>
        <w:rPr>
          <w:rStyle w:val="Strong"/>
          <w:rFonts w:ascii="Arial Narrow" w:hAnsi="Arial Narrow"/>
          <w:b w:val="0"/>
          <w:color w:val="0000FF"/>
        </w:rPr>
      </w:pPr>
    </w:p>
    <w:p w:rsidR="002E5E0F" w:rsidRPr="002E5E0F" w:rsidRDefault="002E5E0F" w:rsidP="002E5E0F">
      <w:pPr>
        <w:ind w:left="0" w:firstLine="0"/>
        <w:rPr>
          <w:rFonts w:ascii="Arial Narrow" w:hAnsi="Arial Narrow" w:cs="Arial"/>
          <w:b/>
          <w:color w:val="0000FF"/>
          <w:sz w:val="20"/>
          <w:szCs w:val="20"/>
        </w:rPr>
      </w:pPr>
      <w:r w:rsidRPr="002E5E0F">
        <w:rPr>
          <w:rStyle w:val="Strong"/>
          <w:rFonts w:ascii="Arial Narrow" w:hAnsi="Arial Narrow"/>
          <w:b w:val="0"/>
          <w:color w:val="0000FF"/>
        </w:rPr>
        <w:t>2.1.1 (FULLY APPLICABLE TO CHILDREN) In the opinion of the Work Group, selection of the Hb target and selection of the Hb level at which ESA therapy is initiated in the individual pediatric patient should include consideration of potential benefits (including improvement in quality of life, school attendance/ performance, and avoidance of transfusion) and potential harms (including the risk of life-threatening adverse events). (Clinical Practice RECOMMENDATION)</w:t>
      </w:r>
      <w:r w:rsidRPr="002E5E0F">
        <w:rPr>
          <w:rFonts w:ascii="Arial Narrow" w:hAnsi="Arial Narrow"/>
          <w:b/>
          <w:bCs/>
          <w:color w:val="0000FF"/>
        </w:rPr>
        <w:br/>
      </w:r>
      <w:r w:rsidRPr="002E5E0F">
        <w:rPr>
          <w:rFonts w:ascii="Arial Narrow" w:hAnsi="Arial Narrow"/>
          <w:b/>
          <w:bCs/>
          <w:color w:val="0000FF"/>
        </w:rPr>
        <w:br/>
      </w:r>
      <w:bookmarkStart w:id="7" w:name="112"/>
      <w:bookmarkEnd w:id="7"/>
      <w:r w:rsidRPr="002E5E0F">
        <w:rPr>
          <w:rStyle w:val="Strong"/>
          <w:rFonts w:ascii="Arial Narrow" w:hAnsi="Arial Narrow"/>
          <w:b w:val="0"/>
          <w:color w:val="0000FF"/>
        </w:rPr>
        <w:t>2.1.2 (FULLY APPLICABLE TO CHILDREN) In the opinion of the Work Group, in pediatric dialysis and nondialysis patients with CKD receiving ESA therapy, the selected Hb target should generally be in the range of 11.0 to 12.0 g/dL. (Clinical Practice RECOMMENDATION)</w:t>
      </w:r>
      <w:r w:rsidRPr="002E5E0F">
        <w:rPr>
          <w:rFonts w:ascii="Arial Narrow" w:hAnsi="Arial Narrow"/>
          <w:b/>
          <w:bCs/>
          <w:color w:val="0000FF"/>
        </w:rPr>
        <w:br/>
      </w:r>
      <w:r w:rsidRPr="002E5E0F">
        <w:rPr>
          <w:rFonts w:ascii="Arial Narrow" w:hAnsi="Arial Narrow"/>
          <w:b/>
          <w:bCs/>
          <w:color w:val="0000FF"/>
        </w:rPr>
        <w:br/>
      </w:r>
      <w:bookmarkStart w:id="8" w:name="113"/>
      <w:bookmarkEnd w:id="8"/>
      <w:r w:rsidRPr="002E5E0F">
        <w:rPr>
          <w:rStyle w:val="Strong"/>
          <w:rFonts w:ascii="Arial Narrow" w:hAnsi="Arial Narrow"/>
          <w:b w:val="0"/>
          <w:color w:val="0000FF"/>
        </w:rPr>
        <w:t>2.1.3 (APPLICABLE TO CHILDREN, BUT NEEDS MODIFICATION) In dialysis and nondialysis patients with CKD receiving ESA therapy, the Hb target should not be greater than 13.0 g/dL. (Clinical Practice RECOMMENDATION)</w:t>
      </w:r>
    </w:p>
    <w:p w:rsidR="00496AF8" w:rsidRDefault="00496AF8" w:rsidP="002E2177">
      <w:pPr>
        <w:ind w:left="0" w:firstLine="0"/>
      </w:pPr>
    </w:p>
    <w:p w:rsidR="00DD59F7" w:rsidRDefault="00DD59F7" w:rsidP="00DD59F7">
      <w:pPr>
        <w:rPr>
          <w:rFonts w:ascii="Arial Narrow" w:hAnsi="Arial Narrow" w:cs="Arial"/>
          <w:bCs/>
        </w:rPr>
      </w:pPr>
      <w:r>
        <w:rPr>
          <w:rFonts w:ascii="Arial Narrow" w:hAnsi="Arial Narrow" w:cs="Arial"/>
          <w:bCs/>
          <w:color w:val="0000FF"/>
        </w:rPr>
        <w:t xml:space="preserve">In the opinion of the Work Group, in pediatric dialysis and nondialysis patients with CKD receiving ESA therapy, the selected Hb target should generally be in the range of 11.0 to 12.0 g/dL. </w:t>
      </w:r>
    </w:p>
    <w:p w:rsidR="00DD59F7" w:rsidRPr="003B1CC5" w:rsidRDefault="00DD59F7"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6476F7" w:rsidRDefault="006476F7" w:rsidP="00265702">
      <w:pPr>
        <w:ind w:left="0" w:firstLine="0"/>
        <w:rPr>
          <w:color w:val="0000FF"/>
        </w:rPr>
      </w:pPr>
      <w:r w:rsidRPr="006476F7">
        <w:rPr>
          <w:color w:val="0000FF"/>
        </w:rPr>
        <w:t>Moderately strong</w:t>
      </w:r>
    </w:p>
    <w:p w:rsidR="006476F7" w:rsidRPr="006476F7" w:rsidRDefault="006476F7" w:rsidP="006476F7">
      <w:pPr>
        <w:rPr>
          <w:rFonts w:ascii="Arial Narrow" w:hAnsi="Arial Narrow" w:cs="Arial"/>
          <w:color w:val="0000FF"/>
        </w:rPr>
      </w:pPr>
      <w:r>
        <w:rPr>
          <w:rFonts w:ascii="Arial Narrow" w:hAnsi="Arial Narrow" w:cs="Arial"/>
          <w:color w:val="0000FF"/>
        </w:rPr>
        <w:t>Moderately strong – It is recommended that clinicians routinely follow this guideline for eligible patients.  There is at least moderately high-quality evidence that the practice results in net medical benefit to the patient.</w:t>
      </w: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FB45E9" w:rsidRDefault="00FB45E9" w:rsidP="00FB45E9">
      <w:pPr>
        <w:rPr>
          <w:rFonts w:ascii="Arial Narrow" w:hAnsi="Arial Narrow" w:cs="Arial"/>
          <w:b/>
        </w:rPr>
      </w:pPr>
      <w:r>
        <w:rPr>
          <w:rFonts w:ascii="Arial Narrow" w:hAnsi="Arial Narrow" w:cs="Arial"/>
          <w:color w:val="0000FF"/>
        </w:rPr>
        <w:t>A modified version of the GRADE criteria was used to grade the strength of the guideline recommendations.  The modified language is below.</w:t>
      </w:r>
    </w:p>
    <w:p w:rsidR="00FB45E9" w:rsidRDefault="00FB45E9" w:rsidP="00FB45E9">
      <w:pPr>
        <w:rPr>
          <w:rFonts w:ascii="Arial Narrow" w:hAnsi="Arial Narrow" w:cs="Arial"/>
          <w:color w:val="0000FF"/>
        </w:rPr>
      </w:pPr>
    </w:p>
    <w:p w:rsidR="00FB45E9" w:rsidRDefault="00FB45E9" w:rsidP="00FB45E9">
      <w:pPr>
        <w:rPr>
          <w:rFonts w:ascii="Arial Narrow" w:hAnsi="Arial Narrow" w:cs="Arial"/>
          <w:color w:val="0000FF"/>
        </w:rPr>
      </w:pPr>
      <w:r>
        <w:rPr>
          <w:rFonts w:ascii="Arial Narrow" w:hAnsi="Arial Narrow" w:cs="Arial"/>
          <w:color w:val="0000FF"/>
        </w:rPr>
        <w:t>Strong – It is strongly recommended that clinicians routinely follow the guideline for eligible patients.  There is high-quality evidence that the practice results in net medical benefit to the patient.</w:t>
      </w:r>
    </w:p>
    <w:p w:rsidR="00FB45E9" w:rsidRDefault="00FB45E9" w:rsidP="00FB45E9">
      <w:pPr>
        <w:rPr>
          <w:rFonts w:ascii="Arial Narrow" w:hAnsi="Arial Narrow" w:cs="Arial"/>
          <w:color w:val="0000FF"/>
        </w:rPr>
      </w:pPr>
      <w:r>
        <w:rPr>
          <w:rFonts w:ascii="Arial Narrow" w:hAnsi="Arial Narrow" w:cs="Arial"/>
          <w:color w:val="0000FF"/>
        </w:rPr>
        <w:t>Moderately strong – It is recommended that clinicians routinely follow this guideline for eligible patients.  There is at least moderately high-quality evidence that the practice results in net medical benefit to the patient.</w:t>
      </w:r>
    </w:p>
    <w:p w:rsidR="00A12762" w:rsidRPr="00FB45E9" w:rsidRDefault="00FB45E9" w:rsidP="00FB45E9">
      <w:pPr>
        <w:rPr>
          <w:rFonts w:ascii="Arial Narrow" w:hAnsi="Arial Narrow" w:cs="Arial"/>
          <w:color w:val="0000FF"/>
        </w:rPr>
      </w:pPr>
      <w:r>
        <w:rPr>
          <w:rFonts w:ascii="Arial Narrow" w:hAnsi="Arial Narrow" w:cs="Arial"/>
          <w:color w:val="0000FF"/>
        </w:rPr>
        <w:lastRenderedPageBreak/>
        <w:t>Clinical Practice Recommendation (CPRs) – Based on consensus of the [NKF] Work Group that following the recommendations might improve health outcomes.</w:t>
      </w: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EF0328" w:rsidP="00FC32D3">
      <w:pPr>
        <w:ind w:left="720" w:hanging="432"/>
        <w:rPr>
          <w:b/>
        </w:rPr>
      </w:pPr>
      <w:sdt>
        <w:sdtPr>
          <w:rPr>
            <w:bCs/>
            <w:color w:val="0000FF"/>
          </w:rPr>
          <w:id w:val="-1346319738"/>
          <w14:checkbox>
            <w14:checked w14:val="1"/>
            <w14:checkedState w14:val="2612" w14:font="MS Gothic"/>
            <w14:uncheckedState w14:val="2610" w14:font="MS Gothic"/>
          </w14:checkbox>
        </w:sdtPr>
        <w:sdtEndPr/>
        <w:sdtContent>
          <w:r w:rsidR="00FB45E9">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EF0328"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9" w:name="Section1a5"/>
      <w:bookmarkEnd w:id="9"/>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10" w:name="Section1a6"/>
      <w:bookmarkEnd w:id="10"/>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6476F7" w:rsidRPr="006476F7" w:rsidRDefault="006476F7" w:rsidP="00EA79C9">
      <w:pPr>
        <w:ind w:left="0" w:firstLine="0"/>
        <w:rPr>
          <w:color w:val="0000FF"/>
        </w:rPr>
      </w:pPr>
      <w:r w:rsidRPr="006476F7">
        <w:rPr>
          <w:color w:val="0000FF"/>
        </w:rPr>
        <w:t xml:space="preserve">New findings, new agents, and the need for an expanded scope prompt the need for a comprehensive revision of existing NKF-KDOQI CPGs for the Treatment of Anemia in CKD. In preparing the current guidelines, the Anemia Work Group members broadened our inquiry to include all stages of CKD, </w:t>
      </w:r>
      <w:r w:rsidRPr="006476F7">
        <w:rPr>
          <w:color w:val="0000FF"/>
        </w:rPr>
        <w:lastRenderedPageBreak/>
        <w:t xml:space="preserve">identify areas of concern to current practitioners, adopt a structured intensive evidence review process not previously used, apply that process to both newly available literature and literature examined in the development of previous guideline versions, formulate conclusions that distinguish </w:t>
      </w:r>
      <w:r w:rsidRPr="006476F7">
        <w:rPr>
          <w:rStyle w:val="Emphasis"/>
          <w:color w:val="0000FF"/>
        </w:rPr>
        <w:t>evidence-based guidelines</w:t>
      </w:r>
      <w:r w:rsidRPr="006476F7">
        <w:rPr>
          <w:color w:val="0000FF"/>
        </w:rPr>
        <w:t xml:space="preserve"> from </w:t>
      </w:r>
      <w:r w:rsidRPr="006476F7">
        <w:rPr>
          <w:rStyle w:val="Emphasis"/>
          <w:color w:val="0000FF"/>
        </w:rPr>
        <w:t>expert-opinion–based clinical practice recommendations</w:t>
      </w:r>
      <w:r w:rsidRPr="006476F7">
        <w:rPr>
          <w:color w:val="0000FF"/>
        </w:rPr>
        <w:t xml:space="preserve"> (CPRs), and present both guidelines and recommendations in a new format to more clearly describe what is not known. To ensure that the next update profits from evidence we currently lack, we identified limitations of currently available evidence and, in a subsequent report, will identify priorities for needed research</w:t>
      </w:r>
      <w:r>
        <w:t xml:space="preserve">. </w:t>
      </w:r>
      <w:r w:rsidRPr="006476F7">
        <w:rPr>
          <w:color w:val="0000FF"/>
        </w:rPr>
        <w:t>[NKF workgroup] address the target population of patients with CKD stages 1 to 5 not on dialysis therapy, on hemodialysis (HD) or peritoneal dialysis (PD) therapy, or with a kidney transplant in the full range of practice settings in which they are encountered. However, the evidence continues to derive disproportionately from findings in facility-based HD patients.</w:t>
      </w: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B97CA3" w:rsidP="00EA79C9">
      <w:pPr>
        <w:ind w:left="0" w:firstLine="0"/>
      </w:pPr>
      <w:r>
        <w:t>n/a</w:t>
      </w: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11" w:name="Section1a7"/>
      <w:bookmarkEnd w:id="11"/>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B97CA3">
            <w:rPr>
              <w:rStyle w:val="Style2"/>
            </w:rPr>
            <w:t>1982-2005</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FB45E9" w:rsidRDefault="00FB45E9" w:rsidP="00FB45E9">
      <w:pPr>
        <w:rPr>
          <w:rFonts w:ascii="Arial Narrow" w:hAnsi="Arial Narrow" w:cs="Arial"/>
          <w:i/>
        </w:rPr>
      </w:pPr>
      <w:r>
        <w:rPr>
          <w:rFonts w:ascii="Arial Narrow" w:hAnsi="Arial Narrow" w:cs="Arial"/>
          <w:color w:val="0000FF"/>
        </w:rPr>
        <w:t>For systematic review topics, the literature searches yielded 2,756 citations.  Of these, 137 articles were reviewed in full.  An additional 19 were added by Work Group members.  A total of 83 were extracted and of these, 51 studies are included in Summary tables [within the guideline].</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FB45E9" w:rsidRDefault="00FB45E9" w:rsidP="00FB45E9">
      <w:pPr>
        <w:rPr>
          <w:rFonts w:ascii="Arial Narrow" w:hAnsi="Arial Narrow" w:cs="Arial"/>
          <w:color w:val="0000FF"/>
        </w:rPr>
      </w:pPr>
      <w:r>
        <w:rPr>
          <w:rFonts w:ascii="Arial Narrow" w:hAnsi="Arial Narrow" w:cs="Arial"/>
          <w:color w:val="0000FF"/>
        </w:rPr>
        <w:t>The NKF Work Group] refers the reader to the prior rationale outlining the [NKF] Work Group’s understanding of the unique factors to be considered in the selection of the Hb target in the pediatric CKD population [published in the 2006 KDOQI Clinical Practice Guidelines and Clinical Practice Recommendations for Anemia in Chronic Kidney Disease].  Please see below:</w:t>
      </w:r>
    </w:p>
    <w:p w:rsidR="00FB45E9" w:rsidRDefault="00FB45E9" w:rsidP="00FB45E9">
      <w:pPr>
        <w:rPr>
          <w:rFonts w:ascii="Arial Narrow" w:hAnsi="Arial Narrow" w:cs="Arial"/>
          <w:color w:val="0000FF"/>
        </w:rPr>
      </w:pPr>
    </w:p>
    <w:p w:rsidR="00FB45E9" w:rsidRDefault="00FB45E9" w:rsidP="00FB45E9">
      <w:pPr>
        <w:rPr>
          <w:rFonts w:ascii="Arial Narrow" w:hAnsi="Arial Narrow" w:cs="Arial"/>
          <w:color w:val="0000FF"/>
        </w:rPr>
      </w:pPr>
      <w:r>
        <w:rPr>
          <w:rFonts w:ascii="Arial Narrow" w:hAnsi="Arial Narrow" w:cs="Arial"/>
          <w:color w:val="0000FF"/>
        </w:rPr>
        <w:t>Determination of Hb targets in pediatric patients resists definitive recommendation. QOL, so significant to the development of the child and life of the family, lends urgency to the consideration of higher Hb level thresholds. However, evidence lacks both quality and quantity, rendering assessment of both benefit and risk uncertain. Age-specific variation in normal Hb levels introduces further uncertainty. Finally, given key metabolic, growth, developmental, and psychological differences between children and adults, exclusive reliance on evidence in adults is inappropriate.(2006)</w:t>
      </w:r>
    </w:p>
    <w:p w:rsidR="00FB45E9" w:rsidRDefault="00FB45E9" w:rsidP="00FB45E9">
      <w:pPr>
        <w:rPr>
          <w:rFonts w:ascii="Arial Narrow" w:hAnsi="Arial Narrow" w:cs="Arial"/>
          <w:color w:val="0000FF"/>
        </w:rPr>
      </w:pPr>
    </w:p>
    <w:p w:rsidR="00FB45E9" w:rsidRDefault="00FB45E9" w:rsidP="00FB45E9">
      <w:pPr>
        <w:rPr>
          <w:rFonts w:ascii="Arial Narrow" w:hAnsi="Arial Narrow" w:cs="Arial"/>
          <w:color w:val="0000FF"/>
        </w:rPr>
      </w:pPr>
      <w:r>
        <w:rPr>
          <w:rFonts w:ascii="Arial Narrow" w:hAnsi="Arial Narrow" w:cs="Arial"/>
          <w:color w:val="0000FF"/>
        </w:rPr>
        <w:t xml:space="preserve">The  [NKF] Work Group presents lower and upper targets for Hb levels in children using values in adults for reference. However, we add 2 significant qualifications. The first is that both the lower and upper Hb targets serve only as opinion-based CPRs, in keeping with the lack of pediatric-specific evidence. The second is that medical decision making to set Hb targets in individual patients should be informed by available evidence that is uniquely pediatric. Consideration should be given, for example, to the potential need to make adjustments for the normal age-specific Hb distribution. In weighing the potential QOL benefits of Hb targets, the available evidence </w:t>
      </w:r>
      <w:r>
        <w:rPr>
          <w:rFonts w:ascii="Arial Narrow" w:hAnsi="Arial Narrow" w:cs="Arial"/>
          <w:color w:val="0000FF"/>
        </w:rPr>
        <w:lastRenderedPageBreak/>
        <w:t>in adults should be enriched by consideration of QOL issues that are crucial to children, including neurocognitive development, school attendance, exercise capacity, and family support.(2006)</w:t>
      </w:r>
    </w:p>
    <w:p w:rsidR="00FB45E9" w:rsidRDefault="00FB45E9" w:rsidP="00FB45E9">
      <w:pPr>
        <w:rPr>
          <w:rFonts w:ascii="Arial Narrow" w:hAnsi="Arial Narrow" w:cs="Arial"/>
          <w:color w:val="0000FF"/>
        </w:rPr>
      </w:pPr>
    </w:p>
    <w:p w:rsidR="00FB45E9" w:rsidRDefault="00FB45E9" w:rsidP="00FB45E9">
      <w:pPr>
        <w:rPr>
          <w:rFonts w:ascii="Arial Narrow" w:hAnsi="Arial Narrow" w:cs="Arial"/>
          <w:color w:val="0000FF"/>
        </w:rPr>
      </w:pPr>
      <w:r>
        <w:rPr>
          <w:rFonts w:ascii="Arial Narrow" w:hAnsi="Arial Narrow" w:cs="Arial"/>
          <w:color w:val="0000FF"/>
        </w:rPr>
        <w:t>A single RCT provides evidence for the benefit of treatment of anemia with ESA compared with placebo. In a blinded crossover trial of 11 children aged between 2.3 and 12.3 years, undergoing HD or PD, and with a baseline Hb level between 4.3 and 8.1 g/dL, patients were assigned to either ESA therapy (Hb &gt; 10 g/dL) or placebo for 24 weeks. Seven patients completed both trial arms. ESA therapy was associated with partial correction of an elevated cardiac index by 6 months and a significant reduction in left ventricular mass by 12 months.</w:t>
      </w:r>
    </w:p>
    <w:p w:rsidR="00FB45E9" w:rsidRDefault="00FB45E9" w:rsidP="00FB45E9">
      <w:pPr>
        <w:rPr>
          <w:rFonts w:ascii="Arial Narrow" w:hAnsi="Arial Narrow" w:cs="Arial"/>
          <w:color w:val="0000FF"/>
        </w:rPr>
      </w:pPr>
    </w:p>
    <w:p w:rsidR="00FB45E9" w:rsidRDefault="00FB45E9" w:rsidP="00FB45E9">
      <w:pPr>
        <w:rPr>
          <w:rFonts w:ascii="Arial Narrow" w:hAnsi="Arial Narrow" w:cs="Arial"/>
          <w:color w:val="0000FF"/>
        </w:rPr>
      </w:pPr>
      <w:r>
        <w:rPr>
          <w:rFonts w:ascii="Arial Narrow" w:hAnsi="Arial Narrow" w:cs="Arial"/>
          <w:color w:val="0000FF"/>
        </w:rPr>
        <w:t>Two observational studies have examined the relationship between anemia and LVH in children with CKD. In these studies, patients with severe LVH (left ventricular mass index &gt; 51 g/m2) showed a statistically lower Hb level than those without LVH (Hb, 9.5 ± 1.8 versus 10.9 ± 2.3 g/dL; P = 0.027). Left ventricular compliance also was related to Hb level in children (r = –0.65; P = 0.02). The findings suggest that severe anemia in children with CKD stage 5 leads to chronic increases in cardiac workload and a consequent increase in both left ventricular end-diastolic volume and mass.</w:t>
      </w:r>
    </w:p>
    <w:p w:rsidR="00FB45E9" w:rsidRDefault="00FB45E9" w:rsidP="00FB45E9">
      <w:pPr>
        <w:rPr>
          <w:rFonts w:ascii="Arial Narrow" w:hAnsi="Arial Narrow" w:cs="Arial"/>
          <w:color w:val="0000FF"/>
        </w:rPr>
      </w:pPr>
      <w:r>
        <w:rPr>
          <w:rFonts w:ascii="Arial Narrow" w:hAnsi="Arial Narrow" w:cs="Arial"/>
          <w:color w:val="0000FF"/>
        </w:rPr>
        <w:t>In this RCT, exercise capacity improved with ESA treatment (mean achieved Hb, 11.2 g/dL; range, 9.5 to 14.2 g/dL) compared with placebo control. Measures of capacity significantly affected included a 2-minute walking test (n = 7) and a formal treadmill testing using the Bruce protocol, full (n = 3) or modified (n = 3). Distance walked, in meters, approached but did not reach statistical significance in the ESA arm of the crossover, P = 0.06; similar results were seen from both the regular or modified treadmill data, P = 0.07.</w:t>
      </w:r>
    </w:p>
    <w:p w:rsidR="00FB45E9" w:rsidRDefault="00FB45E9" w:rsidP="00FB45E9">
      <w:pPr>
        <w:rPr>
          <w:rFonts w:ascii="Arial Narrow" w:hAnsi="Arial Narrow" w:cs="Arial"/>
          <w:color w:val="0000FF"/>
        </w:rPr>
      </w:pPr>
    </w:p>
    <w:p w:rsidR="00FB45E9" w:rsidRDefault="00FB45E9" w:rsidP="00FB45E9">
      <w:pPr>
        <w:rPr>
          <w:rFonts w:ascii="Arial Narrow" w:hAnsi="Arial Narrow" w:cs="Arial"/>
          <w:color w:val="0000FF"/>
        </w:rPr>
      </w:pPr>
      <w:r>
        <w:rPr>
          <w:rFonts w:ascii="Arial Narrow" w:hAnsi="Arial Narrow" w:cs="Arial"/>
          <w:color w:val="0000FF"/>
        </w:rPr>
        <w:t>In a nonrandomized interventional trial, 18 children with CKD stage 5 (15 patients, on HD or PD) and a Hb level less than 9.9 g/dL were administered IV or SC ESA until Hb level was greater than 9.9 g/dL; baseline Hb level of 6.5 ± 0.8 g/dL changed to a final level of 10.0 ± 0.6 g/dL; P = 0.001. Exercise time (treadmill with a modified Bruce protocol) increased significantly (before ESA, 10.3 ± 1.9 minutes; after ESA, 11.2 ± 1.9 minutes; P = 0.01), and resting oxygen consumption decreased from 7.8 ± 1.8 to 6.9 ± 1.4 mL/min/kg; P = 0.01 with the higher Hb level. However, there was no change in stroke volume, blood pressure, or any cardiac indices after the first month at the higher Hb level.</w:t>
      </w:r>
    </w:p>
    <w:p w:rsidR="00FB45E9" w:rsidRDefault="00FB45E9" w:rsidP="00FB45E9">
      <w:pPr>
        <w:rPr>
          <w:rFonts w:ascii="Arial Narrow" w:hAnsi="Arial Narrow" w:cs="Arial"/>
          <w:color w:val="0000FF"/>
        </w:rPr>
      </w:pPr>
    </w:p>
    <w:p w:rsidR="00FB45E9" w:rsidRDefault="00FB45E9" w:rsidP="00FB45E9">
      <w:pPr>
        <w:rPr>
          <w:rFonts w:ascii="Arial Narrow" w:hAnsi="Arial Narrow" w:cs="Arial"/>
          <w:color w:val="0000FF"/>
        </w:rPr>
      </w:pPr>
      <w:r>
        <w:rPr>
          <w:rFonts w:ascii="Arial Narrow" w:hAnsi="Arial Narrow" w:cs="Arial"/>
          <w:color w:val="0000FF"/>
        </w:rPr>
        <w:t>Similarly, a small cohort (n = 7) of HD patients showed an improvement in aerobic work capacity and effort tolerance, as evidenced by statistically significant changes in the workload reached, peak oxygen uptake, and average ventilatory anaerobic threshold after treatment of anemia with ESA (baseline Hb, 6.3 ± 0.9 g/dL versus final Hb, 11.2 ± 1.2 g/dL).</w:t>
      </w:r>
    </w:p>
    <w:p w:rsidR="00FB45E9" w:rsidRDefault="00FB45E9" w:rsidP="00FB45E9">
      <w:pPr>
        <w:rPr>
          <w:rFonts w:ascii="Arial Narrow" w:hAnsi="Arial Narrow" w:cs="Arial"/>
          <w:color w:val="0000FF"/>
        </w:rPr>
      </w:pPr>
    </w:p>
    <w:p w:rsidR="00FB45E9" w:rsidRPr="00FB45E9" w:rsidRDefault="00FB45E9" w:rsidP="00FB45E9">
      <w:pPr>
        <w:rPr>
          <w:rFonts w:ascii="Arial Narrow" w:hAnsi="Arial Narrow" w:cs="Arial"/>
          <w:color w:val="0000FF"/>
        </w:rPr>
      </w:pPr>
      <w:r w:rsidRPr="00FB45E9">
        <w:rPr>
          <w:rFonts w:ascii="Arial Narrow" w:hAnsi="Arial Narrow" w:cs="Arial"/>
          <w:color w:val="0000FF"/>
        </w:rPr>
        <w:t>Finally, 10 children undergoing PD were evaluated before and 18 months after limited correction of anemia with ESA (baseline Hb, 5.9 ± 0.9 g/dL versus final Hb, 8.7 ± 1.5 g/dL). Patients showed a significant slowing of heart rate, P &lt; 0.01, but no improvement for other cardiac parameters.(2006)</w:t>
      </w:r>
    </w:p>
    <w:p w:rsidR="00FB45E9" w:rsidRPr="00FB45E9" w:rsidRDefault="00FB45E9" w:rsidP="00FB45E9">
      <w:pPr>
        <w:ind w:left="0" w:firstLine="0"/>
        <w:rPr>
          <w:rFonts w:ascii="Arial Narrow" w:hAnsi="Arial Narrow" w:cs="Arial"/>
          <w:color w:val="0000FF"/>
        </w:rPr>
      </w:pPr>
    </w:p>
    <w:p w:rsidR="00FB45E9" w:rsidRPr="00FB45E9" w:rsidRDefault="00FB45E9" w:rsidP="00FB45E9">
      <w:pPr>
        <w:rPr>
          <w:rFonts w:ascii="Arial Narrow" w:hAnsi="Arial Narrow" w:cs="Arial"/>
          <w:color w:val="0000FF"/>
        </w:rPr>
      </w:pPr>
      <w:r w:rsidRPr="00FB45E9">
        <w:rPr>
          <w:rFonts w:ascii="Arial Narrow" w:hAnsi="Arial Narrow" w:cs="Arial"/>
          <w:color w:val="0000FF"/>
        </w:rPr>
        <w:t>Furthermore, and as previously stated by the Work Group, we affirm the comments made regarding the choice of Hb target; in particular, that it should remain an opinion-based CPR and that any individual patient target should be chosen with consideration made for uniquely pediatric factors, including, but not restricted to, age and sex-specific Hb distribution, neurocognitive development, school attendance, exercise capacity, and family support.</w:t>
      </w:r>
    </w:p>
    <w:p w:rsidR="00FB45E9" w:rsidRPr="00FB45E9" w:rsidRDefault="00FB45E9" w:rsidP="00FB45E9">
      <w:pPr>
        <w:rPr>
          <w:rFonts w:ascii="Arial Narrow" w:hAnsi="Arial Narrow" w:cs="Arial"/>
          <w:color w:val="0000FF"/>
        </w:rPr>
      </w:pPr>
    </w:p>
    <w:p w:rsidR="00FB45E9" w:rsidRDefault="00FB45E9" w:rsidP="00FB45E9">
      <w:pPr>
        <w:rPr>
          <w:rFonts w:ascii="Arial Narrow" w:hAnsi="Arial Narrow" w:cs="Arial"/>
          <w:color w:val="0000FF"/>
        </w:rPr>
      </w:pPr>
      <w:r w:rsidRPr="00FB45E9">
        <w:rPr>
          <w:rFonts w:ascii="Arial Narrow" w:hAnsi="Arial Narrow" w:cs="Arial"/>
          <w:color w:val="0000FF"/>
        </w:rPr>
        <w:t xml:space="preserve">With respect to adult data regarding the safety of targeting Hb levels greater than 13.0 g/dL; although the Work Group acknowledges similar concerns might exist in children, there are currently no studies to support an increased risk at Hb levels at or greater than 13.0 g/dL in this group. However, given the evidence that is available in relation to increased risk of cardiovascular death and coronary artery calcification in older children/young adults with CKD, it would seem prudent to carefully weigh the individual child’s likely benefit of an incremental increase </w:t>
      </w:r>
      <w:r>
        <w:rPr>
          <w:rFonts w:ascii="Arial Narrow" w:hAnsi="Arial Narrow" w:cs="Arial"/>
          <w:color w:val="0000FF"/>
        </w:rPr>
        <w:t>in quality of life, school performance, or exercise tolerance from a Hb level greater than 13.0 g/dL, to their uncertain, but potentially devastating, risk of a myocardial event, stroke, or loss of venous access.</w:t>
      </w:r>
    </w:p>
    <w:p w:rsidR="00FB45E9" w:rsidRDefault="00FB45E9" w:rsidP="00FB45E9">
      <w:pPr>
        <w:rPr>
          <w:rFonts w:ascii="Arial Narrow" w:hAnsi="Arial Narrow" w:cs="Arial"/>
          <w:color w:val="0000FF"/>
        </w:rPr>
      </w:pPr>
    </w:p>
    <w:p w:rsidR="00FB45E9" w:rsidRDefault="00FB45E9" w:rsidP="00FB45E9">
      <w:pPr>
        <w:rPr>
          <w:rFonts w:ascii="Arial Narrow" w:hAnsi="Arial Narrow" w:cs="Arial"/>
          <w:color w:val="0000FF"/>
        </w:rPr>
      </w:pPr>
      <w:r>
        <w:rPr>
          <w:rFonts w:ascii="Arial Narrow" w:hAnsi="Arial Narrow" w:cs="Arial"/>
          <w:color w:val="0000FF"/>
        </w:rPr>
        <w:t>National Kidney Foundation.  KDOQI Clinical Practice Guidelines and Clinical Practice Recommendations for Anemia in Chronic Kidney Disease: 2007 Update of Hemoglobin Target. Am J Kidney Dis 50, No 3 (September), 2007.</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FB45E9" w:rsidRDefault="00FB45E9" w:rsidP="00FB45E9">
      <w:pPr>
        <w:rPr>
          <w:rFonts w:ascii="Arial Narrow" w:hAnsi="Arial Narrow" w:cs="Arial"/>
          <w:i/>
        </w:rPr>
      </w:pPr>
      <w:r>
        <w:rPr>
          <w:rFonts w:ascii="Arial Narrow" w:hAnsi="Arial Narrow" w:cs="Arial"/>
          <w:color w:val="0000FF"/>
        </w:rPr>
        <w:t>There continues to be a lack of evidence to support the assignment of benefits and harms to any given level of Hb for an individual child. This difficulty is compounded by age and sex variation in Hb values in children and the need to address metabolic, growth, and developmental issues in children that are not part of the adult data sets.</w:t>
      </w:r>
    </w:p>
    <w:p w:rsidR="00FB45E9" w:rsidRDefault="00FB45E9" w:rsidP="00FB45E9">
      <w:pPr>
        <w:rPr>
          <w:rFonts w:ascii="Arial Narrow" w:hAnsi="Arial Narrow" w:cs="Arial"/>
          <w:color w:val="0000FF"/>
        </w:rPr>
      </w:pPr>
    </w:p>
    <w:p w:rsidR="00FB45E9" w:rsidRDefault="00FB45E9" w:rsidP="00FB45E9">
      <w:pPr>
        <w:rPr>
          <w:rFonts w:ascii="Arial Narrow" w:hAnsi="Arial Narrow" w:cs="Arial"/>
          <w:color w:val="0000FF"/>
        </w:rPr>
      </w:pPr>
      <w:r>
        <w:rPr>
          <w:rFonts w:ascii="Arial Narrow" w:hAnsi="Arial Narrow" w:cs="Arial"/>
          <w:color w:val="0000FF"/>
        </w:rPr>
        <w:t>Furthermore, and as previously stated by the [NKF] Work Group, we affirm the comments made regarding the choice of Hb target; in particular, that it should remain an opinion-based CPR and that any individual patient target should be chosen with consideration made for uniquely pediatric factors, including, but not restricted to, age and sex-specific Hb distribution, neurocognitive development, school attendance, exercise capacity, and family support.</w:t>
      </w:r>
    </w:p>
    <w:p w:rsidR="00FB45E9" w:rsidRDefault="00FB45E9" w:rsidP="00FB45E9">
      <w:pPr>
        <w:rPr>
          <w:rFonts w:ascii="Arial Narrow" w:hAnsi="Arial Narrow" w:cs="Arial"/>
          <w:color w:val="0000FF"/>
        </w:rPr>
      </w:pPr>
    </w:p>
    <w:p w:rsidR="00FB45E9" w:rsidRDefault="00FB45E9" w:rsidP="00FB45E9">
      <w:pPr>
        <w:rPr>
          <w:rFonts w:ascii="Arial Narrow" w:hAnsi="Arial Narrow" w:cs="Arial"/>
          <w:color w:val="0000FF"/>
        </w:rPr>
      </w:pPr>
      <w:r>
        <w:rPr>
          <w:rFonts w:ascii="Arial Narrow" w:hAnsi="Arial Narrow" w:cs="Arial"/>
          <w:color w:val="0000FF"/>
        </w:rPr>
        <w:t>With respect to adult data regarding the safety of targeting Hb levels greater than 13.0 g/dL; although the Work Group acknowledges similar concerns might exist in children, there are currently no studies to support an increased risk at Hb levels at or greater than 13.0 g/dL in this group. However, given the evidence that is available in relation to increased risk of cardiovascular death and coronary artery calcification in older children/young adults with CKD, it would seem prudent to carefully weigh the individual child’s likely benefit of an incremental increase in quality of life, school performance, or exercise tolerance from a Hb level greater than 13.0 g/dL, to their uncertain, but potentially devastating, risk of a myocardial event, stroke, or loss of venous access.</w:t>
      </w:r>
    </w:p>
    <w:p w:rsidR="00FB45E9" w:rsidRDefault="00FB45E9" w:rsidP="00FB45E9">
      <w:pPr>
        <w:rPr>
          <w:rFonts w:ascii="Arial Narrow" w:hAnsi="Arial Narrow" w:cs="Arial"/>
          <w:color w:val="0000FF"/>
        </w:rPr>
      </w:pPr>
    </w:p>
    <w:p w:rsidR="00FB45E9" w:rsidRPr="00FB45E9" w:rsidRDefault="00FB45E9" w:rsidP="00FB45E9">
      <w:pPr>
        <w:rPr>
          <w:rFonts w:ascii="Arial Narrow" w:hAnsi="Arial Narrow" w:cs="Arial"/>
          <w:color w:val="0000FF"/>
        </w:rPr>
      </w:pPr>
      <w:r>
        <w:rPr>
          <w:rFonts w:ascii="Arial Narrow" w:hAnsi="Arial Narrow" w:cs="Arial"/>
          <w:color w:val="0000FF"/>
        </w:rPr>
        <w:t>National Kidney Foundation.  KDOQI Clinical Practice Guidelines and Clinical Practice Recommendations for Anemia in Chronic Kidney Disease: 2007 Update of Hemoglobin Target. Am J Kidney Dis 50, No 3 (September), 2007.</w:t>
      </w:r>
    </w:p>
    <w:p w:rsidR="00FB45E9" w:rsidRDefault="00FB45E9" w:rsidP="00FB45E9">
      <w:pPr>
        <w:rPr>
          <w:rFonts w:ascii="Arial Narrow" w:hAnsi="Arial Narrow" w:cs="Arial"/>
          <w:bCs/>
          <w:color w:val="0000FF"/>
        </w:rPr>
      </w:pPr>
    </w:p>
    <w:p w:rsidR="00FB45E9" w:rsidRDefault="00FB45E9" w:rsidP="00FB45E9">
      <w:pPr>
        <w:rPr>
          <w:rFonts w:ascii="Arial Narrow" w:hAnsi="Arial Narrow" w:cs="Arial"/>
          <w:bCs/>
          <w:color w:val="0000FF"/>
        </w:rPr>
      </w:pPr>
      <w:r>
        <w:rPr>
          <w:rFonts w:ascii="Arial Narrow" w:hAnsi="Arial Narrow" w:cs="Arial"/>
          <w:bCs/>
          <w:color w:val="0000FF"/>
        </w:rPr>
        <w:t>Anemia reduces physical capacity, well-being, neurocognitive function, and energy level and worsens quality of life both in predialysis and dialysis patients. Anemia also induces adaptive cardiovascular mechanisms to maintain tissue oxygen supply. This leads to left ventricular hypertrophy, left ventricular dilation, and myocardial ischemia, which are risk factors for cardiovascular disease and death. It is plausible that reversing anemia may reduce this risk.(1)</w:t>
      </w:r>
    </w:p>
    <w:p w:rsidR="00FB45E9" w:rsidRDefault="00FB45E9" w:rsidP="00FB45E9">
      <w:pPr>
        <w:rPr>
          <w:rFonts w:ascii="Arial Narrow" w:hAnsi="Arial Narrow" w:cs="Arial"/>
          <w:bCs/>
          <w:color w:val="0000FF"/>
        </w:rPr>
      </w:pPr>
    </w:p>
    <w:p w:rsidR="00FB45E9" w:rsidRDefault="00FB45E9" w:rsidP="00FB45E9">
      <w:pPr>
        <w:rPr>
          <w:rFonts w:ascii="Arial Narrow" w:hAnsi="Arial Narrow" w:cs="Arial"/>
          <w:bCs/>
          <w:color w:val="0000FF"/>
        </w:rPr>
      </w:pPr>
      <w:r>
        <w:rPr>
          <w:rFonts w:ascii="Arial Narrow" w:hAnsi="Arial Narrow" w:cs="Arial"/>
          <w:bCs/>
          <w:color w:val="0000FF"/>
        </w:rPr>
        <w:t>Aiming for a Hb target within narrow boundaries in ESA-treated patients requires frequent dose adjustments in many patients. More than 60% of patients receiving ESA therapy with Hb targets between 11.0 and 12.0 g/dL require between 6 and 9 dose changes per year. No comparative information is available to support evidence-based guidelines for the dosing and administration of ESA therapy to achieve a target Hb. However, descriptive information from quality improvement interventions and RCT treatment protocols may be helpful to practitioners in weighing options that may best fit patient needs and practice settings.(2)</w:t>
      </w:r>
    </w:p>
    <w:p w:rsidR="00FB45E9" w:rsidRDefault="00FB45E9" w:rsidP="00FB45E9">
      <w:pPr>
        <w:rPr>
          <w:rFonts w:ascii="Arial Narrow" w:hAnsi="Arial Narrow" w:cs="Arial"/>
          <w:bCs/>
          <w:color w:val="0000FF"/>
        </w:rPr>
      </w:pPr>
    </w:p>
    <w:p w:rsidR="00FB45E9" w:rsidRDefault="00FB45E9" w:rsidP="00FB45E9">
      <w:pPr>
        <w:rPr>
          <w:rFonts w:ascii="Arial Narrow" w:hAnsi="Arial Narrow" w:cs="Arial"/>
          <w:bCs/>
          <w:color w:val="0000FF"/>
        </w:rPr>
      </w:pPr>
      <w:r>
        <w:rPr>
          <w:rFonts w:ascii="Arial Narrow" w:hAnsi="Arial Narrow" w:cs="Arial"/>
          <w:bCs/>
          <w:color w:val="0000FF"/>
        </w:rPr>
        <w:t>1. Strippoli GFM, Craig JC, Manno C, Schena FP.  Hemoglobin Targets for the Anemia of Chronic Kidney Disease: A Meta-analysis of Randomized, Controlled Trials. J Am Soc Nephrol 15:3154-3165, 2004.</w:t>
      </w:r>
    </w:p>
    <w:p w:rsidR="00FB45E9" w:rsidRDefault="00FB45E9" w:rsidP="00FB45E9">
      <w:pPr>
        <w:rPr>
          <w:rFonts w:ascii="Arial Narrow" w:hAnsi="Arial Narrow" w:cs="Arial"/>
          <w:bCs/>
          <w:color w:val="0000FF"/>
        </w:rPr>
      </w:pPr>
    </w:p>
    <w:p w:rsidR="00FB45E9" w:rsidRDefault="00FB45E9" w:rsidP="00FB45E9">
      <w:pPr>
        <w:rPr>
          <w:rFonts w:ascii="Arial Narrow" w:hAnsi="Arial Narrow" w:cs="Arial"/>
          <w:bCs/>
          <w:color w:val="0000FF"/>
        </w:rPr>
      </w:pPr>
      <w:r>
        <w:rPr>
          <w:rFonts w:ascii="Arial Narrow" w:hAnsi="Arial Narrow" w:cs="Arial"/>
          <w:bCs/>
          <w:color w:val="0000FF"/>
        </w:rPr>
        <w:t>2. National Kidney Foundation.  KDOQI Clinical Practice Guidelines and Clinical Practice Recommendations for Anemia in Chronic Kidney Disease: 2007 Update of Hemoglobin Target. Am J Kidney Dis 50, No 3 (September), 2007.</w:t>
      </w: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FB45E9" w:rsidRDefault="00FB45E9" w:rsidP="00FB45E9">
      <w:pPr>
        <w:rPr>
          <w:rFonts w:ascii="Arial Narrow" w:hAnsi="Arial Narrow" w:cs="Arial"/>
          <w:b/>
        </w:rPr>
      </w:pPr>
      <w:r>
        <w:rPr>
          <w:rFonts w:ascii="Arial Narrow" w:hAnsi="Arial Narrow" w:cs="Arial"/>
          <w:color w:val="0000FF"/>
        </w:rPr>
        <w:t>There continues to be a lack of evidence to support the assignment of benefits and harms to any given level of Hb for an individual child. This difficulty is compounded by age and sex variation in Hb values in children and the need to address metabolic, growth, and developmental issues in children that are not part of the adult data sets.</w:t>
      </w:r>
    </w:p>
    <w:p w:rsidR="00FB45E9" w:rsidRDefault="00FB45E9" w:rsidP="00FB45E9">
      <w:pPr>
        <w:ind w:left="0" w:firstLine="0"/>
        <w:rPr>
          <w:rFonts w:ascii="Arial Narrow" w:hAnsi="Arial Narrow" w:cs="Arial"/>
          <w:color w:val="0000FF"/>
        </w:rPr>
      </w:pPr>
    </w:p>
    <w:p w:rsidR="00FB45E9" w:rsidRDefault="00FB45E9" w:rsidP="00FB45E9">
      <w:pPr>
        <w:rPr>
          <w:rFonts w:ascii="Arial Narrow" w:hAnsi="Arial Narrow" w:cs="Arial"/>
          <w:color w:val="0000FF"/>
        </w:rPr>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BD3ABB" w:rsidRDefault="00FB45E9" w:rsidP="00BD3ABB">
      <w:pPr>
        <w:autoSpaceDE w:val="0"/>
        <w:autoSpaceDN w:val="0"/>
        <w:adjustRightInd w:val="0"/>
        <w:rPr>
          <w:rFonts w:ascii="Arial Narrow" w:eastAsia="Calibri" w:hAnsi="Arial Narrow" w:cs="Arial"/>
          <w:color w:val="0000FF"/>
        </w:rPr>
      </w:pPr>
      <w:r w:rsidRPr="00FB45E9">
        <w:rPr>
          <w:rFonts w:ascii="Arial Narrow" w:hAnsi="Arial Narrow" w:cs="Arial"/>
          <w:color w:val="0000FF"/>
        </w:rPr>
        <w:t xml:space="preserve">An analysis of the </w:t>
      </w:r>
      <w:r w:rsidRPr="00FB45E9">
        <w:rPr>
          <w:rFonts w:ascii="Arial Narrow" w:eastAsia="Calibri" w:hAnsi="Arial Narrow" w:cs="Arial"/>
          <w:color w:val="0000FF"/>
        </w:rPr>
        <w:t>International Pediatric Peritoneal Dialysis Network</w:t>
      </w:r>
      <w:r w:rsidRPr="00FB45E9">
        <w:rPr>
          <w:rFonts w:ascii="Arial Narrow" w:hAnsi="Arial Narrow" w:cs="Arial"/>
          <w:color w:val="0000FF"/>
        </w:rPr>
        <w:t xml:space="preserve"> registry between April 2007 and April 2011 of a total of 1394 pediatric patients age 1 month to 20 years (median age, 10.2 years; interquartile range [IQR], 3.9–14.4 years) from 81 pediatric dialysis centers in 30 countries found that </w:t>
      </w:r>
      <w:r w:rsidRPr="00FB45E9">
        <w:rPr>
          <w:rFonts w:ascii="Arial Narrow" w:eastAsia="Calibri" w:hAnsi="Arial Narrow" w:cs="Arial"/>
          <w:color w:val="0000FF"/>
        </w:rPr>
        <w:t>25% of patients had hemoglobin levels below target (10 g/dl or ,9.5 g/dl in children older or younger than 2 years, respectively). Low hemoglobin levels were associated with low urine output, low serum albumin, high parathyroid hormone, high ferritin, and the use of bio incompatible PD fluid. Erythropoiesis-stimulating agents (ESAs) were prescribed to 92% of patients, and neither the type of ESA nor the dosing interval appeared to affect efficacy. ESA sensitivity was positively associated with residual diuresi</w:t>
      </w:r>
      <w:bookmarkStart w:id="12" w:name="_GoBack"/>
      <w:bookmarkEnd w:id="12"/>
      <w:r w:rsidRPr="00FB45E9">
        <w:rPr>
          <w:rFonts w:ascii="Arial Narrow" w:eastAsia="Calibri" w:hAnsi="Arial Narrow" w:cs="Arial"/>
          <w:color w:val="0000FF"/>
        </w:rPr>
        <w:t>s and serum albumin and inversely associated with serum parathyroid hormone and ferritin. The prevalence of hypertension and left ventricular hypertrophy increased with the degree of anemia.</w:t>
      </w:r>
      <w:r w:rsidR="00BD3ABB">
        <w:rPr>
          <w:rFonts w:ascii="Arial Narrow" w:eastAsia="Calibri" w:hAnsi="Arial Narrow" w:cs="Arial"/>
          <w:color w:val="0000FF"/>
        </w:rPr>
        <w:t xml:space="preserve"> The </w:t>
      </w:r>
      <w:r w:rsidR="00BD3ABB" w:rsidRPr="00BD3ABB">
        <w:rPr>
          <w:rFonts w:ascii="Arial Narrow" w:eastAsia="Calibri" w:hAnsi="Arial Narrow" w:cs="Arial"/>
          <w:color w:val="0000FF"/>
        </w:rPr>
        <w:t>study adds imp</w:t>
      </w:r>
      <w:r w:rsidR="00BD3ABB">
        <w:rPr>
          <w:rFonts w:ascii="Arial Narrow" w:eastAsia="Calibri" w:hAnsi="Arial Narrow" w:cs="Arial"/>
          <w:color w:val="0000FF"/>
        </w:rPr>
        <w:t xml:space="preserve">ortant pediatric information to </w:t>
      </w:r>
      <w:r w:rsidR="00BD3ABB" w:rsidRPr="00BD3ABB">
        <w:rPr>
          <w:rFonts w:ascii="Arial Narrow" w:eastAsia="Calibri" w:hAnsi="Arial Narrow" w:cs="Arial"/>
          <w:color w:val="0000FF"/>
        </w:rPr>
        <w:t>the ongoing discussion about t</w:t>
      </w:r>
      <w:r w:rsidR="00BD3ABB">
        <w:rPr>
          <w:rFonts w:ascii="Arial Narrow" w:eastAsia="Calibri" w:hAnsi="Arial Narrow" w:cs="Arial"/>
          <w:color w:val="0000FF"/>
        </w:rPr>
        <w:t xml:space="preserve">he “optimal” Hb target range in </w:t>
      </w:r>
      <w:r w:rsidR="00BD3ABB" w:rsidRPr="00BD3ABB">
        <w:rPr>
          <w:rFonts w:ascii="Arial Narrow" w:eastAsia="Calibri" w:hAnsi="Arial Narrow" w:cs="Arial"/>
          <w:color w:val="0000FF"/>
        </w:rPr>
        <w:t>dialyzed patients receiving ESA. De</w:t>
      </w:r>
      <w:r w:rsidR="00BD3ABB">
        <w:rPr>
          <w:rFonts w:ascii="Arial Narrow" w:eastAsia="Calibri" w:hAnsi="Arial Narrow" w:cs="Arial"/>
          <w:color w:val="0000FF"/>
        </w:rPr>
        <w:t xml:space="preserve">spite the low overall mortality </w:t>
      </w:r>
      <w:r w:rsidR="00BD3ABB" w:rsidRPr="00BD3ABB">
        <w:rPr>
          <w:rFonts w:ascii="Arial Narrow" w:eastAsia="Calibri" w:hAnsi="Arial Narrow" w:cs="Arial"/>
          <w:color w:val="0000FF"/>
        </w:rPr>
        <w:t>of dialyzed children, our glo</w:t>
      </w:r>
      <w:r w:rsidR="00BD3ABB">
        <w:rPr>
          <w:rFonts w:ascii="Arial Narrow" w:eastAsia="Calibri" w:hAnsi="Arial Narrow" w:cs="Arial"/>
          <w:color w:val="0000FF"/>
        </w:rPr>
        <w:t xml:space="preserve">bal prospective data collection </w:t>
      </w:r>
      <w:r w:rsidR="00BD3ABB" w:rsidRPr="00BD3ABB">
        <w:rPr>
          <w:rFonts w:ascii="Arial Narrow" w:eastAsia="Calibri" w:hAnsi="Arial Narrow" w:cs="Arial"/>
          <w:color w:val="0000FF"/>
        </w:rPr>
        <w:t>allowed a valid analysis of pa</w:t>
      </w:r>
      <w:r w:rsidR="00BD3ABB">
        <w:rPr>
          <w:rFonts w:ascii="Arial Narrow" w:eastAsia="Calibri" w:hAnsi="Arial Narrow" w:cs="Arial"/>
          <w:color w:val="0000FF"/>
        </w:rPr>
        <w:t xml:space="preserve">tient survival with respect to </w:t>
      </w:r>
      <w:r w:rsidR="00BD3ABB" w:rsidRPr="00BD3ABB">
        <w:rPr>
          <w:rFonts w:ascii="Arial Narrow" w:eastAsia="Calibri" w:hAnsi="Arial Narrow" w:cs="Arial"/>
          <w:color w:val="0000FF"/>
        </w:rPr>
        <w:t>anemia management. A comparison of different achieved Hb</w:t>
      </w:r>
      <w:r w:rsidR="00BD3ABB">
        <w:rPr>
          <w:rFonts w:ascii="Arial Narrow" w:eastAsia="Calibri" w:hAnsi="Arial Narrow" w:cs="Arial"/>
          <w:color w:val="0000FF"/>
        </w:rPr>
        <w:t xml:space="preserve"> </w:t>
      </w:r>
      <w:r w:rsidR="00BD3ABB" w:rsidRPr="00BD3ABB">
        <w:rPr>
          <w:rFonts w:ascii="Arial Narrow" w:eastAsia="Calibri" w:hAnsi="Arial Narrow" w:cs="Arial"/>
          <w:color w:val="0000FF"/>
        </w:rPr>
        <w:t>ranges revealed a significant increase in patient mortality associated</w:t>
      </w:r>
      <w:r w:rsidR="00BD3ABB">
        <w:rPr>
          <w:rFonts w:ascii="Arial Narrow" w:eastAsia="Calibri" w:hAnsi="Arial Narrow" w:cs="Arial"/>
          <w:color w:val="0000FF"/>
        </w:rPr>
        <w:t xml:space="preserve"> </w:t>
      </w:r>
      <w:r w:rsidR="00BD3ABB" w:rsidRPr="00BD3ABB">
        <w:rPr>
          <w:rFonts w:ascii="Arial Narrow" w:eastAsia="Calibri" w:hAnsi="Arial Narrow" w:cs="Arial"/>
          <w:color w:val="0000FF"/>
        </w:rPr>
        <w:t xml:space="preserve">with a mean achieved </w:t>
      </w:r>
      <w:r w:rsidR="00BD3ABB">
        <w:rPr>
          <w:rFonts w:ascii="Arial Narrow" w:eastAsia="Calibri" w:hAnsi="Arial Narrow" w:cs="Arial"/>
          <w:color w:val="0000FF"/>
        </w:rPr>
        <w:t xml:space="preserve">Hb ,11 g/dl. This finding is in </w:t>
      </w:r>
      <w:r w:rsidR="00BD3ABB" w:rsidRPr="00BD3ABB">
        <w:rPr>
          <w:rFonts w:ascii="Arial Narrow" w:eastAsia="Calibri" w:hAnsi="Arial Narrow" w:cs="Arial"/>
          <w:color w:val="0000FF"/>
        </w:rPr>
        <w:t xml:space="preserve">line with previous observational </w:t>
      </w:r>
      <w:r w:rsidR="00BD3ABB">
        <w:rPr>
          <w:rFonts w:ascii="Arial Narrow" w:eastAsia="Calibri" w:hAnsi="Arial Narrow" w:cs="Arial"/>
          <w:color w:val="0000FF"/>
        </w:rPr>
        <w:t>studies in adults and children.</w:t>
      </w:r>
      <w:r w:rsidR="00BD3ABB">
        <w:rPr>
          <w:rFonts w:ascii="Arial Narrow" w:eastAsia="Calibri" w:hAnsi="Arial Narrow" w:cs="Arial"/>
          <w:color w:val="0000FF"/>
        </w:rPr>
        <w:br/>
      </w:r>
    </w:p>
    <w:p w:rsidR="00BD3ABB" w:rsidRPr="00BD3ABB" w:rsidRDefault="00BD3ABB" w:rsidP="002E2177">
      <w:pPr>
        <w:ind w:left="0" w:firstLine="0"/>
        <w:rPr>
          <w:b/>
          <w:color w:val="0000FF"/>
        </w:rPr>
      </w:pPr>
      <w:r w:rsidRPr="00BD3ABB">
        <w:rPr>
          <w:color w:val="0000FF"/>
        </w:rPr>
        <w:t xml:space="preserve">Borzych-Duzalka, D., Bilginer, Y., Ha, I. S., Bak, M., Rees, L., Cano, F., ... &amp; Schaefer, F. (2013). Management of anemia in children receiving chronic peritoneal dialysis. </w:t>
      </w:r>
      <w:r w:rsidRPr="00BD3ABB">
        <w:rPr>
          <w:i/>
          <w:iCs/>
          <w:color w:val="0000FF"/>
        </w:rPr>
        <w:t>Journal of the American Society of Nephrology</w:t>
      </w:r>
      <w:r w:rsidRPr="00BD3ABB">
        <w:rPr>
          <w:color w:val="0000FF"/>
        </w:rPr>
        <w:t xml:space="preserve">, </w:t>
      </w:r>
      <w:r w:rsidRPr="00BD3ABB">
        <w:rPr>
          <w:i/>
          <w:iCs/>
          <w:color w:val="0000FF"/>
        </w:rPr>
        <w:t>24</w:t>
      </w:r>
      <w:r w:rsidRPr="00BD3ABB">
        <w:rPr>
          <w:color w:val="0000FF"/>
        </w:rPr>
        <w:t>(4), 665-676.</w:t>
      </w: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3" w:name="Section1a8"/>
      <w:bookmarkEnd w:id="13"/>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EF0328">
      <w:rPr>
        <w:noProof/>
      </w:rPr>
      <w:t>8</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B70BE"/>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5E0F"/>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26DFF"/>
    <w:rsid w:val="00634768"/>
    <w:rsid w:val="0063596F"/>
    <w:rsid w:val="006476F7"/>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91F58"/>
    <w:rsid w:val="00B97CA3"/>
    <w:rsid w:val="00BA579E"/>
    <w:rsid w:val="00BD3ABB"/>
    <w:rsid w:val="00BE2295"/>
    <w:rsid w:val="00BE6373"/>
    <w:rsid w:val="00BF533A"/>
    <w:rsid w:val="00C2613D"/>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D59F7"/>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0328"/>
    <w:rsid w:val="00EF2CEF"/>
    <w:rsid w:val="00F1092D"/>
    <w:rsid w:val="00F42C20"/>
    <w:rsid w:val="00F431D8"/>
    <w:rsid w:val="00F67706"/>
    <w:rsid w:val="00F92D75"/>
    <w:rsid w:val="00F97327"/>
    <w:rsid w:val="00FA296F"/>
    <w:rsid w:val="00FA7323"/>
    <w:rsid w:val="00FB45E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2E5E0F"/>
    <w:rPr>
      <w:b/>
      <w:bCs/>
    </w:rPr>
  </w:style>
  <w:style w:type="character" w:styleId="Emphasis">
    <w:name w:val="Emphasis"/>
    <w:basedOn w:val="DefaultParagraphFont"/>
    <w:uiPriority w:val="20"/>
    <w:qFormat/>
    <w:rsid w:val="006476F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2E5E0F"/>
    <w:rPr>
      <w:b/>
      <w:bCs/>
    </w:rPr>
  </w:style>
  <w:style w:type="character" w:styleId="Emphasis">
    <w:name w:val="Emphasis"/>
    <w:basedOn w:val="DefaultParagraphFont"/>
    <w:uiPriority w:val="20"/>
    <w:qFormat/>
    <w:rsid w:val="006476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0788">
      <w:bodyDiv w:val="1"/>
      <w:marLeft w:val="0"/>
      <w:marRight w:val="0"/>
      <w:marTop w:val="0"/>
      <w:marBottom w:val="0"/>
      <w:divBdr>
        <w:top w:val="none" w:sz="0" w:space="0" w:color="auto"/>
        <w:left w:val="none" w:sz="0" w:space="0" w:color="auto"/>
        <w:bottom w:val="none" w:sz="0" w:space="0" w:color="auto"/>
        <w:right w:val="none" w:sz="0" w:space="0" w:color="auto"/>
      </w:divBdr>
    </w:div>
    <w:div w:id="1225752449">
      <w:bodyDiv w:val="1"/>
      <w:marLeft w:val="0"/>
      <w:marRight w:val="0"/>
      <w:marTop w:val="0"/>
      <w:marBottom w:val="0"/>
      <w:divBdr>
        <w:top w:val="none" w:sz="0" w:space="0" w:color="auto"/>
        <w:left w:val="none" w:sz="0" w:space="0" w:color="auto"/>
        <w:bottom w:val="none" w:sz="0" w:space="0" w:color="auto"/>
        <w:right w:val="none" w:sz="0" w:space="0" w:color="auto"/>
      </w:divBdr>
    </w:div>
    <w:div w:id="1459689111">
      <w:bodyDiv w:val="1"/>
      <w:marLeft w:val="0"/>
      <w:marRight w:val="0"/>
      <w:marTop w:val="0"/>
      <w:marBottom w:val="0"/>
      <w:divBdr>
        <w:top w:val="none" w:sz="0" w:space="0" w:color="auto"/>
        <w:left w:val="none" w:sz="0" w:space="0" w:color="auto"/>
        <w:bottom w:val="none" w:sz="0" w:space="0" w:color="auto"/>
        <w:right w:val="none" w:sz="0" w:space="0" w:color="auto"/>
      </w:divBdr>
    </w:div>
    <w:div w:id="1539006462">
      <w:bodyDiv w:val="1"/>
      <w:marLeft w:val="0"/>
      <w:marRight w:val="0"/>
      <w:marTop w:val="0"/>
      <w:marBottom w:val="0"/>
      <w:divBdr>
        <w:top w:val="none" w:sz="0" w:space="0" w:color="auto"/>
        <w:left w:val="none" w:sz="0" w:space="0" w:color="auto"/>
        <w:bottom w:val="none" w:sz="0" w:space="0" w:color="auto"/>
        <w:right w:val="none" w:sz="0" w:space="0" w:color="auto"/>
      </w:divBdr>
    </w:div>
    <w:div w:id="1683823080">
      <w:bodyDiv w:val="1"/>
      <w:marLeft w:val="0"/>
      <w:marRight w:val="0"/>
      <w:marTop w:val="0"/>
      <w:marBottom w:val="0"/>
      <w:divBdr>
        <w:top w:val="none" w:sz="0" w:space="0" w:color="auto"/>
        <w:left w:val="none" w:sz="0" w:space="0" w:color="auto"/>
        <w:bottom w:val="none" w:sz="0" w:space="0" w:color="auto"/>
        <w:right w:val="none" w:sz="0" w:space="0" w:color="auto"/>
      </w:divBdr>
    </w:div>
    <w:div w:id="1762750603">
      <w:bodyDiv w:val="1"/>
      <w:marLeft w:val="0"/>
      <w:marRight w:val="0"/>
      <w:marTop w:val="0"/>
      <w:marBottom w:val="0"/>
      <w:divBdr>
        <w:top w:val="none" w:sz="0" w:space="0" w:color="auto"/>
        <w:left w:val="none" w:sz="0" w:space="0" w:color="auto"/>
        <w:bottom w:val="none" w:sz="0" w:space="0" w:color="auto"/>
        <w:right w:val="none" w:sz="0" w:space="0" w:color="auto"/>
      </w:divBdr>
    </w:div>
    <w:div w:id="1899779037">
      <w:bodyDiv w:val="1"/>
      <w:marLeft w:val="0"/>
      <w:marRight w:val="0"/>
      <w:marTop w:val="0"/>
      <w:marBottom w:val="0"/>
      <w:divBdr>
        <w:top w:val="none" w:sz="0" w:space="0" w:color="auto"/>
        <w:left w:val="none" w:sz="0" w:space="0" w:color="auto"/>
        <w:bottom w:val="none" w:sz="0" w:space="0" w:color="auto"/>
        <w:right w:val="none" w:sz="0" w:space="0" w:color="auto"/>
      </w:divBdr>
    </w:div>
    <w:div w:id="191889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2.kidney.org/professionals/KDOQI/guidelines_anemiaUP/guide1.ht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www2.kidney.org/professionals/KDOQI/guidelines_anemiaUP/guide2.htm" TargetMode="External"/><Relationship Id="rId10" Type="http://schemas.openxmlformats.org/officeDocument/2006/relationships/hyperlink" Target="http://www.uspreventiveservicestaskforce.org/uspstf/grades.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113FAA"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13FAA"/>
    <w:rsid w:val="00160241"/>
    <w:rsid w:val="002B5F47"/>
    <w:rsid w:val="003A1E4B"/>
    <w:rsid w:val="00455EB5"/>
    <w:rsid w:val="00461C1C"/>
    <w:rsid w:val="004E2027"/>
    <w:rsid w:val="005F21F3"/>
    <w:rsid w:val="008F6A9B"/>
    <w:rsid w:val="009325F1"/>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25F1"/>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525DAA1AAA7847C7927BC41E8BCCD053">
    <w:name w:val="525DAA1AAA7847C7927BC41E8BCCD053"/>
    <w:rsid w:val="009325F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25F1"/>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525DAA1AAA7847C7927BC41E8BCCD053">
    <w:name w:val="525DAA1AAA7847C7927BC41E8BCCD053"/>
    <w:rsid w:val="009325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F0B27-317A-43FD-8218-2433858F2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4357</Words>
  <Characters>24841</Characters>
  <Application>Microsoft Office Word</Application>
  <DocSecurity>4</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29140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Amy Beckrich</cp:lastModifiedBy>
  <cp:revision>2</cp:revision>
  <dcterms:created xsi:type="dcterms:W3CDTF">2015-04-20T14:52:00Z</dcterms:created>
  <dcterms:modified xsi:type="dcterms:W3CDTF">2015-04-20T14:52:00Z</dcterms:modified>
</cp:coreProperties>
</file>