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637530">
            <w:rPr>
              <w:rStyle w:val="Style1"/>
            </w:rPr>
            <w:t>0255</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637530" w:rsidRPr="00310DB7">
            <w:rPr>
              <w:rFonts w:ascii="Calibri" w:hAnsi="Calibri"/>
              <w:szCs w:val="20"/>
            </w:rPr>
            <w:t>Measurement of Serum Phosphorus Concentration</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7F5041"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7F5041"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7F5041"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7F5041"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7F5041"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7F504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7F504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7F504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Pr="00D250D3" w:rsidRDefault="00C355B9" w:rsidP="00DB3627">
      <w:pPr>
        <w:autoSpaceDE w:val="0"/>
        <w:autoSpaceDN w:val="0"/>
        <w:adjustRightInd w:val="0"/>
        <w:spacing w:after="0" w:line="240" w:lineRule="auto"/>
        <w:rPr>
          <w:rFonts w:cstheme="minorHAnsi"/>
          <w:bCs/>
        </w:rPr>
      </w:pPr>
    </w:p>
    <w:p w:rsidR="009E1846" w:rsidRPr="00D250D3" w:rsidRDefault="00D250D3" w:rsidP="00DB3627">
      <w:pPr>
        <w:autoSpaceDE w:val="0"/>
        <w:autoSpaceDN w:val="0"/>
        <w:adjustRightInd w:val="0"/>
        <w:spacing w:after="0" w:line="240" w:lineRule="auto"/>
        <w:rPr>
          <w:rFonts w:cstheme="minorHAnsi"/>
        </w:rPr>
      </w:pPr>
      <w:r w:rsidRPr="00D250D3">
        <w:rPr>
          <w:rFonts w:cstheme="minorHAnsi"/>
        </w:rPr>
        <w:t xml:space="preserve">We analyzed national </w:t>
      </w:r>
      <w:proofErr w:type="spellStart"/>
      <w:r w:rsidRPr="00D250D3">
        <w:rPr>
          <w:rFonts w:cstheme="minorHAnsi"/>
        </w:rPr>
        <w:t>CROWNWeb</w:t>
      </w:r>
      <w:proofErr w:type="spellEnd"/>
      <w:r w:rsidRPr="00D250D3">
        <w:rPr>
          <w:rFonts w:cstheme="minorHAnsi"/>
        </w:rPr>
        <w:t xml:space="preserve"> data from January 2013 – December 2013.</w:t>
      </w:r>
    </w:p>
    <w:p w:rsidR="00D250D3" w:rsidRDefault="00D250D3"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Style1"/>
          </w:rPr>
        </w:sdtEndPr>
        <w:sdtContent>
          <w:r w:rsidR="00D250D3" w:rsidRPr="00D250D3">
            <w:rPr>
              <w:rStyle w:val="Style1"/>
            </w:rPr>
            <w:t>January 2013 – December 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7F504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D250D3" w:rsidRDefault="00D250D3" w:rsidP="00DB3627">
      <w:pPr>
        <w:autoSpaceDE w:val="0"/>
        <w:autoSpaceDN w:val="0"/>
        <w:adjustRightInd w:val="0"/>
        <w:spacing w:after="0" w:line="240" w:lineRule="auto"/>
        <w:rPr>
          <w:rFonts w:cstheme="minorHAnsi"/>
          <w:bCs/>
        </w:rPr>
      </w:pPr>
      <w:r w:rsidRPr="00D250D3">
        <w:rPr>
          <w:rFonts w:cstheme="minorHAnsi"/>
          <w:bCs/>
        </w:rPr>
        <w:t>5,951 facilities that had at least 11 eligible adult and pediatric patients during this period were included in the analyses.</w:t>
      </w:r>
      <w:r w:rsidR="007F5041">
        <w:rPr>
          <w:rFonts w:cstheme="minorHAnsi"/>
          <w:bCs/>
        </w:rPr>
        <w:t xml:space="preserve"> </w:t>
      </w:r>
      <w:r w:rsidR="007F5041" w:rsidRPr="007F5041">
        <w:rPr>
          <w:rFonts w:cstheme="minorHAnsi"/>
          <w:bCs/>
        </w:rPr>
        <w:t>Public reporting of this measure on DFC or in the ESRD QIP would be restricted to facilities with at least 11 eligible patients for the measure. We have applied this restriction to all the reliability and validity testing reported here.</w:t>
      </w:r>
    </w:p>
    <w:p w:rsidR="007F5041" w:rsidRPr="00A25024" w:rsidRDefault="007F5041" w:rsidP="00DB3627">
      <w:pPr>
        <w:autoSpaceDE w:val="0"/>
        <w:autoSpaceDN w:val="0"/>
        <w:adjustRightInd w:val="0"/>
        <w:spacing w:after="0" w:line="240" w:lineRule="auto"/>
        <w:rPr>
          <w:rFonts w:cstheme="minorHAnsi"/>
          <w:bCs/>
        </w:rPr>
      </w:pPr>
    </w:p>
    <w:p w:rsidR="00D250D3"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D250D3" w:rsidRDefault="00D250D3" w:rsidP="00DB3627">
      <w:pPr>
        <w:autoSpaceDE w:val="0"/>
        <w:autoSpaceDN w:val="0"/>
        <w:adjustRightInd w:val="0"/>
        <w:spacing w:after="0" w:line="240" w:lineRule="auto"/>
        <w:rPr>
          <w:rFonts w:cstheme="minorHAnsi"/>
          <w:bCs/>
        </w:rPr>
      </w:pPr>
    </w:p>
    <w:p w:rsidR="00D250D3" w:rsidRDefault="00D250D3" w:rsidP="00D250D3">
      <w:pPr>
        <w:autoSpaceDE w:val="0"/>
        <w:autoSpaceDN w:val="0"/>
        <w:adjustRightInd w:val="0"/>
        <w:spacing w:after="0" w:line="240" w:lineRule="auto"/>
        <w:rPr>
          <w:rFonts w:cstheme="minorHAnsi"/>
          <w:bCs/>
        </w:rPr>
      </w:pPr>
      <w:r w:rsidRPr="00D250D3">
        <w:rPr>
          <w:rFonts w:cstheme="minorHAnsi"/>
          <w:bCs/>
        </w:rPr>
        <w:t>There were a total of 518,127 eligible patients. Among those patients, the average age was 62 years, 56% of patients were male, 58% were white, 35% were black, 5% were Asian/Pacific Islander, 16% were Hispanic, and 45% had Type II Diabetes as the primary cause of end stage renal disease.</w:t>
      </w:r>
    </w:p>
    <w:p w:rsidR="00D250D3" w:rsidRPr="00D250D3" w:rsidRDefault="00D250D3" w:rsidP="00D250D3">
      <w:pPr>
        <w:autoSpaceDE w:val="0"/>
        <w:autoSpaceDN w:val="0"/>
        <w:adjustRightInd w:val="0"/>
        <w:spacing w:after="0" w:line="240" w:lineRule="auto"/>
        <w:rPr>
          <w:rFonts w:cstheme="minorHAnsi"/>
          <w:bCs/>
        </w:rPr>
      </w:pPr>
    </w:p>
    <w:p w:rsidR="007422FD" w:rsidRDefault="00D250D3" w:rsidP="00D250D3">
      <w:pPr>
        <w:autoSpaceDE w:val="0"/>
        <w:autoSpaceDN w:val="0"/>
        <w:adjustRightInd w:val="0"/>
        <w:spacing w:after="0" w:line="240" w:lineRule="auto"/>
        <w:rPr>
          <w:rFonts w:cstheme="minorHAnsi"/>
          <w:bCs/>
        </w:rPr>
      </w:pPr>
      <w:proofErr w:type="gramStart"/>
      <w:r w:rsidRPr="00D250D3">
        <w:rPr>
          <w:rFonts w:cstheme="minorHAnsi"/>
          <w:bCs/>
        </w:rPr>
        <w:t>A subset of 517,762 patients who belonged to the facilities that had at least 11 eligible patients have been included in the testing and analyses.</w:t>
      </w:r>
      <w:proofErr w:type="gramEnd"/>
      <w:r w:rsidR="007422FD"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D250D3" w:rsidRDefault="00D250D3" w:rsidP="00E37E1B">
      <w:pPr>
        <w:autoSpaceDE w:val="0"/>
        <w:autoSpaceDN w:val="0"/>
        <w:adjustRightInd w:val="0"/>
        <w:spacing w:after="0" w:line="240" w:lineRule="auto"/>
        <w:rPr>
          <w:rFonts w:cstheme="minorHAnsi"/>
          <w:bCs/>
        </w:rPr>
      </w:pPr>
      <w:r>
        <w:rPr>
          <w:rFonts w:cstheme="minorHAnsi"/>
          <w:bCs/>
        </w:rPr>
        <w:t>N/A</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D250D3" w:rsidRDefault="00D250D3" w:rsidP="008C54A9">
      <w:pPr>
        <w:autoSpaceDE w:val="0"/>
        <w:autoSpaceDN w:val="0"/>
        <w:adjustRightInd w:val="0"/>
        <w:spacing w:after="0" w:line="240" w:lineRule="auto"/>
        <w:rPr>
          <w:rFonts w:cstheme="minorHAnsi"/>
          <w:bCs/>
        </w:rPr>
      </w:pP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t xml:space="preserve">We used January 2013 – December 2013 </w:t>
      </w:r>
      <w:proofErr w:type="spellStart"/>
      <w:r w:rsidRPr="00D250D3">
        <w:rPr>
          <w:rFonts w:cstheme="minorHAnsi"/>
          <w:bCs/>
        </w:rPr>
        <w:t>CROWNWeb</w:t>
      </w:r>
      <w:proofErr w:type="spellEnd"/>
      <w:r w:rsidRPr="00D250D3">
        <w:rPr>
          <w:rFonts w:cstheme="minorHAnsi"/>
          <w:bCs/>
        </w:rPr>
        <w:t xml:space="preserve"> data to calculate facility level monthly and annual performance scores. 5,951 facilities that had at least 11 eligible patients and included 517,762 patients in total were included in the testing. </w:t>
      </w:r>
    </w:p>
    <w:p w:rsidR="00D250D3" w:rsidRPr="00D250D3" w:rsidRDefault="00D250D3" w:rsidP="00D250D3">
      <w:pPr>
        <w:autoSpaceDE w:val="0"/>
        <w:autoSpaceDN w:val="0"/>
        <w:adjustRightInd w:val="0"/>
        <w:spacing w:after="0" w:line="240" w:lineRule="auto"/>
        <w:rPr>
          <w:rFonts w:cstheme="minorHAnsi"/>
          <w:bCs/>
        </w:rPr>
      </w:pP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t>We assessed reliability by calculating facility-level Pearson correlation coefficients between the current performance month and the preceding month for reporting months during January 2013 – December 2013.</w:t>
      </w:r>
    </w:p>
    <w:p w:rsidR="00D250D3" w:rsidRPr="00D250D3" w:rsidRDefault="00D250D3" w:rsidP="00D250D3">
      <w:pPr>
        <w:autoSpaceDE w:val="0"/>
        <w:autoSpaceDN w:val="0"/>
        <w:adjustRightInd w:val="0"/>
        <w:spacing w:after="0" w:line="240" w:lineRule="auto"/>
        <w:rPr>
          <w:rFonts w:cstheme="minorHAnsi"/>
          <w:bCs/>
        </w:rPr>
      </w:pP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t xml:space="preserve">In addition, we calculated inter-unit reliability (IUR) for each reporting month and the overall 12 months.           </w:t>
      </w: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t>The monthly based measure was a simple average across individuals in the facility. The NQF-</w:t>
      </w:r>
    </w:p>
    <w:p w:rsidR="00D250D3" w:rsidRPr="00D250D3" w:rsidRDefault="00D250D3" w:rsidP="00D250D3">
      <w:pPr>
        <w:autoSpaceDE w:val="0"/>
        <w:autoSpaceDN w:val="0"/>
        <w:adjustRightInd w:val="0"/>
        <w:spacing w:after="0" w:line="240" w:lineRule="auto"/>
        <w:rPr>
          <w:rFonts w:cstheme="minorHAnsi"/>
          <w:bCs/>
        </w:rPr>
      </w:pPr>
      <w:proofErr w:type="gramStart"/>
      <w:r w:rsidRPr="00D250D3">
        <w:rPr>
          <w:rFonts w:cstheme="minorHAnsi"/>
          <w:bCs/>
        </w:rPr>
        <w:t>recommended</w:t>
      </w:r>
      <w:proofErr w:type="gramEnd"/>
      <w:r w:rsidRPr="00D250D3">
        <w:rPr>
          <w:rFonts w:cstheme="minorHAnsi"/>
          <w:bCs/>
        </w:rPr>
        <w:t xml:space="preserve"> approach for determining measure reliability is a one-way analysis of variance (ANOVA), </w:t>
      </w:r>
    </w:p>
    <w:p w:rsidR="00D250D3" w:rsidRPr="00A25024" w:rsidRDefault="00D250D3" w:rsidP="00D250D3">
      <w:pPr>
        <w:autoSpaceDE w:val="0"/>
        <w:autoSpaceDN w:val="0"/>
        <w:adjustRightInd w:val="0"/>
        <w:spacing w:after="0" w:line="240" w:lineRule="auto"/>
        <w:rPr>
          <w:rFonts w:cstheme="minorHAnsi"/>
          <w:bCs/>
        </w:rPr>
      </w:pPr>
      <w:r w:rsidRPr="00D250D3">
        <w:rPr>
          <w:rFonts w:cstheme="minorHAnsi"/>
          <w:bCs/>
        </w:rPr>
        <w:t xml:space="preserve"> </w:t>
      </w:r>
      <w:proofErr w:type="gramStart"/>
      <w:r w:rsidRPr="00D250D3">
        <w:rPr>
          <w:rFonts w:cstheme="minorHAnsi"/>
          <w:bCs/>
        </w:rPr>
        <w:t>in</w:t>
      </w:r>
      <w:proofErr w:type="gramEnd"/>
      <w:r w:rsidRPr="00D250D3">
        <w:rPr>
          <w:rFonts w:cstheme="minorHAnsi"/>
          <w:bCs/>
        </w:rPr>
        <w:t xml:space="preserve"> which the between and within facility variation in the measure is determined.1 The inter-unit reliability </w:t>
      </w:r>
      <w:r>
        <w:rPr>
          <w:rFonts w:cstheme="minorHAnsi"/>
          <w:bCs/>
        </w:rPr>
        <w:t xml:space="preserve"> </w:t>
      </w:r>
      <w:r w:rsidRPr="00D250D3">
        <w:rPr>
          <w:rFonts w:cstheme="minorHAnsi"/>
          <w:bCs/>
        </w:rPr>
        <w:t xml:space="preserve">(IUR) measures the proportion of the measure variability that is attributable to the between-facility variance. The yearly based measure, however, is not a simple average and we instead estimate the IUR using a bootstrap approach, which uses a resampling scheme to estimate the within facility variation that </w:t>
      </w:r>
      <w:r>
        <w:rPr>
          <w:rFonts w:cstheme="minorHAnsi"/>
          <w:bCs/>
        </w:rPr>
        <w:t xml:space="preserve"> </w:t>
      </w:r>
      <w:r w:rsidRPr="00D250D3">
        <w:rPr>
          <w:rFonts w:cstheme="minorHAnsi"/>
          <w:bCs/>
        </w:rPr>
        <w:t>cannot be directly estimated by ANOVA.</w:t>
      </w:r>
    </w:p>
    <w:p w:rsidR="008C54A9" w:rsidRPr="00A25024" w:rsidRDefault="008C54A9" w:rsidP="008C54A9">
      <w:pPr>
        <w:autoSpaceDE w:val="0"/>
        <w:autoSpaceDN w:val="0"/>
        <w:adjustRightInd w:val="0"/>
        <w:spacing w:after="0" w:line="240" w:lineRule="auto"/>
        <w:rPr>
          <w:rFonts w:cstheme="minorHAnsi"/>
          <w:bCs/>
        </w:rPr>
      </w:pPr>
    </w:p>
    <w:p w:rsidR="00D250D3"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D250D3" w:rsidRDefault="00D250D3" w:rsidP="008C54A9">
      <w:pPr>
        <w:autoSpaceDE w:val="0"/>
        <w:autoSpaceDN w:val="0"/>
        <w:adjustRightInd w:val="0"/>
        <w:spacing w:after="0" w:line="240" w:lineRule="auto"/>
        <w:rPr>
          <w:rFonts w:cstheme="minorHAnsi"/>
          <w:bCs/>
        </w:rPr>
      </w:pP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t xml:space="preserve">The Pearson correlation coefficients of each pair of the current and the preceding months ranged from    </w:t>
      </w: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t xml:space="preserve">0.72 to 0.90, and were all statistically significant (p&lt;0.0001), indicating this measure is reliable over time. </w:t>
      </w:r>
    </w:p>
    <w:p w:rsidR="00D250D3" w:rsidRPr="00D250D3" w:rsidRDefault="00D250D3" w:rsidP="00D250D3">
      <w:pPr>
        <w:autoSpaceDE w:val="0"/>
        <w:autoSpaceDN w:val="0"/>
        <w:adjustRightInd w:val="0"/>
        <w:spacing w:after="0" w:line="240" w:lineRule="auto"/>
        <w:rPr>
          <w:rFonts w:cstheme="minorHAnsi"/>
          <w:bCs/>
        </w:rPr>
      </w:pP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t xml:space="preserve">The monthly IURs ranged from 0.95 to 0.97, which indicates that at least 95% of the variation in the   </w:t>
      </w:r>
    </w:p>
    <w:p w:rsidR="007422FD" w:rsidRPr="00A25024" w:rsidRDefault="00D250D3" w:rsidP="00D250D3">
      <w:pPr>
        <w:autoSpaceDE w:val="0"/>
        <w:autoSpaceDN w:val="0"/>
        <w:adjustRightInd w:val="0"/>
        <w:spacing w:after="0" w:line="240" w:lineRule="auto"/>
        <w:rPr>
          <w:rFonts w:cstheme="minorHAnsi"/>
          <w:bCs/>
        </w:rPr>
      </w:pPr>
      <w:proofErr w:type="gramStart"/>
      <w:r w:rsidRPr="00D250D3">
        <w:rPr>
          <w:rFonts w:cstheme="minorHAnsi"/>
          <w:bCs/>
        </w:rPr>
        <w:t>measure</w:t>
      </w:r>
      <w:proofErr w:type="gramEnd"/>
      <w:r w:rsidRPr="00D250D3">
        <w:rPr>
          <w:rFonts w:cstheme="minorHAnsi"/>
          <w:bCs/>
        </w:rPr>
        <w:t xml:space="preserve"> calculated at the monthly level can be attributed to the between facility differences and 5% to within facility variation. The annual IUR across the 12 reporting months was 0.98, which indicates that 98% of the variation in the measure calculated at the yearly level can be attributed to the between facility variation.</w:t>
      </w:r>
      <w:r w:rsidR="0048008A" w:rsidRPr="00A25024">
        <w:rPr>
          <w:rFonts w:cstheme="minorHAnsi"/>
          <w:bCs/>
        </w:rPr>
        <w:br/>
      </w:r>
    </w:p>
    <w:p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D250D3" w:rsidRDefault="00D250D3" w:rsidP="00D250D3">
      <w:pPr>
        <w:autoSpaceDE w:val="0"/>
        <w:autoSpaceDN w:val="0"/>
        <w:adjustRightInd w:val="0"/>
        <w:spacing w:after="0" w:line="240" w:lineRule="auto"/>
        <w:rPr>
          <w:rFonts w:cstheme="minorHAnsi"/>
          <w:bCs/>
        </w:rPr>
      </w:pPr>
      <w:r w:rsidRPr="00D250D3">
        <w:rPr>
          <w:rFonts w:cstheme="minorHAnsi"/>
          <w:bCs/>
        </w:rPr>
        <w:t xml:space="preserve">The IURs provide evidence of reliability in that most of the variation can be attributed to the between facility variation. The IUR suggest this measure is reliable. However, since the distribution of performance scores is skewed, the IUR value should be interpreted with some caution. </w:t>
      </w:r>
    </w:p>
    <w:p w:rsidR="00D250D3" w:rsidRPr="00D250D3" w:rsidRDefault="00D250D3" w:rsidP="00D250D3">
      <w:pPr>
        <w:autoSpaceDE w:val="0"/>
        <w:autoSpaceDN w:val="0"/>
        <w:adjustRightInd w:val="0"/>
        <w:spacing w:after="0" w:line="240" w:lineRule="auto"/>
        <w:rPr>
          <w:rFonts w:cstheme="minorHAnsi"/>
          <w:bCs/>
        </w:rPr>
      </w:pPr>
    </w:p>
    <w:p w:rsidR="00D250D3" w:rsidRPr="00A25024" w:rsidRDefault="00D250D3" w:rsidP="00D250D3">
      <w:pPr>
        <w:autoSpaceDE w:val="0"/>
        <w:autoSpaceDN w:val="0"/>
        <w:adjustRightInd w:val="0"/>
        <w:spacing w:after="0" w:line="240" w:lineRule="auto"/>
        <w:rPr>
          <w:rFonts w:cstheme="minorHAnsi"/>
          <w:bCs/>
        </w:rPr>
      </w:pPr>
      <w:r w:rsidRPr="00D250D3">
        <w:rPr>
          <w:rFonts w:cstheme="minorHAnsi"/>
          <w:bCs/>
        </w:rPr>
        <w:t>The results of the Pearson correlations indicate the measure is reliable over time.</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7F504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7F504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D250D3"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D250D3" w:rsidRDefault="00D250D3" w:rsidP="00DB3627">
      <w:pPr>
        <w:autoSpaceDE w:val="0"/>
        <w:autoSpaceDN w:val="0"/>
        <w:adjustRightInd w:val="0"/>
        <w:spacing w:after="0" w:line="240" w:lineRule="auto"/>
        <w:rPr>
          <w:rFonts w:cstheme="minorHAnsi"/>
          <w:bCs/>
          <w:i/>
        </w:rPr>
      </w:pP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t xml:space="preserve">We used January 2013 – December 2013 </w:t>
      </w:r>
      <w:proofErr w:type="spellStart"/>
      <w:r w:rsidRPr="00D250D3">
        <w:rPr>
          <w:rFonts w:cstheme="minorHAnsi"/>
          <w:bCs/>
        </w:rPr>
        <w:t>CROWNWeb</w:t>
      </w:r>
      <w:proofErr w:type="spellEnd"/>
      <w:r w:rsidRPr="00D250D3">
        <w:rPr>
          <w:rFonts w:cstheme="minorHAnsi"/>
          <w:bCs/>
        </w:rPr>
        <w:t xml:space="preserve"> data to calculate facility level monthly and annual performance scores. 5,951 facilities that had at least 11 eligible patients and included 517,762 patients in total were included in the testing.        </w:t>
      </w:r>
    </w:p>
    <w:p w:rsidR="00D250D3" w:rsidRPr="00D250D3" w:rsidRDefault="00D250D3" w:rsidP="00D250D3">
      <w:pPr>
        <w:autoSpaceDE w:val="0"/>
        <w:autoSpaceDN w:val="0"/>
        <w:adjustRightInd w:val="0"/>
        <w:spacing w:after="0" w:line="240" w:lineRule="auto"/>
        <w:rPr>
          <w:rFonts w:cstheme="minorHAnsi"/>
          <w:bCs/>
        </w:rPr>
      </w:pPr>
      <w:bookmarkStart w:id="11" w:name="_GoBack"/>
      <w:bookmarkEnd w:id="11"/>
    </w:p>
    <w:p w:rsidR="00833325" w:rsidRPr="00A25024" w:rsidRDefault="00D250D3" w:rsidP="00D250D3">
      <w:pPr>
        <w:autoSpaceDE w:val="0"/>
        <w:autoSpaceDN w:val="0"/>
        <w:adjustRightInd w:val="0"/>
        <w:spacing w:after="0" w:line="240" w:lineRule="auto"/>
        <w:rPr>
          <w:rFonts w:cstheme="minorHAnsi"/>
          <w:bCs/>
        </w:rPr>
      </w:pPr>
      <w:r w:rsidRPr="00D250D3">
        <w:rPr>
          <w:rFonts w:cstheme="minorHAnsi"/>
          <w:bCs/>
        </w:rPr>
        <w:t>We assessed validity using Poisson regression models to identify the predictive strength of facility level performance scores for the measure, on an NQF endorsed standardized mortality rate, using the 2013 SMR (NQF 0369).</w:t>
      </w:r>
      <w:r w:rsidR="00833325" w:rsidRPr="00A25024">
        <w:rPr>
          <w:rFonts w:cstheme="minorHAnsi"/>
          <w:bCs/>
        </w:rPr>
        <w:br/>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t xml:space="preserve">Poisson regression modeling was used to assess the predictive strength of facility level performance </w:t>
      </w:r>
    </w:p>
    <w:p w:rsidR="00D250D3" w:rsidRDefault="00D250D3" w:rsidP="00D250D3">
      <w:pPr>
        <w:autoSpaceDE w:val="0"/>
        <w:autoSpaceDN w:val="0"/>
        <w:adjustRightInd w:val="0"/>
        <w:spacing w:after="0" w:line="240" w:lineRule="auto"/>
        <w:rPr>
          <w:rFonts w:cstheme="minorHAnsi"/>
          <w:bCs/>
        </w:rPr>
      </w:pPr>
      <w:proofErr w:type="gramStart"/>
      <w:r w:rsidRPr="00D250D3">
        <w:rPr>
          <w:rFonts w:cstheme="minorHAnsi"/>
          <w:bCs/>
        </w:rPr>
        <w:t>scores</w:t>
      </w:r>
      <w:proofErr w:type="gramEnd"/>
      <w:r w:rsidRPr="00D250D3">
        <w:rPr>
          <w:rFonts w:cstheme="minorHAnsi"/>
          <w:bCs/>
        </w:rPr>
        <w:t xml:space="preserve"> for the measure, on mortality, using the 2013 NQF endorsed SMR. The results suggest the measure performance scores were predictive of the standardized mortality rate, as measured by the SMR. For instance, the facility-level relative risk of mortality for a 10% increase in the performance score is 0.98 (p&lt;0.0001).</w:t>
      </w:r>
    </w:p>
    <w:p w:rsidR="00D250D3" w:rsidRPr="00092566" w:rsidRDefault="00D250D3" w:rsidP="00D250D3">
      <w:pPr>
        <w:autoSpaceDE w:val="0"/>
        <w:autoSpaceDN w:val="0"/>
        <w:adjustRightInd w:val="0"/>
        <w:spacing w:after="0" w:line="240" w:lineRule="auto"/>
        <w:rPr>
          <w:rFonts w:cstheme="minorHAnsi"/>
          <w:bCs/>
        </w:rPr>
      </w:pPr>
    </w:p>
    <w:p w:rsidR="00D250D3"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D250D3" w:rsidRDefault="00D250D3" w:rsidP="00DB3627">
      <w:pPr>
        <w:autoSpaceDE w:val="0"/>
        <w:autoSpaceDN w:val="0"/>
        <w:adjustRightInd w:val="0"/>
        <w:spacing w:after="0" w:line="240" w:lineRule="auto"/>
        <w:rPr>
          <w:rFonts w:cstheme="minorHAnsi"/>
          <w:bCs/>
        </w:rPr>
      </w:pPr>
    </w:p>
    <w:p w:rsidR="007422FD" w:rsidRPr="00A25024" w:rsidRDefault="00D250D3" w:rsidP="00DB3627">
      <w:pPr>
        <w:autoSpaceDE w:val="0"/>
        <w:autoSpaceDN w:val="0"/>
        <w:adjustRightInd w:val="0"/>
        <w:spacing w:after="0" w:line="240" w:lineRule="auto"/>
        <w:rPr>
          <w:rFonts w:cstheme="minorHAnsi"/>
          <w:bCs/>
        </w:rPr>
      </w:pPr>
      <w:r w:rsidRPr="00D250D3">
        <w:rPr>
          <w:rFonts w:cstheme="minorHAnsi"/>
          <w:bCs/>
        </w:rPr>
        <w:t>The results of the Poisson regression suggest that facilities with a higher percentage of patient months with phosphorous measured, have a lower standardized mortality rate relative to facilities with a lower percentage of patient months with phosphorous measured.  The direction of the relationship is as expected.</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7F5041"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rsidR="00833325" w:rsidRPr="00A25024" w:rsidRDefault="00833325" w:rsidP="00DB3627">
      <w:pPr>
        <w:autoSpaceDE w:val="0"/>
        <w:autoSpaceDN w:val="0"/>
        <w:adjustRightInd w:val="0"/>
        <w:spacing w:after="0" w:line="240" w:lineRule="auto"/>
        <w:rPr>
          <w:rFonts w:cstheme="minorHAnsi"/>
          <w:bCs/>
        </w:rPr>
      </w:pPr>
      <w:r w:rsidRPr="00A25024">
        <w:rPr>
          <w:rFonts w:cstheme="minorHAnsi"/>
          <w:bCs/>
        </w:rPr>
        <w:br/>
        <w:t xml:space="preserve"> </w:t>
      </w:r>
      <w:r w:rsidR="00D250D3" w:rsidRPr="00D250D3">
        <w:rPr>
          <w:rFonts w:cstheme="minorHAnsi"/>
          <w:bCs/>
        </w:rPr>
        <w:t>N/A</w:t>
      </w:r>
    </w:p>
    <w:p w:rsidR="00833325" w:rsidRPr="00A25024" w:rsidRDefault="00833325" w:rsidP="00DB3627">
      <w:pPr>
        <w:autoSpaceDE w:val="0"/>
        <w:autoSpaceDN w:val="0"/>
        <w:adjustRightInd w:val="0"/>
        <w:spacing w:after="0" w:line="240" w:lineRule="auto"/>
        <w:rPr>
          <w:rFonts w:cstheme="minorHAnsi"/>
          <w:bCs/>
        </w:rPr>
      </w:pPr>
    </w:p>
    <w:p w:rsidR="007F5041"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rsidR="007422FD" w:rsidRDefault="00833325" w:rsidP="00092566">
      <w:pPr>
        <w:autoSpaceDE w:val="0"/>
        <w:autoSpaceDN w:val="0"/>
        <w:adjustRightInd w:val="0"/>
        <w:spacing w:after="0" w:line="240" w:lineRule="auto"/>
        <w:rPr>
          <w:rFonts w:cstheme="minorHAnsi"/>
          <w:bCs/>
        </w:rPr>
      </w:pPr>
      <w:r w:rsidRPr="00A25024">
        <w:rPr>
          <w:rFonts w:cstheme="minorHAnsi"/>
          <w:bCs/>
        </w:rPr>
        <w:br/>
      </w:r>
      <w:r w:rsidR="00D250D3" w:rsidRPr="00D250D3">
        <w:rPr>
          <w:rFonts w:cstheme="minorHAnsi"/>
          <w:bCs/>
        </w:rPr>
        <w:t>N/A</w:t>
      </w:r>
    </w:p>
    <w:p w:rsidR="00092566" w:rsidRPr="00092566" w:rsidRDefault="00092566" w:rsidP="00092566">
      <w:pPr>
        <w:autoSpaceDE w:val="0"/>
        <w:autoSpaceDN w:val="0"/>
        <w:adjustRightInd w:val="0"/>
        <w:spacing w:after="0" w:line="240" w:lineRule="auto"/>
        <w:rPr>
          <w:rFonts w:cstheme="minorHAnsi"/>
          <w:bCs/>
        </w:rPr>
      </w:pPr>
    </w:p>
    <w:p w:rsidR="007F5041"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rsidR="007422FD" w:rsidRPr="00A25024" w:rsidRDefault="007422FD" w:rsidP="00DB3627">
      <w:pPr>
        <w:autoSpaceDE w:val="0"/>
        <w:autoSpaceDN w:val="0"/>
        <w:adjustRightInd w:val="0"/>
        <w:spacing w:after="0" w:line="240" w:lineRule="auto"/>
        <w:rPr>
          <w:rFonts w:cstheme="minorHAnsi"/>
          <w:bCs/>
        </w:rPr>
      </w:pPr>
      <w:r w:rsidRPr="00A25024">
        <w:rPr>
          <w:rFonts w:cstheme="minorHAnsi"/>
          <w:bCs/>
        </w:rPr>
        <w:br/>
      </w:r>
      <w:r w:rsidR="00D250D3" w:rsidRPr="00D250D3">
        <w:rPr>
          <w:rFonts w:cstheme="minorHAnsi"/>
          <w:bCs/>
        </w:rPr>
        <w:t>N/A</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7F504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D250D3">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7F504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7F504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7F504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D250D3" w:rsidRDefault="00743E46" w:rsidP="00092566">
      <w:pPr>
        <w:autoSpaceDE w:val="0"/>
        <w:autoSpaceDN w:val="0"/>
        <w:adjustRightInd w:val="0"/>
        <w:spacing w:after="0" w:line="240" w:lineRule="auto"/>
        <w:rPr>
          <w:rFonts w:cstheme="minorHAnsi"/>
          <w:bCs/>
        </w:rPr>
      </w:pPr>
      <w:r>
        <w:rPr>
          <w:rFonts w:cstheme="minorHAnsi"/>
          <w:b/>
          <w:bCs/>
        </w:rPr>
        <w:lastRenderedPageBreak/>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p>
    <w:p w:rsidR="00D250D3" w:rsidRDefault="00D250D3" w:rsidP="00092566">
      <w:pPr>
        <w:autoSpaceDE w:val="0"/>
        <w:autoSpaceDN w:val="0"/>
        <w:adjustRightInd w:val="0"/>
        <w:spacing w:after="0" w:line="240" w:lineRule="auto"/>
        <w:rPr>
          <w:rFonts w:cstheme="minorHAnsi"/>
          <w:bCs/>
        </w:rPr>
      </w:pPr>
    </w:p>
    <w:p w:rsidR="00092566" w:rsidRPr="00A25024" w:rsidRDefault="00D250D3" w:rsidP="00092566">
      <w:pPr>
        <w:autoSpaceDE w:val="0"/>
        <w:autoSpaceDN w:val="0"/>
        <w:adjustRightInd w:val="0"/>
        <w:spacing w:after="0" w:line="240" w:lineRule="auto"/>
        <w:rPr>
          <w:rFonts w:cstheme="minorHAnsi"/>
          <w:bCs/>
        </w:rPr>
      </w:pPr>
      <w:r w:rsidRPr="00D250D3">
        <w:rPr>
          <w:rFonts w:cstheme="minorHAnsi"/>
          <w:bCs/>
        </w:rPr>
        <w:t>This measure is not risk adjusted, as disparities in care were not identified (see 1b.4 and 1b.5).</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Default="00D250D3" w:rsidP="00001D73">
      <w:pPr>
        <w:autoSpaceDE w:val="0"/>
        <w:autoSpaceDN w:val="0"/>
        <w:adjustRightInd w:val="0"/>
        <w:spacing w:after="0" w:line="240" w:lineRule="auto"/>
        <w:rPr>
          <w:rFonts w:cstheme="minorHAnsi"/>
          <w:bCs/>
        </w:rPr>
      </w:pPr>
      <w:r w:rsidRPr="00D250D3">
        <w:rPr>
          <w:rFonts w:cstheme="minorHAnsi"/>
          <w:bCs/>
        </w:rPr>
        <w:t>N/A</w:t>
      </w:r>
    </w:p>
    <w:p w:rsidR="007F5041" w:rsidRPr="00001D73" w:rsidRDefault="007F5041"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rsidR="00001D73" w:rsidRDefault="00D250D3" w:rsidP="00001D73">
      <w:pPr>
        <w:autoSpaceDE w:val="0"/>
        <w:autoSpaceDN w:val="0"/>
        <w:adjustRightInd w:val="0"/>
        <w:spacing w:after="0" w:line="240" w:lineRule="auto"/>
        <w:rPr>
          <w:rFonts w:cstheme="minorHAnsi"/>
          <w:bCs/>
        </w:rPr>
      </w:pPr>
      <w:r w:rsidRPr="00D250D3">
        <w:rPr>
          <w:rFonts w:cstheme="minorHAnsi"/>
          <w:bCs/>
        </w:rPr>
        <w:t>N/A</w:t>
      </w:r>
    </w:p>
    <w:p w:rsidR="007F5041" w:rsidRPr="00001D73" w:rsidRDefault="007F5041" w:rsidP="00001D73">
      <w:pPr>
        <w:autoSpaceDE w:val="0"/>
        <w:autoSpaceDN w:val="0"/>
        <w:adjustRightInd w:val="0"/>
        <w:spacing w:after="0" w:line="240" w:lineRule="auto"/>
        <w:rPr>
          <w:rFonts w:cstheme="minorHAnsi"/>
          <w:b/>
          <w:bCs/>
        </w:rPr>
      </w:pPr>
    </w:p>
    <w:p w:rsidR="007F5041"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rsidR="00092566" w:rsidRPr="00A25024" w:rsidRDefault="00092566" w:rsidP="00092566">
      <w:pPr>
        <w:autoSpaceDE w:val="0"/>
        <w:autoSpaceDN w:val="0"/>
        <w:adjustRightInd w:val="0"/>
        <w:spacing w:after="0" w:line="240" w:lineRule="auto"/>
        <w:rPr>
          <w:rFonts w:cstheme="minorHAnsi"/>
          <w:bCs/>
        </w:rPr>
      </w:pPr>
      <w:r w:rsidRPr="00A25024">
        <w:rPr>
          <w:rFonts w:cstheme="minorHAnsi"/>
          <w:bCs/>
        </w:rPr>
        <w:br/>
      </w:r>
      <w:r w:rsidR="00D250D3" w:rsidRPr="00D250D3">
        <w:rPr>
          <w:rFonts w:cstheme="minorHAnsi"/>
          <w:bCs/>
        </w:rPr>
        <w:t>N/A</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D250D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rsidR="007F5041" w:rsidRDefault="007F5041" w:rsidP="00092566">
      <w:pPr>
        <w:autoSpaceDE w:val="0"/>
        <w:autoSpaceDN w:val="0"/>
        <w:adjustRightInd w:val="0"/>
        <w:spacing w:after="0" w:line="240" w:lineRule="auto"/>
        <w:rPr>
          <w:rFonts w:cstheme="minorHAnsi"/>
          <w:b/>
          <w:bCs/>
        </w:rPr>
      </w:pPr>
    </w:p>
    <w:p w:rsidR="00001D73" w:rsidRPr="00001D73" w:rsidRDefault="00D250D3" w:rsidP="00092566">
      <w:pPr>
        <w:autoSpaceDE w:val="0"/>
        <w:autoSpaceDN w:val="0"/>
        <w:adjustRightInd w:val="0"/>
        <w:spacing w:after="0" w:line="240" w:lineRule="auto"/>
        <w:rPr>
          <w:rFonts w:cstheme="minorHAnsi"/>
          <w:b/>
          <w:bCs/>
        </w:rPr>
      </w:pPr>
      <w:r w:rsidRPr="00D250D3">
        <w:rPr>
          <w:rFonts w:cstheme="minorHAnsi"/>
          <w:bCs/>
        </w:rPr>
        <w:t>N/A</w:t>
      </w:r>
      <w:r w:rsidR="00092566" w:rsidRPr="00001D73">
        <w:rPr>
          <w:rFonts w:cstheme="minorHAnsi"/>
          <w:b/>
        </w:rPr>
        <w:br/>
      </w:r>
    </w:p>
    <w:p w:rsidR="007F5041"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p>
    <w:p w:rsidR="00001D73" w:rsidRDefault="00092566" w:rsidP="00092566">
      <w:pPr>
        <w:autoSpaceDE w:val="0"/>
        <w:autoSpaceDN w:val="0"/>
        <w:adjustRightInd w:val="0"/>
        <w:spacing w:after="0" w:line="240" w:lineRule="auto"/>
        <w:rPr>
          <w:rFonts w:cstheme="minorHAnsi"/>
          <w:bCs/>
        </w:rPr>
      </w:pPr>
      <w:r w:rsidRPr="00A25024">
        <w:rPr>
          <w:rFonts w:cstheme="minorHAnsi"/>
          <w:bCs/>
        </w:rPr>
        <w:br/>
      </w:r>
      <w:r w:rsidR="00D250D3" w:rsidRPr="00D250D3">
        <w:rPr>
          <w:rFonts w:cstheme="minorHAnsi"/>
          <w:bCs/>
        </w:rPr>
        <w:t>N/A</w:t>
      </w:r>
    </w:p>
    <w:p w:rsidR="00D250D3" w:rsidRDefault="00D250D3" w:rsidP="00092566">
      <w:pPr>
        <w:autoSpaceDE w:val="0"/>
        <w:autoSpaceDN w:val="0"/>
        <w:adjustRightInd w:val="0"/>
        <w:spacing w:after="0" w:line="240" w:lineRule="auto"/>
        <w:rPr>
          <w:rFonts w:cstheme="minorHAnsi"/>
          <w:b/>
          <w:bCs/>
        </w:rPr>
      </w:pPr>
    </w:p>
    <w:p w:rsidR="007F5041" w:rsidRDefault="00743E46" w:rsidP="00092566">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p>
    <w:p w:rsidR="00743E46" w:rsidRDefault="00092566" w:rsidP="00092566">
      <w:pPr>
        <w:autoSpaceDE w:val="0"/>
        <w:autoSpaceDN w:val="0"/>
        <w:adjustRightInd w:val="0"/>
        <w:spacing w:after="0" w:line="240" w:lineRule="auto"/>
        <w:rPr>
          <w:rFonts w:cstheme="minorHAnsi"/>
          <w:b/>
        </w:rPr>
      </w:pPr>
      <w:r w:rsidRPr="00A25024">
        <w:rPr>
          <w:rFonts w:cstheme="minorHAnsi"/>
          <w:bCs/>
        </w:rPr>
        <w:br/>
      </w:r>
      <w:r w:rsidR="00D250D3" w:rsidRPr="00D250D3">
        <w:rPr>
          <w:rFonts w:cstheme="minorHAnsi"/>
          <w:bCs/>
        </w:rPr>
        <w:t>N/A</w:t>
      </w:r>
      <w:r w:rsidRPr="00A25024">
        <w:rPr>
          <w:rFonts w:cstheme="minorHAnsi"/>
        </w:rPr>
        <w:br/>
      </w:r>
    </w:p>
    <w:p w:rsidR="00092566"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7F5041" w:rsidRPr="00A25024" w:rsidRDefault="007F5041" w:rsidP="00092566">
      <w:pPr>
        <w:autoSpaceDE w:val="0"/>
        <w:autoSpaceDN w:val="0"/>
        <w:adjustRightInd w:val="0"/>
        <w:spacing w:after="0" w:line="240" w:lineRule="auto"/>
        <w:rPr>
          <w:rFonts w:cstheme="minorHAnsi"/>
          <w:bCs/>
        </w:rPr>
      </w:pPr>
    </w:p>
    <w:p w:rsidR="00092566" w:rsidRPr="00D250D3" w:rsidRDefault="00D250D3" w:rsidP="00D250D3">
      <w:pPr>
        <w:rPr>
          <w:rFonts w:cstheme="minorHAnsi"/>
          <w:bCs/>
        </w:rPr>
      </w:pPr>
      <w:r w:rsidRPr="00D250D3">
        <w:rPr>
          <w:rFonts w:cstheme="minorHAnsi"/>
          <w:bCs/>
        </w:rPr>
        <w:t>N/A</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250D3" w:rsidRDefault="00D250D3" w:rsidP="00D61410">
      <w:pPr>
        <w:autoSpaceDE w:val="0"/>
        <w:autoSpaceDN w:val="0"/>
        <w:adjustRightInd w:val="0"/>
        <w:spacing w:after="0" w:line="240" w:lineRule="auto"/>
        <w:rPr>
          <w:rFonts w:cstheme="minorHAnsi"/>
          <w:bCs/>
        </w:rPr>
      </w:pPr>
      <w:r w:rsidRPr="00D250D3">
        <w:rPr>
          <w:rFonts w:cstheme="minorHAnsi"/>
          <w:bCs/>
        </w:rPr>
        <w:t>N/A</w:t>
      </w:r>
      <w:r>
        <w:rPr>
          <w:rFonts w:cstheme="minorHAnsi"/>
          <w:bCs/>
        </w:rPr>
        <w:t xml:space="preserve"> </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250D3" w:rsidRPr="00D250D3" w:rsidRDefault="00D250D3" w:rsidP="00D250D3">
      <w:pPr>
        <w:spacing w:after="0"/>
        <w:rPr>
          <w:rFonts w:cs="Calibri"/>
        </w:rPr>
      </w:pPr>
      <w:r w:rsidRPr="00D250D3">
        <w:rPr>
          <w:rFonts w:cs="Calibri"/>
        </w:rPr>
        <w:t xml:space="preserve">Differences in measure performance were evaluated separately for each facility using patient level analyses. The proportion of patients with monthly measurement of phosphorus, calculated at the year-level, was compared between one facility and the overall national distribution, and repeated for each individual facility.  </w:t>
      </w:r>
    </w:p>
    <w:p w:rsidR="00D61410" w:rsidRPr="00D250D3" w:rsidRDefault="00D250D3" w:rsidP="00D250D3">
      <w:pPr>
        <w:autoSpaceDE w:val="0"/>
        <w:autoSpaceDN w:val="0"/>
        <w:adjustRightInd w:val="0"/>
        <w:spacing w:after="0" w:line="240" w:lineRule="auto"/>
        <w:rPr>
          <w:rFonts w:cs="Calibri"/>
        </w:rPr>
      </w:pPr>
      <w:r w:rsidRPr="00D250D3">
        <w:rPr>
          <w:rFonts w:cs="Calibri"/>
        </w:rPr>
        <w:t xml:space="preserve">Note that the monthly based measure is a simple average of binary outcomes across individuals in the facility, for which the binary outcome equals to 0 (failure= no reported measurement) if the value is missing.  The differences in proportions can be compared using Fisher’s </w:t>
      </w:r>
      <w:proofErr w:type="gramStart"/>
      <w:r w:rsidRPr="00D250D3">
        <w:rPr>
          <w:rFonts w:cs="Calibri"/>
        </w:rPr>
        <w:t>Exact</w:t>
      </w:r>
      <w:proofErr w:type="gramEnd"/>
      <w:r w:rsidRPr="00D250D3">
        <w:rPr>
          <w:rFonts w:cs="Calibri"/>
        </w:rPr>
        <w:t xml:space="preserve"> tests or its normal approximation. The yearly based measure, however, is not a simple average of binary outcomes and we instead used a re-sampling based exact test, with re-sampling generated from the population distribution of the patient level outcomes. Due to non-symmetric structure of the measure distributions, a one-sided test with significance level 0.025 is used (corresponding to cutoff=0.05 in a two-sided test). To calculate the p-value, we assess the probability that the facility would experience a number of events (i.e., no measurement of phosphorous) more extreme than that observed if the null hypothesis were true, the null hypothesis being that facility measurement of phosphorus will follow the overall national distribution.</w:t>
      </w:r>
    </w:p>
    <w:p w:rsidR="00D250D3" w:rsidRPr="00A25024" w:rsidRDefault="00D250D3" w:rsidP="00D250D3">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D250D3" w:rsidRPr="00D250D3" w:rsidRDefault="00D250D3" w:rsidP="00D250D3">
      <w:pPr>
        <w:spacing w:after="0"/>
        <w:rPr>
          <w:rFonts w:cs="Calibri"/>
        </w:rPr>
      </w:pPr>
      <w:r w:rsidRPr="00D250D3">
        <w:rPr>
          <w:rFonts w:cs="Calibri"/>
        </w:rPr>
        <w:t xml:space="preserve">Proportion of facilities with significant p-values (significance level </w:t>
      </w:r>
      <w:r w:rsidRPr="00D250D3">
        <w:rPr>
          <w:rFonts w:cs="Calibri"/>
          <w:u w:val="single"/>
        </w:rPr>
        <w:t>&lt;</w:t>
      </w:r>
      <w:r w:rsidRPr="00D250D3">
        <w:rPr>
          <w:rFonts w:cs="Calibri"/>
        </w:rPr>
        <w:t>0.025) is shown as follows:</w:t>
      </w:r>
    </w:p>
    <w:p w:rsidR="00D250D3" w:rsidRPr="00D250D3" w:rsidRDefault="00D250D3" w:rsidP="00D250D3">
      <w:pPr>
        <w:spacing w:after="0"/>
        <w:rPr>
          <w:rFonts w:cs="Calibri"/>
        </w:rPr>
      </w:pPr>
      <w:r w:rsidRPr="00D250D3">
        <w:rPr>
          <w:rFonts w:cs="Calibri"/>
          <w:u w:val="single"/>
        </w:rPr>
        <w:t>Category</w:t>
      </w:r>
      <w:r w:rsidRPr="00D250D3">
        <w:rPr>
          <w:rFonts w:cs="Calibri"/>
        </w:rPr>
        <w:t xml:space="preserve">                                     </w:t>
      </w:r>
      <w:r w:rsidRPr="00D250D3">
        <w:rPr>
          <w:rFonts w:cs="Calibri"/>
          <w:u w:val="single"/>
        </w:rPr>
        <w:t>Number of facilities</w:t>
      </w:r>
      <w:r w:rsidRPr="00D250D3">
        <w:rPr>
          <w:rFonts w:cs="Calibri"/>
        </w:rPr>
        <w:t xml:space="preserve">                  </w:t>
      </w:r>
      <w:r w:rsidRPr="00D250D3">
        <w:rPr>
          <w:rFonts w:cs="Calibri"/>
          <w:u w:val="single"/>
        </w:rPr>
        <w:t>Percent of facilities</w:t>
      </w:r>
    </w:p>
    <w:p w:rsidR="00D250D3" w:rsidRPr="00D250D3" w:rsidRDefault="00D250D3" w:rsidP="00D250D3">
      <w:pPr>
        <w:spacing w:after="0"/>
        <w:rPr>
          <w:rFonts w:cs="Calibri"/>
        </w:rPr>
      </w:pPr>
      <w:r w:rsidRPr="00D250D3">
        <w:rPr>
          <w:rFonts w:cs="Calibri"/>
        </w:rPr>
        <w:t xml:space="preserve">As expected                               5101                                                 85.7%          </w:t>
      </w:r>
    </w:p>
    <w:p w:rsidR="00D250D3" w:rsidRPr="00D250D3" w:rsidRDefault="00D250D3" w:rsidP="00D250D3">
      <w:pPr>
        <w:spacing w:after="0"/>
        <w:rPr>
          <w:rFonts w:cs="Calibri"/>
          <w:shd w:val="clear" w:color="auto" w:fill="FFFFFF"/>
        </w:rPr>
      </w:pPr>
      <w:r w:rsidRPr="00D250D3">
        <w:rPr>
          <w:rFonts w:cs="Calibri"/>
        </w:rPr>
        <w:t xml:space="preserve">Worse than expected              850                                                    14.3%          </w:t>
      </w:r>
    </w:p>
    <w:p w:rsidR="00D250D3" w:rsidRDefault="00D250D3" w:rsidP="00D61410">
      <w:pPr>
        <w:autoSpaceDE w:val="0"/>
        <w:autoSpaceDN w:val="0"/>
        <w:adjustRightInd w:val="0"/>
        <w:spacing w:after="0" w:line="240" w:lineRule="auto"/>
        <w:rPr>
          <w:rFonts w:cstheme="minorHAnsi"/>
          <w:bCs/>
        </w:rPr>
      </w:pP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D250D3" w:rsidRPr="00D250D3" w:rsidRDefault="00D250D3" w:rsidP="00D250D3">
      <w:pPr>
        <w:autoSpaceDE w:val="0"/>
        <w:autoSpaceDN w:val="0"/>
        <w:adjustRightInd w:val="0"/>
        <w:spacing w:after="0" w:line="240" w:lineRule="auto"/>
        <w:rPr>
          <w:rFonts w:cstheme="minorHAnsi"/>
          <w:bCs/>
        </w:rPr>
      </w:pPr>
      <w:r w:rsidRPr="00D250D3">
        <w:rPr>
          <w:rFonts w:cstheme="minorHAnsi"/>
          <w:bCs/>
        </w:rPr>
        <w:lastRenderedPageBreak/>
        <w:t xml:space="preserve">Using monthly measurement of phosphorus, calculated at the year-level, as the performance measure, 5101 (86%) facilities achieved expected performance, and 850 facilities (14%) have performed worse than expected when compared to the overall national proportion of facilities. </w:t>
      </w:r>
    </w:p>
    <w:p w:rsidR="00D250D3" w:rsidRPr="00A25024" w:rsidRDefault="00D250D3" w:rsidP="00D250D3">
      <w:pPr>
        <w:autoSpaceDE w:val="0"/>
        <w:autoSpaceDN w:val="0"/>
        <w:adjustRightInd w:val="0"/>
        <w:spacing w:after="0" w:line="240" w:lineRule="auto"/>
        <w:rPr>
          <w:rFonts w:cstheme="minorHAnsi"/>
          <w:bCs/>
        </w:rPr>
      </w:pPr>
      <w:r w:rsidRPr="00D250D3">
        <w:rPr>
          <w:rFonts w:cstheme="minorHAnsi"/>
          <w:bCs/>
        </w:rPr>
        <w:t>In general, lower rates of measurement of phosphorus represent worse quality of care. This analysis demonstrates both practical and statistically significant differences in performance across facilities based on their measurement of phosphorus.</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Default="00D250D3" w:rsidP="00DB3627">
      <w:pPr>
        <w:pStyle w:val="ListParagraph"/>
        <w:autoSpaceDE w:val="0"/>
        <w:autoSpaceDN w:val="0"/>
        <w:adjustRightInd w:val="0"/>
        <w:spacing w:after="0" w:line="240" w:lineRule="auto"/>
        <w:ind w:left="0"/>
        <w:rPr>
          <w:rFonts w:cstheme="minorHAnsi"/>
          <w:bCs/>
        </w:rPr>
      </w:pPr>
      <w:r>
        <w:rPr>
          <w:rFonts w:cstheme="minorHAnsi"/>
          <w:bCs/>
        </w:rPr>
        <w:t>N/A</w:t>
      </w:r>
    </w:p>
    <w:p w:rsidR="00D250D3" w:rsidRPr="00A25024" w:rsidRDefault="00D250D3" w:rsidP="00DB3627">
      <w:pPr>
        <w:pStyle w:val="ListParagraph"/>
        <w:autoSpaceDE w:val="0"/>
        <w:autoSpaceDN w:val="0"/>
        <w:adjustRightInd w:val="0"/>
        <w:spacing w:after="0" w:line="240" w:lineRule="auto"/>
        <w:ind w:left="0"/>
        <w:rPr>
          <w:rFonts w:cstheme="minorHAnsi"/>
          <w:bCs/>
        </w:rPr>
      </w:pPr>
    </w:p>
    <w:p w:rsidR="00D250D3" w:rsidRDefault="00E1508F" w:rsidP="00D250D3">
      <w:pPr>
        <w:pStyle w:val="ListParagraph"/>
        <w:autoSpaceDE w:val="0"/>
        <w:autoSpaceDN w:val="0"/>
        <w:adjustRightInd w:val="0"/>
        <w:spacing w:after="0" w:line="240" w:lineRule="auto"/>
        <w:ind w:left="0"/>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250D3">
        <w:rPr>
          <w:rFonts w:cstheme="minorHAnsi"/>
          <w:bCs/>
        </w:rPr>
        <w:t>N/A</w:t>
      </w:r>
    </w:p>
    <w:p w:rsidR="00D250D3" w:rsidRPr="00A25024" w:rsidRDefault="00D250D3" w:rsidP="00D250D3">
      <w:pPr>
        <w:pStyle w:val="ListParagraph"/>
        <w:autoSpaceDE w:val="0"/>
        <w:autoSpaceDN w:val="0"/>
        <w:adjustRightInd w:val="0"/>
        <w:spacing w:after="0" w:line="240" w:lineRule="auto"/>
        <w:ind w:left="0"/>
        <w:rPr>
          <w:rFonts w:cstheme="minorHAnsi"/>
          <w:bCs/>
        </w:rPr>
      </w:pPr>
    </w:p>
    <w:p w:rsidR="00D250D3" w:rsidRDefault="00E1508F" w:rsidP="00D250D3">
      <w:pPr>
        <w:pStyle w:val="ListParagraph"/>
        <w:autoSpaceDE w:val="0"/>
        <w:autoSpaceDN w:val="0"/>
        <w:adjustRightInd w:val="0"/>
        <w:spacing w:after="0" w:line="240" w:lineRule="auto"/>
        <w:ind w:left="0"/>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D250D3">
        <w:rPr>
          <w:rFonts w:cstheme="minorHAnsi"/>
          <w:bCs/>
        </w:rPr>
        <w:t>N/A</w:t>
      </w:r>
    </w:p>
    <w:p w:rsidR="00D250D3" w:rsidRPr="00A25024" w:rsidRDefault="00D250D3" w:rsidP="00D250D3">
      <w:pPr>
        <w:pStyle w:val="ListParagraph"/>
        <w:autoSpaceDE w:val="0"/>
        <w:autoSpaceDN w:val="0"/>
        <w:adjustRightInd w:val="0"/>
        <w:spacing w:after="0" w:line="240" w:lineRule="auto"/>
        <w:ind w:left="0"/>
        <w:rPr>
          <w:rFonts w:cstheme="minorHAnsi"/>
          <w:bCs/>
        </w:rPr>
      </w:pP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D250D3" w:rsidRDefault="008F7E67" w:rsidP="00D250D3">
      <w:pPr>
        <w:pStyle w:val="ListParagraph"/>
        <w:autoSpaceDE w:val="0"/>
        <w:autoSpaceDN w:val="0"/>
        <w:adjustRightInd w:val="0"/>
        <w:spacing w:after="0" w:line="240" w:lineRule="auto"/>
        <w:ind w:left="0"/>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proofErr w:type="gramStart"/>
      <w:r w:rsidRPr="00A25024">
        <w:rPr>
          <w:rFonts w:cstheme="minorHAnsi"/>
          <w:bCs/>
        </w:rPr>
        <w:t>)</w:t>
      </w:r>
      <w:proofErr w:type="gramEnd"/>
      <w:r w:rsidRPr="00A25024">
        <w:rPr>
          <w:rFonts w:cstheme="minorHAnsi"/>
          <w:bCs/>
        </w:rPr>
        <w:br/>
      </w:r>
      <w:r w:rsidR="00D250D3">
        <w:rPr>
          <w:rFonts w:cstheme="minorHAnsi"/>
          <w:bCs/>
        </w:rPr>
        <w:t>N/A</w:t>
      </w:r>
    </w:p>
    <w:p w:rsidR="00D250D3" w:rsidRPr="00A25024" w:rsidRDefault="00D250D3" w:rsidP="00D250D3">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D250D3" w:rsidRDefault="00D250D3" w:rsidP="00D250D3">
      <w:pPr>
        <w:pStyle w:val="ListParagraph"/>
        <w:autoSpaceDE w:val="0"/>
        <w:autoSpaceDN w:val="0"/>
        <w:adjustRightInd w:val="0"/>
        <w:spacing w:after="0" w:line="240" w:lineRule="auto"/>
        <w:ind w:left="0"/>
        <w:rPr>
          <w:rFonts w:cstheme="minorHAnsi"/>
          <w:bCs/>
        </w:rPr>
      </w:pPr>
      <w:r>
        <w:rPr>
          <w:rFonts w:cstheme="minorHAnsi"/>
          <w:bCs/>
        </w:rPr>
        <w:t>N/A</w:t>
      </w:r>
    </w:p>
    <w:p w:rsidR="00D250D3" w:rsidRPr="00A25024" w:rsidRDefault="00D250D3" w:rsidP="00D250D3">
      <w:pPr>
        <w:pStyle w:val="ListParagraph"/>
        <w:autoSpaceDE w:val="0"/>
        <w:autoSpaceDN w:val="0"/>
        <w:adjustRightInd w:val="0"/>
        <w:spacing w:after="0" w:line="240" w:lineRule="auto"/>
        <w:ind w:left="0"/>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Default="00BA053B">
      <w:pPr>
        <w:autoSpaceDE w:val="0"/>
        <w:autoSpaceDN w:val="0"/>
        <w:adjustRightInd w:val="0"/>
        <w:spacing w:after="0" w:line="240" w:lineRule="auto"/>
        <w:rPr>
          <w:rFonts w:cstheme="minorHAnsi"/>
          <w:bCs/>
        </w:rPr>
      </w:pPr>
    </w:p>
    <w:p w:rsidR="00D250D3" w:rsidRDefault="00D250D3" w:rsidP="00D250D3">
      <w:pPr>
        <w:pStyle w:val="ListParagraph"/>
        <w:autoSpaceDE w:val="0"/>
        <w:autoSpaceDN w:val="0"/>
        <w:adjustRightInd w:val="0"/>
        <w:spacing w:after="0" w:line="240" w:lineRule="auto"/>
        <w:ind w:left="0"/>
        <w:rPr>
          <w:rFonts w:cstheme="minorHAnsi"/>
          <w:bCs/>
        </w:rPr>
      </w:pPr>
      <w:r>
        <w:rPr>
          <w:rFonts w:cstheme="minorHAnsi"/>
          <w:bCs/>
        </w:rPr>
        <w:t>N/A</w:t>
      </w:r>
    </w:p>
    <w:p w:rsidR="00D250D3" w:rsidRPr="00A25024" w:rsidRDefault="00D250D3" w:rsidP="00D250D3">
      <w:pPr>
        <w:pStyle w:val="ListParagraph"/>
        <w:autoSpaceDE w:val="0"/>
        <w:autoSpaceDN w:val="0"/>
        <w:adjustRightInd w:val="0"/>
        <w:spacing w:after="0" w:line="240" w:lineRule="auto"/>
        <w:ind w:left="0"/>
        <w:rPr>
          <w:rFonts w:cstheme="minorHAnsi"/>
          <w:bCs/>
        </w:rPr>
      </w:pPr>
    </w:p>
    <w:p w:rsidR="00D250D3" w:rsidRPr="005560E7" w:rsidRDefault="00D250D3">
      <w:pPr>
        <w:autoSpaceDE w:val="0"/>
        <w:autoSpaceDN w:val="0"/>
        <w:adjustRightInd w:val="0"/>
        <w:spacing w:after="0" w:line="240" w:lineRule="auto"/>
        <w:rPr>
          <w:rFonts w:cstheme="minorHAnsi"/>
          <w:bCs/>
        </w:rPr>
      </w:pPr>
    </w:p>
    <w:sectPr w:rsidR="00D250D3"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7F5041">
      <w:rPr>
        <w:noProof/>
      </w:rPr>
      <w:t>6</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37530"/>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7F5041"/>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616B0"/>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50D3"/>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qualityforum.org/Measuring_Performance/Submitting_Standards.aspx"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BB2DF5-3BEE-48E2-8237-4578E6579BF1}">
  <ds:schemaRefs>
    <ds:schemaRef ds:uri="http://purl.org/dc/terms/"/>
    <ds:schemaRef ds:uri="http://www.w3.org/XML/1998/namespace"/>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28A57F0-1026-42DA-ABF9-A39CD784C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F60693-590D-4624-B1CF-5A2BD14ED9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4129</Words>
  <Characters>23540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Jennifer Sardone</cp:lastModifiedBy>
  <cp:revision>5</cp:revision>
  <cp:lastPrinted>2015-02-25T22:54:00Z</cp:lastPrinted>
  <dcterms:created xsi:type="dcterms:W3CDTF">2014-09-19T20:43:00Z</dcterms:created>
  <dcterms:modified xsi:type="dcterms:W3CDTF">2015-02-25T22:55:00Z</dcterms:modified>
</cp:coreProperties>
</file>