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1ADFAE"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5E0407F3" w14:textId="77777777" w:rsidR="00797624" w:rsidRDefault="00797624" w:rsidP="00105D8B">
      <w:pPr>
        <w:contextualSpacing/>
        <w:rPr>
          <w:rFonts w:cstheme="minorHAnsi"/>
          <w:b/>
          <w:noProof/>
        </w:rPr>
      </w:pPr>
    </w:p>
    <w:p w14:paraId="5BB1EB4A"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070E8F">
            <w:t>0257</w:t>
          </w:r>
        </w:sdtContent>
      </w:sdt>
    </w:p>
    <w:p w14:paraId="539C52F1"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070E8F" w:rsidRPr="00604909">
            <w:t>Maximizing Placement of Arterial Venous Fistula</w:t>
          </w:r>
        </w:sdtContent>
      </w:sdt>
    </w:p>
    <w:p w14:paraId="2F26D852" w14:textId="77777777"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5-02-27T00:00:00Z">
            <w:dateFormat w:val="M/d/yyyy"/>
            <w:lid w:val="en-US"/>
            <w:storeMappedDataAs w:val="dateTime"/>
            <w:calendar w:val="gregorian"/>
          </w:date>
        </w:sdtPr>
        <w:sdtEndPr>
          <w:rPr>
            <w:rStyle w:val="DefaultParagraphFont"/>
            <w:noProof/>
            <w:color w:val="auto"/>
            <w:u w:val="none"/>
          </w:rPr>
        </w:sdtEndPr>
        <w:sdtContent>
          <w:r w:rsidR="00E93895">
            <w:rPr>
              <w:rStyle w:val="Style2"/>
              <w:rFonts w:cstheme="minorHAnsi"/>
            </w:rPr>
            <w:t>2/27/2015</w:t>
          </w:r>
        </w:sdtContent>
      </w:sdt>
    </w:p>
    <w:p w14:paraId="0045836E"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6188EA9F" w14:textId="77777777" w:rsidTr="000B3880">
        <w:trPr>
          <w:jc w:val="center"/>
        </w:trPr>
        <w:tc>
          <w:tcPr>
            <w:tcW w:w="2547" w:type="pct"/>
          </w:tcPr>
          <w:p w14:paraId="05CFCAF0" w14:textId="77777777" w:rsidR="00CD364B" w:rsidRPr="00B82A57" w:rsidRDefault="00470DA4"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0FA9009B" w14:textId="77777777" w:rsidR="00CD364B" w:rsidRPr="00B82A57" w:rsidRDefault="00470DA4"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070E8F">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56437A4A" w14:textId="77777777" w:rsidTr="000B3880">
        <w:trPr>
          <w:jc w:val="center"/>
        </w:trPr>
        <w:tc>
          <w:tcPr>
            <w:tcW w:w="2547" w:type="pct"/>
          </w:tcPr>
          <w:p w14:paraId="5C9DC524" w14:textId="77777777" w:rsidR="00CD364B" w:rsidRPr="00B82A57" w:rsidRDefault="00470DA4"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2BA0E37A" w14:textId="77777777" w:rsidR="00CD364B" w:rsidRPr="00B82A57" w:rsidRDefault="00470DA4"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2F212DF0" w14:textId="77777777" w:rsidTr="000B3880">
        <w:trPr>
          <w:jc w:val="center"/>
        </w:trPr>
        <w:tc>
          <w:tcPr>
            <w:tcW w:w="2547" w:type="pct"/>
          </w:tcPr>
          <w:p w14:paraId="75B740D8" w14:textId="77777777" w:rsidR="00CD364B" w:rsidRPr="00B82A57" w:rsidRDefault="00470DA4"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123FA81D" w14:textId="77777777" w:rsidR="00CD364B" w:rsidRPr="00B82A57" w:rsidRDefault="00470DA4"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26EC1C04"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4AA71795" w14:textId="77777777" w:rsidTr="00145149">
        <w:trPr>
          <w:jc w:val="center"/>
        </w:trPr>
        <w:tc>
          <w:tcPr>
            <w:tcW w:w="9576" w:type="dxa"/>
          </w:tcPr>
          <w:p w14:paraId="4AFB9866" w14:textId="77777777" w:rsidR="00B53E8B" w:rsidRPr="00B53E8B" w:rsidRDefault="00B53E8B" w:rsidP="00B53E8B">
            <w:pPr>
              <w:rPr>
                <w:rFonts w:cstheme="minorHAnsi"/>
                <w:b/>
                <w:noProof/>
              </w:rPr>
            </w:pPr>
            <w:r w:rsidRPr="00B53E8B">
              <w:rPr>
                <w:rFonts w:cstheme="minorHAnsi"/>
                <w:b/>
                <w:noProof/>
              </w:rPr>
              <w:t>Instructions</w:t>
            </w:r>
          </w:p>
          <w:p w14:paraId="31125DD1"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28A5EFD2"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00EE1D6A"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49EB21FB"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5C83760C"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3A5483D3"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57520AD8"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176EE78"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tc>
      </w:tr>
    </w:tbl>
    <w:p w14:paraId="07408C7F"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101945FC" w14:textId="77777777" w:rsidTr="00145149">
        <w:trPr>
          <w:jc w:val="center"/>
        </w:trPr>
        <w:tc>
          <w:tcPr>
            <w:tcW w:w="9576" w:type="dxa"/>
          </w:tcPr>
          <w:p w14:paraId="525A8927"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764C6CAA" w14:textId="77777777" w:rsidR="00B53E8B" w:rsidRPr="00A831B4" w:rsidRDefault="00B53E8B" w:rsidP="00702C73">
            <w:pPr>
              <w:rPr>
                <w:rFonts w:cstheme="minorHAnsi"/>
                <w:b/>
                <w:bCs/>
                <w:sz w:val="20"/>
                <w:szCs w:val="20"/>
              </w:rPr>
            </w:pPr>
          </w:p>
          <w:p w14:paraId="6CF1AB3E"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0E436289" w14:textId="77777777" w:rsidR="00145149" w:rsidRPr="000F034A" w:rsidRDefault="00145149" w:rsidP="00145149">
            <w:pPr>
              <w:autoSpaceDE w:val="0"/>
              <w:autoSpaceDN w:val="0"/>
              <w:adjustRightInd w:val="0"/>
              <w:rPr>
                <w:rFonts w:cstheme="minorHAnsi"/>
                <w:b/>
                <w:iCs/>
              </w:rPr>
            </w:pPr>
          </w:p>
          <w:p w14:paraId="4A27E2BB"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77320C47" w14:textId="77777777" w:rsidR="00145149" w:rsidRPr="000F034A" w:rsidRDefault="00145149" w:rsidP="00145149">
            <w:pPr>
              <w:rPr>
                <w:rFonts w:cstheme="minorHAnsi"/>
              </w:rPr>
            </w:pPr>
            <w:bookmarkStart w:id="0" w:name="_Toc256067249"/>
          </w:p>
          <w:p w14:paraId="560DF2A8"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70230267" w14:textId="77777777" w:rsidR="00145149" w:rsidRPr="000F034A" w:rsidRDefault="00145149" w:rsidP="00145149">
            <w:pPr>
              <w:rPr>
                <w:rFonts w:cstheme="minorHAnsi"/>
                <w:b/>
              </w:rPr>
            </w:pPr>
            <w:r w:rsidRPr="000F034A">
              <w:rPr>
                <w:rFonts w:cstheme="minorHAnsi"/>
                <w:b/>
              </w:rPr>
              <w:t xml:space="preserve">AND </w:t>
            </w:r>
          </w:p>
          <w:p w14:paraId="0A200E6D"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AD61962" w14:textId="77777777" w:rsidR="00145149" w:rsidRPr="000F034A" w:rsidRDefault="00145149" w:rsidP="00145149">
            <w:pPr>
              <w:rPr>
                <w:rFonts w:cstheme="minorHAnsi"/>
                <w:b/>
                <w:bCs/>
              </w:rPr>
            </w:pPr>
          </w:p>
          <w:p w14:paraId="52987767" w14:textId="77777777"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3E298A1A"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5AA3DF8F" w14:textId="77777777" w:rsidR="00145149" w:rsidRPr="000F034A" w:rsidRDefault="00145149" w:rsidP="00145149">
            <w:pPr>
              <w:rPr>
                <w:rFonts w:cstheme="minorHAnsi"/>
                <w:b/>
              </w:rPr>
            </w:pPr>
            <w:r w:rsidRPr="000F034A">
              <w:rPr>
                <w:rFonts w:cstheme="minorHAnsi"/>
                <w:b/>
              </w:rPr>
              <w:t>OR</w:t>
            </w:r>
          </w:p>
          <w:p w14:paraId="5BC4622A"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17F6D0B5" w14:textId="77777777" w:rsidR="00145149" w:rsidRPr="000F034A" w:rsidRDefault="00145149" w:rsidP="00145149">
            <w:pPr>
              <w:rPr>
                <w:rFonts w:cstheme="minorHAnsi"/>
                <w:b/>
                <w:bCs/>
              </w:rPr>
            </w:pPr>
          </w:p>
          <w:bookmarkEnd w:id="1"/>
          <w:p w14:paraId="72B1755C"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1CF040D0" w14:textId="77777777" w:rsidR="00145149" w:rsidRPr="000F034A" w:rsidRDefault="00145149" w:rsidP="00145149">
            <w:pPr>
              <w:rPr>
                <w:rFonts w:cstheme="minorHAnsi"/>
              </w:rPr>
            </w:pPr>
            <w:r w:rsidRPr="000F034A">
              <w:rPr>
                <w:rFonts w:cstheme="minorHAnsi"/>
                <w:b/>
              </w:rPr>
              <w:t>OR</w:t>
            </w:r>
          </w:p>
          <w:p w14:paraId="47F31EBD"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54EF14D2" w14:textId="77777777" w:rsidR="00145149" w:rsidRPr="000F034A" w:rsidRDefault="00145149" w:rsidP="00145149">
            <w:pPr>
              <w:rPr>
                <w:rFonts w:cstheme="minorHAnsi"/>
                <w:b/>
                <w:bCs/>
              </w:rPr>
            </w:pPr>
          </w:p>
          <w:p w14:paraId="72FEA629"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2E3965FC" w14:textId="77777777" w:rsidR="00E30584" w:rsidRPr="000F034A" w:rsidRDefault="00E30584" w:rsidP="00145149">
            <w:pPr>
              <w:rPr>
                <w:rFonts w:cstheme="minorHAnsi"/>
              </w:rPr>
            </w:pPr>
          </w:p>
          <w:p w14:paraId="6B0A4E62"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056DFDA4" w14:textId="77777777" w:rsidR="00145149" w:rsidRPr="00A831B4" w:rsidRDefault="00145149" w:rsidP="00145149">
            <w:pPr>
              <w:rPr>
                <w:rFonts w:cstheme="minorHAnsi"/>
                <w:b/>
                <w:bCs/>
                <w:sz w:val="20"/>
                <w:szCs w:val="20"/>
              </w:rPr>
            </w:pPr>
          </w:p>
          <w:p w14:paraId="67A82FC1"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3A3CDB47"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4BB4F64E"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7859DB0F"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2A35CEA7"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6D45AE6A"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2540F8DE"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489826E7"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349E94C3" w14:textId="77777777" w:rsidR="00BC0D25" w:rsidRDefault="00BC0D25" w:rsidP="00702C73">
      <w:pPr>
        <w:spacing w:after="0" w:line="240" w:lineRule="auto"/>
        <w:rPr>
          <w:rFonts w:cstheme="minorHAnsi"/>
          <w:noProof/>
        </w:rPr>
      </w:pPr>
    </w:p>
    <w:p w14:paraId="42BDC9DE" w14:textId="77777777" w:rsidR="00702C73" w:rsidRPr="00702C73" w:rsidRDefault="00702C73" w:rsidP="00702C73">
      <w:pPr>
        <w:spacing w:after="0" w:line="240" w:lineRule="auto"/>
        <w:rPr>
          <w:rFonts w:cstheme="minorHAnsi"/>
          <w:noProof/>
        </w:rPr>
      </w:pPr>
    </w:p>
    <w:p w14:paraId="05F61900"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4D29D630"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590ACA53" w14:textId="77777777" w:rsidR="000574AB" w:rsidRPr="00A25024" w:rsidRDefault="000574AB" w:rsidP="008A403A">
      <w:pPr>
        <w:spacing w:after="0" w:line="240" w:lineRule="auto"/>
        <w:rPr>
          <w:rFonts w:cstheme="minorHAnsi"/>
          <w:noProof/>
        </w:rPr>
      </w:pPr>
    </w:p>
    <w:p w14:paraId="0E00B8A8"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0302186E" w14:textId="77777777" w:rsidTr="0014773C">
        <w:trPr>
          <w:jc w:val="center"/>
        </w:trPr>
        <w:tc>
          <w:tcPr>
            <w:tcW w:w="5208" w:type="dxa"/>
            <w:shd w:val="clear" w:color="auto" w:fill="D9D9D9" w:themeFill="background1" w:themeFillShade="D9"/>
          </w:tcPr>
          <w:p w14:paraId="4CB8CB1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685404D3"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7A49F9D3"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6F6AEA3E" w14:textId="77777777" w:rsidTr="0014773C">
        <w:trPr>
          <w:jc w:val="center"/>
        </w:trPr>
        <w:tc>
          <w:tcPr>
            <w:tcW w:w="5208" w:type="dxa"/>
          </w:tcPr>
          <w:p w14:paraId="026FE258" w14:textId="77777777" w:rsidR="00A01494" w:rsidRPr="00A01494" w:rsidRDefault="00470DA4"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DC2CB9">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194B0E29" w14:textId="77777777" w:rsidR="00A01494" w:rsidRPr="00A01494" w:rsidRDefault="00470DA4"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631A89C1" w14:textId="77777777" w:rsidTr="0014773C">
        <w:trPr>
          <w:jc w:val="center"/>
        </w:trPr>
        <w:tc>
          <w:tcPr>
            <w:tcW w:w="5208" w:type="dxa"/>
          </w:tcPr>
          <w:p w14:paraId="73A93D4E" w14:textId="77777777" w:rsidR="00A01494" w:rsidRPr="00A01494" w:rsidRDefault="00470DA4"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DC2CB9">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3EA1DFFC" w14:textId="77777777" w:rsidR="00A01494" w:rsidRPr="00A01494" w:rsidRDefault="00470DA4"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CD08A9">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0492184D" w14:textId="77777777" w:rsidTr="0014773C">
        <w:trPr>
          <w:jc w:val="center"/>
        </w:trPr>
        <w:tc>
          <w:tcPr>
            <w:tcW w:w="5208" w:type="dxa"/>
          </w:tcPr>
          <w:p w14:paraId="0C23AEB2" w14:textId="77777777" w:rsidR="00A01494" w:rsidRPr="00A01494" w:rsidRDefault="00470DA4"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711877">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4FF1A6A0" w14:textId="77777777" w:rsidR="00A01494" w:rsidRPr="00A01494" w:rsidRDefault="00470DA4"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E93895">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00B17346" w14:textId="77777777" w:rsidTr="0014773C">
        <w:trPr>
          <w:jc w:val="center"/>
        </w:trPr>
        <w:tc>
          <w:tcPr>
            <w:tcW w:w="5208" w:type="dxa"/>
          </w:tcPr>
          <w:p w14:paraId="73BB0315" w14:textId="77777777" w:rsidR="00A01494" w:rsidRPr="00A01494" w:rsidRDefault="00470DA4"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687236E9" w14:textId="77777777" w:rsidR="00A01494" w:rsidRPr="00A01494" w:rsidRDefault="00470DA4"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4D8F40F1" w14:textId="77777777" w:rsidTr="0014773C">
        <w:trPr>
          <w:jc w:val="center"/>
        </w:trPr>
        <w:tc>
          <w:tcPr>
            <w:tcW w:w="5208" w:type="dxa"/>
          </w:tcPr>
          <w:p w14:paraId="329FE3C0" w14:textId="77777777" w:rsidR="00A01494" w:rsidRPr="00A01494" w:rsidRDefault="00470DA4"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3AF113BE" w14:textId="77777777" w:rsidR="00A01494" w:rsidRPr="00A01494" w:rsidRDefault="00470DA4"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0CDD6B23" w14:textId="77777777" w:rsidTr="0014773C">
        <w:trPr>
          <w:jc w:val="center"/>
        </w:trPr>
        <w:tc>
          <w:tcPr>
            <w:tcW w:w="5208" w:type="dxa"/>
          </w:tcPr>
          <w:p w14:paraId="0BBB48B4" w14:textId="77777777" w:rsidR="00A01494" w:rsidRPr="00A01494" w:rsidRDefault="00470DA4"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2AE0CB21" w14:textId="77777777" w:rsidR="00A01494" w:rsidRPr="00A01494" w:rsidRDefault="00470DA4"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2563CF65"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1181995" w14:textId="77777777" w:rsidR="00021170"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149A0BF9" w14:textId="77777777" w:rsidR="00E93895" w:rsidRPr="00A01494" w:rsidRDefault="00E93895" w:rsidP="00DB3627">
      <w:pPr>
        <w:autoSpaceDE w:val="0"/>
        <w:autoSpaceDN w:val="0"/>
        <w:adjustRightInd w:val="0"/>
        <w:spacing w:after="0" w:line="240" w:lineRule="auto"/>
        <w:rPr>
          <w:rFonts w:cstheme="minorHAnsi"/>
          <w:b/>
          <w:bCs/>
        </w:rPr>
      </w:pPr>
    </w:p>
    <w:p w14:paraId="74CA14B0" w14:textId="77777777" w:rsidR="00C355B9" w:rsidRDefault="00711877" w:rsidP="00DB3627">
      <w:pPr>
        <w:autoSpaceDE w:val="0"/>
        <w:autoSpaceDN w:val="0"/>
        <w:adjustRightInd w:val="0"/>
        <w:spacing w:after="0" w:line="240" w:lineRule="auto"/>
        <w:rPr>
          <w:szCs w:val="20"/>
        </w:rPr>
      </w:pPr>
      <w:r w:rsidRPr="00711877">
        <w:rPr>
          <w:szCs w:val="20"/>
        </w:rPr>
        <w:t>We analyzed national CROWNWeb data from January 2013-December 2013.</w:t>
      </w:r>
    </w:p>
    <w:p w14:paraId="0788A95A" w14:textId="77777777" w:rsidR="00CD08A9" w:rsidRDefault="00CD08A9" w:rsidP="00DB3627">
      <w:pPr>
        <w:autoSpaceDE w:val="0"/>
        <w:autoSpaceDN w:val="0"/>
        <w:adjustRightInd w:val="0"/>
        <w:spacing w:after="0" w:line="240" w:lineRule="auto"/>
        <w:rPr>
          <w:szCs w:val="20"/>
        </w:rPr>
      </w:pPr>
    </w:p>
    <w:p w14:paraId="20D591E0" w14:textId="77777777" w:rsidR="00CD08A9" w:rsidRPr="00711877" w:rsidRDefault="00CD08A9" w:rsidP="00DB3627">
      <w:pPr>
        <w:autoSpaceDE w:val="0"/>
        <w:autoSpaceDN w:val="0"/>
        <w:adjustRightInd w:val="0"/>
        <w:spacing w:after="0" w:line="240" w:lineRule="auto"/>
        <w:rPr>
          <w:rFonts w:cstheme="minorHAnsi"/>
          <w:bCs/>
          <w:sz w:val="24"/>
        </w:rPr>
      </w:pPr>
      <w:r w:rsidRPr="00C25245">
        <w:rPr>
          <w:rFonts w:cstheme="minorHAnsi"/>
          <w:bCs/>
        </w:rPr>
        <w:t>For section 2b6, we compare 2013 CROWNWeb data to 2013 Medicare claims data.</w:t>
      </w:r>
    </w:p>
    <w:p w14:paraId="3C4A1059" w14:textId="77777777" w:rsidR="009E1846" w:rsidRDefault="009E1846" w:rsidP="00DB3627">
      <w:pPr>
        <w:autoSpaceDE w:val="0"/>
        <w:autoSpaceDN w:val="0"/>
        <w:adjustRightInd w:val="0"/>
        <w:spacing w:after="0" w:line="240" w:lineRule="auto"/>
        <w:rPr>
          <w:rFonts w:cstheme="minorHAnsi"/>
          <w:b/>
        </w:rPr>
      </w:pPr>
    </w:p>
    <w:p w14:paraId="0061F53C"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szCs w:val="20"/>
          </w:rPr>
          <w:id w:val="950514773"/>
          <w:text/>
        </w:sdtPr>
        <w:sdtEndPr/>
        <w:sdtContent>
          <w:r w:rsidR="00E93895" w:rsidRPr="00E93895">
            <w:rPr>
              <w:szCs w:val="20"/>
            </w:rPr>
            <w:t>January 2013-December 2013</w:t>
          </w:r>
        </w:sdtContent>
      </w:sdt>
    </w:p>
    <w:p w14:paraId="4909BC8A" w14:textId="77777777" w:rsidR="00711877" w:rsidRDefault="00711877" w:rsidP="00DB3627">
      <w:pPr>
        <w:autoSpaceDE w:val="0"/>
        <w:autoSpaceDN w:val="0"/>
        <w:adjustRightInd w:val="0"/>
        <w:spacing w:after="0" w:line="240" w:lineRule="auto"/>
        <w:rPr>
          <w:rFonts w:cstheme="minorHAnsi"/>
          <w:bCs/>
        </w:rPr>
      </w:pPr>
    </w:p>
    <w:p w14:paraId="1592C763" w14:textId="77777777" w:rsidR="00E93895" w:rsidRDefault="00E93895" w:rsidP="00DB3627">
      <w:pPr>
        <w:autoSpaceDE w:val="0"/>
        <w:autoSpaceDN w:val="0"/>
        <w:adjustRightInd w:val="0"/>
        <w:spacing w:after="0" w:line="240" w:lineRule="auto"/>
        <w:rPr>
          <w:rFonts w:cstheme="minorHAnsi"/>
          <w:bCs/>
        </w:rPr>
      </w:pPr>
    </w:p>
    <w:p w14:paraId="3AF7ED3E"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6BB8AD16" w14:textId="77777777" w:rsidTr="000414E8">
        <w:trPr>
          <w:jc w:val="center"/>
        </w:trPr>
        <w:tc>
          <w:tcPr>
            <w:tcW w:w="5027" w:type="dxa"/>
            <w:shd w:val="clear" w:color="auto" w:fill="D9D9D9" w:themeFill="background1" w:themeFillShade="D9"/>
          </w:tcPr>
          <w:p w14:paraId="545539EA"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649BB067"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43CB5CEC"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99AEF19" w14:textId="77777777" w:rsidTr="000414E8">
        <w:trPr>
          <w:jc w:val="center"/>
        </w:trPr>
        <w:tc>
          <w:tcPr>
            <w:tcW w:w="5027" w:type="dxa"/>
          </w:tcPr>
          <w:p w14:paraId="26D51FA7" w14:textId="77777777" w:rsidR="000414E8" w:rsidRPr="00A01494" w:rsidRDefault="00470DA4"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592C0A7B" w14:textId="77777777" w:rsidR="000414E8" w:rsidRPr="00A01494" w:rsidRDefault="00470DA4"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6B0D9C95" w14:textId="77777777" w:rsidTr="000414E8">
        <w:trPr>
          <w:jc w:val="center"/>
        </w:trPr>
        <w:tc>
          <w:tcPr>
            <w:tcW w:w="5027" w:type="dxa"/>
          </w:tcPr>
          <w:p w14:paraId="17D34077" w14:textId="77777777" w:rsidR="000414E8" w:rsidRPr="00A01494" w:rsidRDefault="00470DA4"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1E5CD96B" w14:textId="77777777" w:rsidR="000414E8" w:rsidRPr="00A01494" w:rsidRDefault="00470DA4"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6E1098C0" w14:textId="77777777" w:rsidTr="000414E8">
        <w:trPr>
          <w:jc w:val="center"/>
        </w:trPr>
        <w:tc>
          <w:tcPr>
            <w:tcW w:w="5027" w:type="dxa"/>
          </w:tcPr>
          <w:p w14:paraId="043D019C" w14:textId="77777777" w:rsidR="000414E8" w:rsidRPr="00A01494" w:rsidRDefault="00470DA4"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711877">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33736C5A" w14:textId="77777777" w:rsidR="000414E8" w:rsidRPr="00A01494" w:rsidRDefault="00470DA4"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E9389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33A700FA" w14:textId="77777777" w:rsidTr="000414E8">
        <w:trPr>
          <w:jc w:val="center"/>
        </w:trPr>
        <w:tc>
          <w:tcPr>
            <w:tcW w:w="5027" w:type="dxa"/>
          </w:tcPr>
          <w:p w14:paraId="0DC0F8B6" w14:textId="77777777" w:rsidR="000414E8" w:rsidRPr="00A01494" w:rsidRDefault="00470DA4"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3F121471" w14:textId="77777777" w:rsidR="000414E8" w:rsidRPr="00A01494" w:rsidRDefault="00470DA4"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1E08CBD1" w14:textId="77777777" w:rsidTr="000414E8">
        <w:trPr>
          <w:jc w:val="center"/>
        </w:trPr>
        <w:tc>
          <w:tcPr>
            <w:tcW w:w="5027" w:type="dxa"/>
          </w:tcPr>
          <w:p w14:paraId="28DD4D11" w14:textId="77777777" w:rsidR="000414E8" w:rsidRPr="00A01494" w:rsidRDefault="00470DA4"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4CE23B46" w14:textId="77777777" w:rsidR="000414E8" w:rsidRPr="00A01494" w:rsidRDefault="00470DA4"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527FCD2B" w14:textId="77777777" w:rsidR="000414E8" w:rsidRPr="00A25024" w:rsidRDefault="000414E8" w:rsidP="00DB3627">
      <w:pPr>
        <w:autoSpaceDE w:val="0"/>
        <w:autoSpaceDN w:val="0"/>
        <w:adjustRightInd w:val="0"/>
        <w:spacing w:after="0" w:line="240" w:lineRule="auto"/>
        <w:rPr>
          <w:rFonts w:cstheme="minorHAnsi"/>
          <w:bCs/>
        </w:rPr>
      </w:pPr>
    </w:p>
    <w:p w14:paraId="0BEEC5F6"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14:paraId="622D31F3" w14:textId="77777777" w:rsidR="002B5016" w:rsidRPr="00711877" w:rsidRDefault="00711877" w:rsidP="00DB3627">
      <w:pPr>
        <w:autoSpaceDE w:val="0"/>
        <w:autoSpaceDN w:val="0"/>
        <w:adjustRightInd w:val="0"/>
        <w:spacing w:after="0" w:line="240" w:lineRule="auto"/>
        <w:rPr>
          <w:szCs w:val="20"/>
        </w:rPr>
      </w:pPr>
      <w:r w:rsidRPr="00711877">
        <w:rPr>
          <w:szCs w:val="20"/>
        </w:rPr>
        <w:t>The number of facilities ranged from 5,592-</w:t>
      </w:r>
      <w:r w:rsidR="00E93895" w:rsidRPr="00711877">
        <w:rPr>
          <w:szCs w:val="20"/>
        </w:rPr>
        <w:t>5,670 and</w:t>
      </w:r>
      <w:r w:rsidRPr="00711877">
        <w:rPr>
          <w:szCs w:val="20"/>
        </w:rPr>
        <w:t xml:space="preserve"> the total number of patient-months per month ranged from 348,199-358,263.</w:t>
      </w:r>
      <w:r w:rsidR="00621B7D">
        <w:rPr>
          <w:szCs w:val="20"/>
        </w:rPr>
        <w:t xml:space="preserve"> </w:t>
      </w:r>
      <w:r w:rsidR="00621B7D" w:rsidRPr="00621B7D">
        <w:rPr>
          <w:szCs w:val="20"/>
        </w:rPr>
        <w:t xml:space="preserve">Public reporting of this measure on DFC or in the ESRD QIP would be </w:t>
      </w:r>
      <w:r w:rsidR="00621B7D" w:rsidRPr="00621B7D">
        <w:rPr>
          <w:szCs w:val="20"/>
        </w:rPr>
        <w:lastRenderedPageBreak/>
        <w:t>restricted to facilities with at least 11 eligible patients for the measure. We have applied this restriction to all the reliability and validity testing reported here.</w:t>
      </w:r>
    </w:p>
    <w:p w14:paraId="7AE23155" w14:textId="77777777" w:rsidR="00711877" w:rsidRPr="00A25024" w:rsidRDefault="00711877" w:rsidP="00DB3627">
      <w:pPr>
        <w:autoSpaceDE w:val="0"/>
        <w:autoSpaceDN w:val="0"/>
        <w:adjustRightInd w:val="0"/>
        <w:spacing w:after="0" w:line="240" w:lineRule="auto"/>
        <w:rPr>
          <w:rFonts w:cstheme="minorHAnsi"/>
          <w:bCs/>
        </w:rPr>
      </w:pPr>
    </w:p>
    <w:p w14:paraId="528B85F6" w14:textId="77777777" w:rsidR="00E93895"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4D9F006A" w14:textId="77777777" w:rsidR="007422FD" w:rsidRDefault="007422FD" w:rsidP="00DB3627">
      <w:pPr>
        <w:autoSpaceDE w:val="0"/>
        <w:autoSpaceDN w:val="0"/>
        <w:adjustRightInd w:val="0"/>
        <w:spacing w:after="0" w:line="240" w:lineRule="auto"/>
        <w:rPr>
          <w:sz w:val="20"/>
          <w:szCs w:val="20"/>
        </w:rPr>
      </w:pPr>
      <w:r w:rsidRPr="00A25024">
        <w:rPr>
          <w:rFonts w:cstheme="minorHAnsi"/>
          <w:bCs/>
        </w:rPr>
        <w:br/>
      </w:r>
      <w:r w:rsidR="00711877" w:rsidRPr="00711877">
        <w:rPr>
          <w:szCs w:val="20"/>
        </w:rPr>
        <w:t>There were total of 4,226,245 eligible patient months. Among those patient months over the whole year, the average age was 63 years, 44% of patients were female, 55% were white, 38% were black, 4% were Asian, 17% were Hispanic, and 46% had Type II Diabetes as the primary cause of ESRD.</w:t>
      </w:r>
    </w:p>
    <w:p w14:paraId="67DFB860" w14:textId="77777777" w:rsidR="00711877" w:rsidRDefault="00711877" w:rsidP="00DB3627">
      <w:pPr>
        <w:autoSpaceDE w:val="0"/>
        <w:autoSpaceDN w:val="0"/>
        <w:adjustRightInd w:val="0"/>
        <w:spacing w:after="0" w:line="240" w:lineRule="auto"/>
        <w:rPr>
          <w:rFonts w:cstheme="minorHAnsi"/>
          <w:bCs/>
        </w:rPr>
      </w:pPr>
    </w:p>
    <w:p w14:paraId="0CB11ADD"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160378D" w14:textId="77777777" w:rsidR="00E93895" w:rsidRDefault="00E93895" w:rsidP="00E37E1B">
      <w:pPr>
        <w:autoSpaceDE w:val="0"/>
        <w:autoSpaceDN w:val="0"/>
        <w:adjustRightInd w:val="0"/>
        <w:spacing w:after="0" w:line="240" w:lineRule="auto"/>
        <w:rPr>
          <w:rFonts w:cstheme="minorHAnsi"/>
          <w:bCs/>
        </w:rPr>
      </w:pPr>
    </w:p>
    <w:p w14:paraId="633FD697" w14:textId="77777777" w:rsidR="00E37E1B" w:rsidRPr="00711877" w:rsidRDefault="00711877" w:rsidP="00E37E1B">
      <w:pPr>
        <w:autoSpaceDE w:val="0"/>
        <w:autoSpaceDN w:val="0"/>
        <w:adjustRightInd w:val="0"/>
        <w:spacing w:after="0" w:line="240" w:lineRule="auto"/>
        <w:rPr>
          <w:rFonts w:cstheme="minorHAnsi"/>
          <w:bCs/>
          <w:sz w:val="24"/>
        </w:rPr>
      </w:pPr>
      <w:r w:rsidRPr="00711877">
        <w:rPr>
          <w:szCs w:val="20"/>
        </w:rPr>
        <w:t>N/A</w:t>
      </w:r>
    </w:p>
    <w:p w14:paraId="23184BCE"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7620E0D2"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665DC0F6"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35C09421" w14:textId="77777777" w:rsidR="008C54A9" w:rsidRPr="00A25024" w:rsidRDefault="008C54A9" w:rsidP="00DB3627">
      <w:pPr>
        <w:autoSpaceDE w:val="0"/>
        <w:autoSpaceDN w:val="0"/>
        <w:adjustRightInd w:val="0"/>
        <w:spacing w:after="0" w:line="240" w:lineRule="auto"/>
        <w:rPr>
          <w:rFonts w:cstheme="minorHAnsi"/>
          <w:b/>
          <w:bCs/>
        </w:rPr>
      </w:pPr>
    </w:p>
    <w:p w14:paraId="37FF8C02" w14:textId="7777777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711877">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61AAF048" w14:textId="77777777" w:rsidR="00621B7D" w:rsidRPr="00A25024" w:rsidRDefault="00621B7D" w:rsidP="008C54A9">
      <w:pPr>
        <w:autoSpaceDE w:val="0"/>
        <w:autoSpaceDN w:val="0"/>
        <w:adjustRightInd w:val="0"/>
        <w:spacing w:after="0" w:line="240" w:lineRule="auto"/>
        <w:rPr>
          <w:rFonts w:cstheme="minorHAnsi"/>
          <w:bCs/>
        </w:rPr>
      </w:pPr>
    </w:p>
    <w:p w14:paraId="75D0E5E6" w14:textId="77777777" w:rsidR="00711877" w:rsidRPr="00711877" w:rsidRDefault="00711877" w:rsidP="00711877">
      <w:pPr>
        <w:spacing w:after="0"/>
        <w:rPr>
          <w:rFonts w:cs="Helvetica"/>
          <w:szCs w:val="20"/>
        </w:rPr>
      </w:pPr>
      <w:r w:rsidRPr="00711877">
        <w:rPr>
          <w:rFonts w:cs="Helvetica"/>
          <w:szCs w:val="20"/>
        </w:rPr>
        <w:t>We used January 2013 – December 2013 CROWNWeb data to calculate facility level monthly and annual performance scores. We assessed reliability by calculating inter-unit reliability (IUR) for each reporting month and the overall 12 months. The monthly based measure was a simple average across individuals in the facility. The NQF-recommended approach for determining measure reliability is a one-way analysis of variance (ANOVA), in which the between and within facility variation in the measure is determined. The inter-unit reliability (IUR) measures the proportion of the measure variability that is attributable to the between-facility variance. The yearly based measure, however, is not a simple average and we instead estimate the IUR using a bootstrap approach, which uses a resampling scheme to estimate the within facility variation that cannot be directly estimated by ANOVA. We note that the method for calculating the IUR was developed for measures that are approximately normally distributed across facilities.  Since this measure is not normally distributed, the IUR value should be interpreted with some caution.</w:t>
      </w:r>
    </w:p>
    <w:p w14:paraId="6A10B066" w14:textId="77777777" w:rsidR="00711877" w:rsidRPr="00711877" w:rsidRDefault="00711877" w:rsidP="00711877">
      <w:pPr>
        <w:spacing w:after="0"/>
        <w:rPr>
          <w:rFonts w:cs="Helvetica"/>
          <w:szCs w:val="20"/>
        </w:rPr>
      </w:pPr>
    </w:p>
    <w:p w14:paraId="1D4C1F09" w14:textId="77777777" w:rsidR="008C54A9" w:rsidRPr="00711877" w:rsidRDefault="00711877" w:rsidP="00711877">
      <w:pPr>
        <w:autoSpaceDE w:val="0"/>
        <w:autoSpaceDN w:val="0"/>
        <w:adjustRightInd w:val="0"/>
        <w:spacing w:after="0" w:line="240" w:lineRule="auto"/>
        <w:rPr>
          <w:rFonts w:cstheme="minorHAnsi"/>
          <w:bCs/>
          <w:sz w:val="24"/>
        </w:rPr>
      </w:pPr>
      <w:r w:rsidRPr="00711877">
        <w:rPr>
          <w:rFonts w:cs="Helvetica"/>
          <w:szCs w:val="20"/>
        </w:rPr>
        <w:lastRenderedPageBreak/>
        <w:t>We also did a comparison of the data elements used to calculate this measure in order to assess comparability of the calculations using two Medicare data sources. The measure was calculated using Medicare claims and using CROWNWeb clinical data). The method of this comparison is further described in 2b6.1.</w:t>
      </w:r>
    </w:p>
    <w:p w14:paraId="0C4F57EA" w14:textId="77777777" w:rsidR="00E93895" w:rsidRDefault="00092566" w:rsidP="00711877">
      <w:pPr>
        <w:spacing w:after="120"/>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5AEC75F6" w14:textId="77777777" w:rsidR="00711877" w:rsidRPr="00711877" w:rsidRDefault="0048008A" w:rsidP="00711877">
      <w:pPr>
        <w:spacing w:after="120"/>
        <w:rPr>
          <w:szCs w:val="20"/>
        </w:rPr>
      </w:pPr>
      <w:r w:rsidRPr="00A25024">
        <w:rPr>
          <w:rFonts w:cstheme="minorHAnsi"/>
          <w:bCs/>
        </w:rPr>
        <w:br/>
      </w:r>
      <w:r w:rsidR="00711877" w:rsidRPr="00711877">
        <w:rPr>
          <w:szCs w:val="20"/>
        </w:rPr>
        <w:t xml:space="preserve">For reliability we calculated the monthly and annual IUR across the 12 reporting months. As explained above, the method for calculating the IUR was developed for measures that are approximately normally distributed across facilities.  IUR=0.75637, which is high and suggests 76% of variation in the measure is attributed to between facility variation.  </w:t>
      </w:r>
    </w:p>
    <w:p w14:paraId="3C7642EC" w14:textId="0B035EB2" w:rsidR="007422FD" w:rsidRPr="00711877" w:rsidRDefault="00711877" w:rsidP="00711877">
      <w:pPr>
        <w:autoSpaceDE w:val="0"/>
        <w:autoSpaceDN w:val="0"/>
        <w:adjustRightInd w:val="0"/>
        <w:spacing w:after="0" w:line="240" w:lineRule="auto"/>
        <w:rPr>
          <w:szCs w:val="20"/>
        </w:rPr>
      </w:pPr>
      <w:r w:rsidRPr="00711877">
        <w:rPr>
          <w:szCs w:val="20"/>
        </w:rPr>
        <w:t xml:space="preserve">The results of our examination of agreement between the measure </w:t>
      </w:r>
      <w:r w:rsidR="00923741" w:rsidRPr="00711877">
        <w:rPr>
          <w:szCs w:val="20"/>
        </w:rPr>
        <w:t>calculate</w:t>
      </w:r>
      <w:r w:rsidR="00923741">
        <w:rPr>
          <w:szCs w:val="20"/>
        </w:rPr>
        <w:t>d </w:t>
      </w:r>
      <w:r w:rsidRPr="00711877">
        <w:rPr>
          <w:szCs w:val="20"/>
        </w:rPr>
        <w:t>with Medicare claims and CROWNWeb can be found in 2b6.2.</w:t>
      </w:r>
    </w:p>
    <w:p w14:paraId="1FF2286F" w14:textId="77777777" w:rsidR="00711877" w:rsidRPr="00A25024" w:rsidRDefault="00711877" w:rsidP="00711877">
      <w:pPr>
        <w:autoSpaceDE w:val="0"/>
        <w:autoSpaceDN w:val="0"/>
        <w:adjustRightInd w:val="0"/>
        <w:spacing w:after="0" w:line="240" w:lineRule="auto"/>
        <w:rPr>
          <w:rFonts w:cstheme="minorHAnsi"/>
          <w:bCs/>
        </w:rPr>
      </w:pPr>
    </w:p>
    <w:p w14:paraId="2805F5DB" w14:textId="77777777" w:rsidR="00E93895"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07B589A2" w14:textId="77777777" w:rsidR="00E93895" w:rsidRDefault="00E93895" w:rsidP="00DB3627">
      <w:pPr>
        <w:autoSpaceDE w:val="0"/>
        <w:autoSpaceDN w:val="0"/>
        <w:adjustRightInd w:val="0"/>
        <w:spacing w:after="0" w:line="240" w:lineRule="auto"/>
        <w:rPr>
          <w:rFonts w:cstheme="minorHAnsi"/>
          <w:bCs/>
        </w:rPr>
      </w:pPr>
    </w:p>
    <w:p w14:paraId="5A6DD2BC" w14:textId="77777777" w:rsidR="007422FD" w:rsidRPr="00A25024" w:rsidRDefault="00711877" w:rsidP="00DB3627">
      <w:pPr>
        <w:autoSpaceDE w:val="0"/>
        <w:autoSpaceDN w:val="0"/>
        <w:adjustRightInd w:val="0"/>
        <w:spacing w:after="0" w:line="240" w:lineRule="auto"/>
        <w:rPr>
          <w:rFonts w:cstheme="minorHAnsi"/>
          <w:bCs/>
        </w:rPr>
      </w:pPr>
      <w:r w:rsidRPr="00711877">
        <w:rPr>
          <w:szCs w:val="20"/>
        </w:rPr>
        <w:t xml:space="preserve">The IUR suggest this measure is reliable. However, since the distribution of performance scores is skewed, the IUR value should be interpreted with some caution. The interpretation of the </w:t>
      </w:r>
      <w:r w:rsidR="00E93895" w:rsidRPr="00711877">
        <w:rPr>
          <w:szCs w:val="20"/>
        </w:rPr>
        <w:t>results of</w:t>
      </w:r>
      <w:r w:rsidRPr="00711877">
        <w:rPr>
          <w:szCs w:val="20"/>
        </w:rPr>
        <w:t xml:space="preserve"> our comparison between Medicare claims and CROWNWeb can be found in 2b6.3.</w:t>
      </w:r>
    </w:p>
    <w:p w14:paraId="423A49B1"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5129EB82"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503CBCC2" w14:textId="77777777"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452232D9" w14:textId="77777777" w:rsidR="00696262" w:rsidRPr="00A25024" w:rsidRDefault="00470DA4"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E82FBB">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4C05768A" w14:textId="77777777" w:rsidR="000574AB" w:rsidRPr="00A25024" w:rsidRDefault="00470DA4"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D36C5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08A15F75" w14:textId="77777777" w:rsidR="00CA06D8" w:rsidRPr="00A25024" w:rsidRDefault="00CA06D8" w:rsidP="00DB3627">
      <w:pPr>
        <w:autoSpaceDE w:val="0"/>
        <w:autoSpaceDN w:val="0"/>
        <w:adjustRightInd w:val="0"/>
        <w:spacing w:after="0" w:line="240" w:lineRule="auto"/>
        <w:rPr>
          <w:rFonts w:cstheme="minorHAnsi"/>
        </w:rPr>
      </w:pPr>
    </w:p>
    <w:p w14:paraId="31D7BE62" w14:textId="77777777" w:rsidR="00D50704" w:rsidRPr="00A25024" w:rsidRDefault="00D50704" w:rsidP="00DB3627">
      <w:pPr>
        <w:autoSpaceDE w:val="0"/>
        <w:autoSpaceDN w:val="0"/>
        <w:adjustRightInd w:val="0"/>
        <w:spacing w:after="0" w:line="240" w:lineRule="auto"/>
        <w:rPr>
          <w:rFonts w:cstheme="minorHAnsi"/>
          <w:bCs/>
        </w:rPr>
      </w:pPr>
    </w:p>
    <w:p w14:paraId="3CAF75E4" w14:textId="77777777" w:rsidR="00E93895" w:rsidRDefault="00092566" w:rsidP="00DB3627">
      <w:pPr>
        <w:autoSpaceDE w:val="0"/>
        <w:autoSpaceDN w:val="0"/>
        <w:adjustRightInd w:val="0"/>
        <w:spacing w:after="0" w:line="240" w:lineRule="auto"/>
        <w:rPr>
          <w:rFonts w:cstheme="minorHAnsi"/>
          <w:bCs/>
          <w:i/>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324A7FD3" w14:textId="77777777" w:rsidR="00833325" w:rsidRPr="00E82FBB" w:rsidRDefault="00833325" w:rsidP="00DB3627">
      <w:pPr>
        <w:autoSpaceDE w:val="0"/>
        <w:autoSpaceDN w:val="0"/>
        <w:adjustRightInd w:val="0"/>
        <w:spacing w:after="0" w:line="240" w:lineRule="auto"/>
        <w:rPr>
          <w:rFonts w:cstheme="minorHAnsi"/>
          <w:bCs/>
          <w:sz w:val="24"/>
        </w:rPr>
      </w:pPr>
      <w:r w:rsidRPr="00A25024">
        <w:rPr>
          <w:rFonts w:cstheme="minorHAnsi"/>
          <w:bCs/>
        </w:rPr>
        <w:br/>
      </w:r>
      <w:r w:rsidR="00E82FBB" w:rsidRPr="00E82FBB">
        <w:rPr>
          <w:szCs w:val="20"/>
        </w:rPr>
        <w:t>Validity was assessed using Poisson regression models to measure the association between facility level quintiles of performance scores and the 2013 Standardized Mortality Ratio (SMR, NQF 0369) and 2013 Standardized Hospitalization Ratio (SHR, NQF 1463), respectively, both NQF endorsed measures. Facility-level performance scores were divided into quintiles and the relative risk (RR) of mortality was calculated for each quintile. The fifth quintile was used as the reference group. Thus, a RR&gt;1.0 for the lower performance score quintiles would indicate a higher relative risk of mortality or hospitalization.</w:t>
      </w:r>
    </w:p>
    <w:p w14:paraId="6F168CE1" w14:textId="77777777" w:rsidR="00833325" w:rsidRPr="00A25024" w:rsidRDefault="00833325" w:rsidP="00DB3627">
      <w:pPr>
        <w:autoSpaceDE w:val="0"/>
        <w:autoSpaceDN w:val="0"/>
        <w:adjustRightInd w:val="0"/>
        <w:spacing w:after="0" w:line="240" w:lineRule="auto"/>
        <w:rPr>
          <w:rFonts w:cstheme="minorHAnsi"/>
          <w:bCs/>
        </w:rPr>
      </w:pPr>
    </w:p>
    <w:p w14:paraId="4F277BAA" w14:textId="77777777" w:rsidR="007422FD" w:rsidRDefault="00092566" w:rsidP="00092566">
      <w:pPr>
        <w:autoSpaceDE w:val="0"/>
        <w:autoSpaceDN w:val="0"/>
        <w:adjustRightInd w:val="0"/>
        <w:spacing w:after="0" w:line="240" w:lineRule="auto"/>
        <w:rPr>
          <w:rFonts w:cstheme="minorHAnsi"/>
          <w:bCs/>
        </w:rPr>
      </w:pPr>
      <w:r>
        <w:rPr>
          <w:rFonts w:cstheme="minorHAnsi"/>
          <w:b/>
          <w:bCs/>
        </w:rPr>
        <w:lastRenderedPageBreak/>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38C00033" w14:textId="77777777" w:rsidR="00E82FBB" w:rsidRPr="00E82FBB" w:rsidRDefault="00E82FBB" w:rsidP="00E82FBB">
      <w:pPr>
        <w:spacing w:after="120"/>
        <w:rPr>
          <w:szCs w:val="20"/>
        </w:rPr>
      </w:pPr>
      <w:r w:rsidRPr="00E82FBB">
        <w:rPr>
          <w:szCs w:val="20"/>
        </w:rPr>
        <w:t>Quintiles of the performance scores were defined as follows:</w:t>
      </w:r>
    </w:p>
    <w:p w14:paraId="38D47D65" w14:textId="77777777" w:rsidR="00E82FBB" w:rsidRPr="00E82FBB" w:rsidRDefault="00E82FBB" w:rsidP="00E82FBB">
      <w:pPr>
        <w:spacing w:after="120"/>
        <w:ind w:left="720"/>
        <w:rPr>
          <w:szCs w:val="20"/>
        </w:rPr>
      </w:pPr>
      <w:r w:rsidRPr="00E82FBB">
        <w:rPr>
          <w:szCs w:val="20"/>
        </w:rPr>
        <w:t>Q1: 0.0%-&lt;58.4%</w:t>
      </w:r>
    </w:p>
    <w:p w14:paraId="4ADB4F80" w14:textId="77777777" w:rsidR="00E82FBB" w:rsidRPr="00E82FBB" w:rsidRDefault="00E82FBB" w:rsidP="00E82FBB">
      <w:pPr>
        <w:spacing w:after="120"/>
        <w:ind w:left="720"/>
        <w:rPr>
          <w:szCs w:val="20"/>
        </w:rPr>
      </w:pPr>
      <w:r w:rsidRPr="00E82FBB">
        <w:rPr>
          <w:szCs w:val="20"/>
        </w:rPr>
        <w:t>Q2: 58.4%-&lt;64.9%</w:t>
      </w:r>
    </w:p>
    <w:p w14:paraId="5A85CA19" w14:textId="77777777" w:rsidR="00E82FBB" w:rsidRPr="00E82FBB" w:rsidRDefault="00E82FBB" w:rsidP="00E82FBB">
      <w:pPr>
        <w:spacing w:after="120"/>
        <w:ind w:left="720"/>
        <w:rPr>
          <w:szCs w:val="20"/>
        </w:rPr>
      </w:pPr>
      <w:r w:rsidRPr="00E82FBB">
        <w:rPr>
          <w:szCs w:val="20"/>
        </w:rPr>
        <w:t>Q3: 64.9-&lt;70.4%</w:t>
      </w:r>
    </w:p>
    <w:p w14:paraId="59A710CD" w14:textId="77777777" w:rsidR="00E82FBB" w:rsidRPr="00E82FBB" w:rsidRDefault="00E82FBB" w:rsidP="00E82FBB">
      <w:pPr>
        <w:spacing w:after="120"/>
        <w:ind w:left="720"/>
        <w:rPr>
          <w:szCs w:val="20"/>
        </w:rPr>
      </w:pPr>
      <w:r w:rsidRPr="00E82FBB">
        <w:rPr>
          <w:szCs w:val="20"/>
        </w:rPr>
        <w:t>Q4: 70.4%-&lt;76.6%</w:t>
      </w:r>
    </w:p>
    <w:p w14:paraId="793C5BA4" w14:textId="77777777" w:rsidR="00E82FBB" w:rsidRPr="00E82FBB" w:rsidRDefault="00E82FBB" w:rsidP="00E82FBB">
      <w:pPr>
        <w:spacing w:after="120"/>
        <w:ind w:left="720"/>
        <w:rPr>
          <w:szCs w:val="20"/>
        </w:rPr>
      </w:pPr>
      <w:r w:rsidRPr="00E82FBB">
        <w:rPr>
          <w:szCs w:val="20"/>
        </w:rPr>
        <w:t>Q5: 76.6%-&lt;=100.0%</w:t>
      </w:r>
    </w:p>
    <w:p w14:paraId="1B94943F" w14:textId="77777777" w:rsidR="00E82FBB" w:rsidRPr="00E82FBB" w:rsidRDefault="00E82FBB" w:rsidP="00E82FBB">
      <w:pPr>
        <w:spacing w:after="120"/>
        <w:rPr>
          <w:szCs w:val="20"/>
        </w:rPr>
      </w:pPr>
      <w:r w:rsidRPr="00E82FBB">
        <w:rPr>
          <w:szCs w:val="20"/>
        </w:rPr>
        <w:t>Results from the Poisson model indicated the percent of patients dialyzing with an AV Fistula was significantly associated with both SMR (p&lt;0.0001) and SHR (p&lt;0.0001). For SMR, the relative risk of mortality was highest in the lowest performance measure quintile (RR=1.16; 95% CI: 1.14,1.19). For quintile 2, RR=1.08 (95% CI</w:t>
      </w:r>
      <w:proofErr w:type="gramStart"/>
      <w:r w:rsidRPr="00E82FBB">
        <w:rPr>
          <w:szCs w:val="20"/>
        </w:rPr>
        <w:t>:1.06,1.11</w:t>
      </w:r>
      <w:proofErr w:type="gramEnd"/>
      <w:r w:rsidRPr="00E82FBB">
        <w:rPr>
          <w:szCs w:val="20"/>
        </w:rPr>
        <w:t xml:space="preserve">), quintile 3, RR=1.08 (95% CI:1.05-1.11) and was 1.06 for quintile 4 (95% CI:1.03,1.08).  </w:t>
      </w:r>
    </w:p>
    <w:p w14:paraId="2E07FD7E" w14:textId="77777777" w:rsidR="00E82FBB" w:rsidRPr="00E82FBB" w:rsidRDefault="00E82FBB" w:rsidP="00E82FBB">
      <w:pPr>
        <w:spacing w:after="120"/>
        <w:rPr>
          <w:szCs w:val="20"/>
        </w:rPr>
      </w:pPr>
      <w:r w:rsidRPr="00E82FBB">
        <w:rPr>
          <w:szCs w:val="20"/>
        </w:rPr>
        <w:t>Similarly for SHR, the relative risk of hospitalization was highest in the lowest performance measure quintile (RR=1.22; 95% CI: 1.22, 1.22). For quintile 2, RR=1.14 (95% CI</w:t>
      </w:r>
      <w:proofErr w:type="gramStart"/>
      <w:r w:rsidRPr="00E82FBB">
        <w:rPr>
          <w:szCs w:val="20"/>
        </w:rPr>
        <w:t>:1.13</w:t>
      </w:r>
      <w:proofErr w:type="gramEnd"/>
      <w:r w:rsidRPr="00E82FBB">
        <w:rPr>
          <w:szCs w:val="20"/>
        </w:rPr>
        <w:t xml:space="preserve">, 1.14), quintile 3, RR=1.13 (95% CI: 1.12, 1.13) and was 1.08 for quintile 4 (95% CI:1.08,1.08). </w:t>
      </w:r>
    </w:p>
    <w:p w14:paraId="0394A4FE" w14:textId="77777777" w:rsidR="00E82FBB" w:rsidRPr="00E82FBB" w:rsidRDefault="00E82FBB" w:rsidP="00092566">
      <w:pPr>
        <w:autoSpaceDE w:val="0"/>
        <w:autoSpaceDN w:val="0"/>
        <w:adjustRightInd w:val="0"/>
        <w:spacing w:after="0" w:line="240" w:lineRule="auto"/>
        <w:rPr>
          <w:rFonts w:cstheme="minorHAnsi"/>
          <w:bCs/>
          <w:sz w:val="24"/>
        </w:rPr>
      </w:pPr>
    </w:p>
    <w:p w14:paraId="788A4C0F" w14:textId="77777777" w:rsidR="00E93895"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6C94C698" w14:textId="77777777" w:rsidR="007422FD" w:rsidRPr="00E82FBB" w:rsidRDefault="007422FD" w:rsidP="00DB3627">
      <w:pPr>
        <w:autoSpaceDE w:val="0"/>
        <w:autoSpaceDN w:val="0"/>
        <w:adjustRightInd w:val="0"/>
        <w:spacing w:after="0" w:line="240" w:lineRule="auto"/>
        <w:rPr>
          <w:rFonts w:cstheme="minorHAnsi"/>
          <w:bCs/>
          <w:sz w:val="24"/>
        </w:rPr>
      </w:pPr>
      <w:r w:rsidRPr="00A25024">
        <w:rPr>
          <w:rFonts w:cstheme="minorHAnsi"/>
          <w:bCs/>
        </w:rPr>
        <w:br/>
      </w:r>
      <w:r w:rsidR="00E82FBB" w:rsidRPr="00E82FBB">
        <w:rPr>
          <w:szCs w:val="20"/>
        </w:rPr>
        <w:t>These results suggest the predictive relationship of higher AV fistula use with lower mortality and hospitalization, as measured by the respective standardized mortality and hospitalization rates, compared to facilities with lower AV fistula use.</w:t>
      </w:r>
    </w:p>
    <w:p w14:paraId="2293ABD5" w14:textId="77777777" w:rsidR="008A403A" w:rsidRPr="00E82FBB" w:rsidRDefault="00483E94" w:rsidP="00DB3627">
      <w:pPr>
        <w:autoSpaceDE w:val="0"/>
        <w:autoSpaceDN w:val="0"/>
        <w:adjustRightInd w:val="0"/>
        <w:spacing w:after="0" w:line="240" w:lineRule="auto"/>
        <w:rPr>
          <w:rFonts w:cstheme="minorHAnsi"/>
          <w:bCs/>
          <w:sz w:val="24"/>
        </w:rPr>
      </w:pPr>
      <w:r w:rsidRPr="00E82FBB">
        <w:rPr>
          <w:rFonts w:cstheme="minorHAnsi"/>
          <w:bCs/>
          <w:sz w:val="24"/>
        </w:rPr>
        <w:t>_________________________</w:t>
      </w:r>
    </w:p>
    <w:p w14:paraId="1633D28A"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5D20A889"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D36C5C">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48EE76A5" w14:textId="77777777" w:rsidR="00001D73" w:rsidRDefault="00001D73" w:rsidP="00DB3627">
      <w:pPr>
        <w:autoSpaceDE w:val="0"/>
        <w:autoSpaceDN w:val="0"/>
        <w:adjustRightInd w:val="0"/>
        <w:spacing w:after="0" w:line="240" w:lineRule="auto"/>
        <w:rPr>
          <w:rFonts w:cstheme="minorHAnsi"/>
          <w:b/>
          <w:bCs/>
        </w:rPr>
      </w:pPr>
    </w:p>
    <w:p w14:paraId="7F4A80D6" w14:textId="77777777"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r>
      <w:r w:rsidR="00833325" w:rsidRPr="00E82FBB">
        <w:rPr>
          <w:rFonts w:cstheme="minorHAnsi"/>
          <w:bCs/>
          <w:sz w:val="24"/>
        </w:rPr>
        <w:t xml:space="preserve"> </w:t>
      </w:r>
      <w:r w:rsidR="00E82FBB" w:rsidRPr="00E82FBB">
        <w:rPr>
          <w:rFonts w:cstheme="minorHAnsi"/>
          <w:bCs/>
          <w:sz w:val="24"/>
        </w:rPr>
        <w:t>N/A</w:t>
      </w:r>
    </w:p>
    <w:p w14:paraId="683D9D55" w14:textId="77777777" w:rsidR="00833325" w:rsidRPr="00A25024" w:rsidRDefault="00833325" w:rsidP="00DB3627">
      <w:pPr>
        <w:autoSpaceDE w:val="0"/>
        <w:autoSpaceDN w:val="0"/>
        <w:adjustRightInd w:val="0"/>
        <w:spacing w:after="0" w:line="240" w:lineRule="auto"/>
        <w:rPr>
          <w:rFonts w:cstheme="minorHAnsi"/>
          <w:bCs/>
        </w:rPr>
      </w:pPr>
    </w:p>
    <w:p w14:paraId="1EC9AF01" w14:textId="77777777"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E82FBB" w:rsidRPr="00E82FBB">
        <w:rPr>
          <w:rFonts w:cstheme="minorHAnsi"/>
          <w:bCs/>
          <w:sz w:val="24"/>
        </w:rPr>
        <w:t>N/A</w:t>
      </w:r>
    </w:p>
    <w:p w14:paraId="3A4B8D22" w14:textId="77777777" w:rsidR="00092566" w:rsidRPr="00092566" w:rsidRDefault="00092566" w:rsidP="00092566">
      <w:pPr>
        <w:autoSpaceDE w:val="0"/>
        <w:autoSpaceDN w:val="0"/>
        <w:adjustRightInd w:val="0"/>
        <w:spacing w:after="0" w:line="240" w:lineRule="auto"/>
        <w:rPr>
          <w:rFonts w:cstheme="minorHAnsi"/>
          <w:bCs/>
        </w:rPr>
      </w:pPr>
    </w:p>
    <w:p w14:paraId="7F722E09" w14:textId="77777777"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r w:rsidR="00E82FBB" w:rsidRPr="00E82FBB">
        <w:rPr>
          <w:rFonts w:cstheme="minorHAnsi"/>
          <w:bCs/>
          <w:sz w:val="24"/>
        </w:rPr>
        <w:t>N/A</w:t>
      </w:r>
    </w:p>
    <w:p w14:paraId="5A5D038F"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lastRenderedPageBreak/>
        <w:t>____________________________</w:t>
      </w:r>
    </w:p>
    <w:p w14:paraId="3D5E5B31" w14:textId="77777777"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67DD4343" w14:textId="77777777" w:rsidR="008871A9" w:rsidRDefault="008871A9" w:rsidP="00092566">
      <w:pPr>
        <w:autoSpaceDE w:val="0"/>
        <w:autoSpaceDN w:val="0"/>
        <w:adjustRightInd w:val="0"/>
        <w:spacing w:after="0" w:line="240" w:lineRule="auto"/>
        <w:rPr>
          <w:rFonts w:cstheme="minorHAnsi"/>
          <w:b/>
          <w:bCs/>
        </w:rPr>
      </w:pPr>
    </w:p>
    <w:p w14:paraId="2E6A40BA"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3D41DBD0" w14:textId="77777777" w:rsidR="00033038" w:rsidRPr="005232D6" w:rsidRDefault="00470DA4"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E82FBB">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229A95E7" w14:textId="77777777" w:rsidR="00743E46" w:rsidRPr="005232D6" w:rsidRDefault="00470DA4"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1F758281" w14:textId="77777777" w:rsidR="00743E46" w:rsidRPr="005232D6" w:rsidRDefault="00470DA4"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7A1C628E" w14:textId="77777777" w:rsidR="00743E46" w:rsidRPr="005232D6" w:rsidRDefault="00470DA4"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2DFDDDAB" w14:textId="77777777" w:rsidR="00743E46" w:rsidRDefault="00743E46" w:rsidP="00092566">
      <w:pPr>
        <w:autoSpaceDE w:val="0"/>
        <w:autoSpaceDN w:val="0"/>
        <w:adjustRightInd w:val="0"/>
        <w:spacing w:after="0" w:line="240" w:lineRule="auto"/>
        <w:rPr>
          <w:rFonts w:cstheme="minorHAnsi"/>
          <w:b/>
          <w:bCs/>
        </w:rPr>
      </w:pPr>
    </w:p>
    <w:p w14:paraId="7F2DBB2A" w14:textId="77777777" w:rsidR="00E93895" w:rsidRDefault="00743E46" w:rsidP="00E82FBB">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p>
    <w:p w14:paraId="1872367E" w14:textId="77777777" w:rsidR="00092566" w:rsidRDefault="00092566" w:rsidP="00E82FBB">
      <w:pPr>
        <w:autoSpaceDE w:val="0"/>
        <w:autoSpaceDN w:val="0"/>
        <w:adjustRightInd w:val="0"/>
        <w:spacing w:after="0" w:line="240" w:lineRule="auto"/>
      </w:pPr>
      <w:r w:rsidRPr="00A25024">
        <w:rPr>
          <w:rFonts w:cstheme="minorHAnsi"/>
          <w:bCs/>
        </w:rPr>
        <w:br/>
      </w:r>
      <w:r w:rsidR="00E82FBB" w:rsidRPr="00E82FBB">
        <w:t>Trend analysis suggests disparities in sex, race, ethnicity and age, however the conservative interpretation would be that these differences reflected in the trend analysis reflect disparities in care for certain subpopulations</w:t>
      </w:r>
      <w:r w:rsidR="00E82FBB" w:rsidRPr="00E82FBB">
        <w:rPr>
          <w:sz w:val="24"/>
        </w:rPr>
        <w:t xml:space="preserve">. </w:t>
      </w:r>
      <w:r w:rsidR="00E82FBB" w:rsidRPr="00E82FBB">
        <w:t>In the absence of biological effects explaining these differences, risk adjustment for these factors would potentially mask disparities in care.</w:t>
      </w:r>
    </w:p>
    <w:p w14:paraId="70A1398A" w14:textId="77777777" w:rsidR="00E93895" w:rsidRPr="00A25024" w:rsidRDefault="00E93895" w:rsidP="00E82FBB">
      <w:pPr>
        <w:autoSpaceDE w:val="0"/>
        <w:autoSpaceDN w:val="0"/>
        <w:adjustRightInd w:val="0"/>
        <w:spacing w:after="0" w:line="240" w:lineRule="auto"/>
        <w:rPr>
          <w:rFonts w:cstheme="minorHAnsi"/>
          <w:bCs/>
        </w:rPr>
      </w:pPr>
    </w:p>
    <w:p w14:paraId="7429650E" w14:textId="77777777" w:rsidR="00D36C5C"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p>
    <w:p w14:paraId="7316C916" w14:textId="77777777" w:rsidR="00092566" w:rsidRDefault="00092566" w:rsidP="00001D73">
      <w:pPr>
        <w:autoSpaceDE w:val="0"/>
        <w:autoSpaceDN w:val="0"/>
        <w:adjustRightInd w:val="0"/>
        <w:spacing w:after="0" w:line="240" w:lineRule="auto"/>
        <w:rPr>
          <w:rFonts w:cstheme="minorHAnsi"/>
          <w:bCs/>
        </w:rPr>
      </w:pPr>
      <w:r w:rsidRPr="00A25024">
        <w:rPr>
          <w:rFonts w:cstheme="minorHAnsi"/>
          <w:bCs/>
        </w:rPr>
        <w:br/>
      </w:r>
      <w:r w:rsidR="00E82FBB" w:rsidRPr="00E82FBB">
        <w:rPr>
          <w:rFonts w:cstheme="minorHAnsi"/>
          <w:bCs/>
          <w:sz w:val="24"/>
        </w:rPr>
        <w:t>N/A</w:t>
      </w:r>
    </w:p>
    <w:p w14:paraId="4C2D4CB3" w14:textId="77777777" w:rsidR="00001D73" w:rsidRPr="00001D73" w:rsidRDefault="00001D73" w:rsidP="00001D73">
      <w:pPr>
        <w:autoSpaceDE w:val="0"/>
        <w:autoSpaceDN w:val="0"/>
        <w:adjustRightInd w:val="0"/>
        <w:spacing w:after="0" w:line="240" w:lineRule="auto"/>
        <w:rPr>
          <w:rFonts w:cstheme="minorHAnsi"/>
          <w:bCs/>
        </w:rPr>
      </w:pPr>
    </w:p>
    <w:p w14:paraId="00E444AD" w14:textId="77777777" w:rsidR="00D36C5C"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p>
    <w:p w14:paraId="502B4590" w14:textId="77777777" w:rsidR="00092566" w:rsidRDefault="00001D73" w:rsidP="00001D73">
      <w:pPr>
        <w:autoSpaceDE w:val="0"/>
        <w:autoSpaceDN w:val="0"/>
        <w:adjustRightInd w:val="0"/>
        <w:spacing w:after="0" w:line="240" w:lineRule="auto"/>
        <w:rPr>
          <w:rFonts w:cstheme="minorHAnsi"/>
          <w:b/>
          <w:bCs/>
        </w:rPr>
      </w:pPr>
      <w:r>
        <w:rPr>
          <w:rFonts w:cstheme="minorHAnsi"/>
          <w:b/>
          <w:bCs/>
        </w:rPr>
        <w:br/>
      </w:r>
      <w:r w:rsidR="00E82FBB" w:rsidRPr="00E82FBB">
        <w:rPr>
          <w:rFonts w:cstheme="minorHAnsi"/>
          <w:bCs/>
          <w:sz w:val="24"/>
        </w:rPr>
        <w:t>N/A</w:t>
      </w:r>
    </w:p>
    <w:p w14:paraId="27187F4E" w14:textId="77777777" w:rsidR="00001D73" w:rsidRPr="00001D73" w:rsidRDefault="00001D73" w:rsidP="00001D73">
      <w:pPr>
        <w:autoSpaceDE w:val="0"/>
        <w:autoSpaceDN w:val="0"/>
        <w:adjustRightInd w:val="0"/>
        <w:spacing w:after="0" w:line="240" w:lineRule="auto"/>
        <w:rPr>
          <w:rFonts w:cstheme="minorHAnsi"/>
          <w:b/>
          <w:bCs/>
        </w:rPr>
      </w:pPr>
    </w:p>
    <w:p w14:paraId="71D8980B" w14:textId="77777777" w:rsidR="00D36C5C"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14:paraId="1D4DCD7E" w14:textId="77777777" w:rsidR="00092566" w:rsidRPr="00A25024" w:rsidRDefault="00092566" w:rsidP="00092566">
      <w:pPr>
        <w:autoSpaceDE w:val="0"/>
        <w:autoSpaceDN w:val="0"/>
        <w:adjustRightInd w:val="0"/>
        <w:spacing w:after="0" w:line="240" w:lineRule="auto"/>
        <w:rPr>
          <w:rFonts w:cstheme="minorHAnsi"/>
          <w:bCs/>
        </w:rPr>
      </w:pPr>
      <w:r w:rsidRPr="00A25024">
        <w:rPr>
          <w:rFonts w:cstheme="minorHAnsi"/>
          <w:bCs/>
        </w:rPr>
        <w:br/>
      </w:r>
      <w:r w:rsidR="00E82FBB" w:rsidRPr="00E82FBB">
        <w:rPr>
          <w:rFonts w:cstheme="minorHAnsi"/>
          <w:bCs/>
          <w:sz w:val="24"/>
        </w:rPr>
        <w:t>N/A</w:t>
      </w:r>
    </w:p>
    <w:p w14:paraId="4CD1190A" w14:textId="77777777" w:rsidR="00092566" w:rsidRPr="00A25024" w:rsidRDefault="00092566" w:rsidP="00092566">
      <w:pPr>
        <w:autoSpaceDE w:val="0"/>
        <w:autoSpaceDN w:val="0"/>
        <w:adjustRightInd w:val="0"/>
        <w:spacing w:after="0" w:line="240" w:lineRule="auto"/>
        <w:rPr>
          <w:rFonts w:cstheme="minorHAnsi"/>
          <w:bCs/>
        </w:rPr>
      </w:pPr>
    </w:p>
    <w:p w14:paraId="0CBA6C4D"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66D98D61" w14:textId="77777777" w:rsidR="00743E46" w:rsidRDefault="00743E46" w:rsidP="00092566">
      <w:pPr>
        <w:autoSpaceDE w:val="0"/>
        <w:autoSpaceDN w:val="0"/>
        <w:adjustRightInd w:val="0"/>
        <w:spacing w:after="0" w:line="240" w:lineRule="auto"/>
        <w:rPr>
          <w:rFonts w:cstheme="minorHAnsi"/>
          <w:b/>
          <w:bCs/>
        </w:rPr>
      </w:pPr>
    </w:p>
    <w:p w14:paraId="4311A00C" w14:textId="77777777" w:rsidR="00D36C5C"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1635D616" w14:textId="77777777" w:rsidR="00001D73" w:rsidRDefault="00092566" w:rsidP="00092566">
      <w:pPr>
        <w:autoSpaceDE w:val="0"/>
        <w:autoSpaceDN w:val="0"/>
        <w:adjustRightInd w:val="0"/>
        <w:spacing w:after="0" w:line="240" w:lineRule="auto"/>
        <w:rPr>
          <w:rFonts w:cstheme="minorHAnsi"/>
          <w:bCs/>
          <w:sz w:val="24"/>
        </w:rPr>
      </w:pPr>
      <w:r w:rsidRPr="00001D73">
        <w:rPr>
          <w:rFonts w:cstheme="minorHAnsi"/>
          <w:b/>
        </w:rPr>
        <w:br/>
      </w:r>
      <w:r w:rsidR="00E82FBB" w:rsidRPr="00E82FBB">
        <w:rPr>
          <w:rFonts w:cstheme="minorHAnsi"/>
          <w:bCs/>
          <w:sz w:val="24"/>
        </w:rPr>
        <w:t>N/A</w:t>
      </w:r>
    </w:p>
    <w:p w14:paraId="2A62C8C9" w14:textId="77777777" w:rsidR="00621B7D" w:rsidRPr="00001D73" w:rsidRDefault="00621B7D" w:rsidP="00092566">
      <w:pPr>
        <w:autoSpaceDE w:val="0"/>
        <w:autoSpaceDN w:val="0"/>
        <w:adjustRightInd w:val="0"/>
        <w:spacing w:after="0" w:line="240" w:lineRule="auto"/>
        <w:rPr>
          <w:rFonts w:cstheme="minorHAnsi"/>
          <w:b/>
          <w:bCs/>
        </w:rPr>
      </w:pPr>
    </w:p>
    <w:p w14:paraId="2ABD82BD" w14:textId="77777777" w:rsidR="00D36C5C" w:rsidRDefault="00743E46" w:rsidP="00092566">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p>
    <w:p w14:paraId="434D5D95" w14:textId="77777777" w:rsidR="00001D73" w:rsidRDefault="00092566" w:rsidP="00092566">
      <w:pPr>
        <w:autoSpaceDE w:val="0"/>
        <w:autoSpaceDN w:val="0"/>
        <w:adjustRightInd w:val="0"/>
        <w:spacing w:after="0" w:line="240" w:lineRule="auto"/>
        <w:rPr>
          <w:rFonts w:cstheme="minorHAnsi"/>
          <w:bCs/>
          <w:sz w:val="24"/>
        </w:rPr>
      </w:pPr>
      <w:r w:rsidRPr="00A25024">
        <w:rPr>
          <w:rFonts w:cstheme="minorHAnsi"/>
          <w:bCs/>
        </w:rPr>
        <w:br/>
      </w:r>
      <w:r w:rsidR="00E82FBB" w:rsidRPr="00E82FBB">
        <w:rPr>
          <w:rFonts w:cstheme="minorHAnsi"/>
          <w:bCs/>
          <w:sz w:val="24"/>
        </w:rPr>
        <w:t>N/A</w:t>
      </w:r>
    </w:p>
    <w:p w14:paraId="0A0BFD91" w14:textId="77777777" w:rsidR="00621B7D" w:rsidRDefault="00621B7D" w:rsidP="00092566">
      <w:pPr>
        <w:autoSpaceDE w:val="0"/>
        <w:autoSpaceDN w:val="0"/>
        <w:adjustRightInd w:val="0"/>
        <w:spacing w:after="0" w:line="240" w:lineRule="auto"/>
        <w:rPr>
          <w:rFonts w:cstheme="minorHAnsi"/>
          <w:b/>
          <w:bCs/>
        </w:rPr>
      </w:pPr>
    </w:p>
    <w:p w14:paraId="090B4E63" w14:textId="77777777" w:rsidR="00D36C5C" w:rsidRDefault="00743E46" w:rsidP="00092566">
      <w:pPr>
        <w:autoSpaceDE w:val="0"/>
        <w:autoSpaceDN w:val="0"/>
        <w:adjustRightInd w:val="0"/>
        <w:spacing w:after="0" w:line="240" w:lineRule="auto"/>
        <w:rPr>
          <w:rFonts w:cstheme="minorHAnsi"/>
          <w:bCs/>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11CAF3F9" w14:textId="77777777" w:rsidR="00743E46" w:rsidRDefault="00092566" w:rsidP="00092566">
      <w:pPr>
        <w:autoSpaceDE w:val="0"/>
        <w:autoSpaceDN w:val="0"/>
        <w:adjustRightInd w:val="0"/>
        <w:spacing w:after="0" w:line="240" w:lineRule="auto"/>
        <w:rPr>
          <w:rFonts w:cstheme="minorHAnsi"/>
          <w:b/>
        </w:rPr>
      </w:pPr>
      <w:r w:rsidRPr="00A25024">
        <w:rPr>
          <w:rFonts w:cstheme="minorHAnsi"/>
          <w:bCs/>
        </w:rPr>
        <w:br/>
      </w:r>
      <w:r w:rsidR="00E82FBB" w:rsidRPr="00E82FBB">
        <w:rPr>
          <w:rFonts w:cstheme="minorHAnsi"/>
          <w:bCs/>
          <w:sz w:val="24"/>
        </w:rPr>
        <w:t>N/A</w:t>
      </w:r>
      <w:r w:rsidRPr="00A25024">
        <w:rPr>
          <w:rFonts w:cstheme="minorHAnsi"/>
        </w:rPr>
        <w:br/>
      </w:r>
    </w:p>
    <w:p w14:paraId="31FE604A" w14:textId="77777777" w:rsidR="00092566" w:rsidRDefault="00743E46" w:rsidP="00092566">
      <w:pPr>
        <w:autoSpaceDE w:val="0"/>
        <w:autoSpaceDN w:val="0"/>
        <w:adjustRightInd w:val="0"/>
        <w:spacing w:after="0" w:line="240" w:lineRule="auto"/>
        <w:rPr>
          <w:rFonts w:cstheme="minorHAnsi"/>
          <w:bCs/>
        </w:rPr>
      </w:pP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6C0BFA4" w14:textId="77777777" w:rsidR="00D36C5C" w:rsidRPr="00A25024" w:rsidRDefault="00D36C5C" w:rsidP="00092566">
      <w:pPr>
        <w:autoSpaceDE w:val="0"/>
        <w:autoSpaceDN w:val="0"/>
        <w:adjustRightInd w:val="0"/>
        <w:spacing w:after="0" w:line="240" w:lineRule="auto"/>
        <w:rPr>
          <w:rFonts w:cstheme="minorHAnsi"/>
          <w:bCs/>
        </w:rPr>
      </w:pPr>
    </w:p>
    <w:p w14:paraId="2B84B85E" w14:textId="77777777" w:rsidR="00092566" w:rsidRPr="00E82FBB" w:rsidRDefault="00E82FBB" w:rsidP="00E82FBB">
      <w:pPr>
        <w:rPr>
          <w:rFonts w:cstheme="minorHAnsi"/>
          <w:bCs/>
        </w:rPr>
      </w:pPr>
      <w:r w:rsidRPr="00E82FBB">
        <w:rPr>
          <w:rFonts w:cstheme="minorHAnsi"/>
          <w:bCs/>
          <w:sz w:val="24"/>
        </w:rPr>
        <w:t>N/A</w:t>
      </w:r>
    </w:p>
    <w:p w14:paraId="1DA1B40F" w14:textId="77777777" w:rsidR="00D36C5C"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p>
    <w:p w14:paraId="5F8568FB" w14:textId="77777777" w:rsidR="00092566" w:rsidRPr="00A25024" w:rsidRDefault="00092566" w:rsidP="00092566">
      <w:pPr>
        <w:autoSpaceDE w:val="0"/>
        <w:autoSpaceDN w:val="0"/>
        <w:adjustRightInd w:val="0"/>
        <w:spacing w:after="0" w:line="240" w:lineRule="auto"/>
        <w:rPr>
          <w:rFonts w:cstheme="minorHAnsi"/>
          <w:bCs/>
        </w:rPr>
      </w:pPr>
      <w:r w:rsidRPr="00A25024">
        <w:rPr>
          <w:rFonts w:cstheme="minorHAnsi"/>
          <w:bCs/>
        </w:rPr>
        <w:br/>
      </w:r>
      <w:r w:rsidR="00E82FBB" w:rsidRPr="00E82FBB">
        <w:rPr>
          <w:rFonts w:cstheme="minorHAnsi"/>
          <w:bCs/>
          <w:sz w:val="24"/>
        </w:rPr>
        <w:t>N/A</w:t>
      </w:r>
    </w:p>
    <w:p w14:paraId="1C19549B" w14:textId="77777777" w:rsidR="00092566" w:rsidRPr="00A25024" w:rsidRDefault="00092566" w:rsidP="00092566">
      <w:pPr>
        <w:spacing w:after="0" w:line="240" w:lineRule="auto"/>
        <w:rPr>
          <w:rFonts w:cstheme="minorHAnsi"/>
        </w:rPr>
      </w:pPr>
    </w:p>
    <w:p w14:paraId="12CF759C" w14:textId="77777777" w:rsidR="00021170"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3BDF9719" w14:textId="77777777" w:rsidR="00D36C5C" w:rsidRPr="009B1A15" w:rsidRDefault="00D36C5C" w:rsidP="009B1A15">
      <w:pPr>
        <w:spacing w:after="0" w:line="240" w:lineRule="auto"/>
        <w:rPr>
          <w:rFonts w:cstheme="minorHAnsi"/>
        </w:rPr>
      </w:pPr>
    </w:p>
    <w:p w14:paraId="0BB4611E" w14:textId="77777777" w:rsidR="003755CB" w:rsidRDefault="00E82FBB" w:rsidP="00D61410">
      <w:pPr>
        <w:autoSpaceDE w:val="0"/>
        <w:autoSpaceDN w:val="0"/>
        <w:adjustRightInd w:val="0"/>
        <w:spacing w:after="0" w:line="240" w:lineRule="auto"/>
        <w:rPr>
          <w:rFonts w:cstheme="minorHAnsi"/>
          <w:b/>
          <w:bCs/>
        </w:rPr>
      </w:pPr>
      <w:r w:rsidRPr="00E82FBB">
        <w:rPr>
          <w:rFonts w:cstheme="minorHAnsi"/>
          <w:bCs/>
          <w:sz w:val="24"/>
        </w:rPr>
        <w:t>N/A</w:t>
      </w:r>
    </w:p>
    <w:p w14:paraId="21FE76DF"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3A22FA9D" w14:textId="77777777"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14:paraId="6AF53C50" w14:textId="77777777" w:rsidR="00E93895" w:rsidRDefault="00D61410" w:rsidP="00E82FBB">
      <w:pPr>
        <w:autoSpaceDE w:val="0"/>
        <w:autoSpaceDN w:val="0"/>
        <w:adjustRightInd w:val="0"/>
        <w:spacing w:after="0"/>
        <w:rPr>
          <w:rFonts w:cstheme="minorHAnsi"/>
          <w:bCs/>
          <w:i/>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14:paraId="5D17BCC0" w14:textId="77777777" w:rsidR="00E82FBB" w:rsidRDefault="00D61410" w:rsidP="00E82FBB">
      <w:pPr>
        <w:autoSpaceDE w:val="0"/>
        <w:autoSpaceDN w:val="0"/>
        <w:adjustRightInd w:val="0"/>
        <w:spacing w:after="0"/>
        <w:rPr>
          <w:szCs w:val="20"/>
        </w:rPr>
      </w:pPr>
      <w:r w:rsidRPr="00A25024">
        <w:rPr>
          <w:rFonts w:cstheme="minorHAnsi"/>
          <w:bCs/>
        </w:rPr>
        <w:br/>
      </w:r>
      <w:r w:rsidR="00E82FBB" w:rsidRPr="00E82FBB">
        <w:rPr>
          <w:szCs w:val="20"/>
        </w:rPr>
        <w:t>Differences in measure performance were evaluated separately for each facility using patient level analyses. For each facility, the proportion of patient months with AV Fistula</w:t>
      </w:r>
      <w:r w:rsidR="00E82FBB" w:rsidRPr="00E82FBB">
        <w:rPr>
          <w:bCs/>
          <w:szCs w:val="20"/>
        </w:rPr>
        <w:t xml:space="preserve">, calculated at the year-level, </w:t>
      </w:r>
      <w:r w:rsidR="00E82FBB" w:rsidRPr="00E82FBB">
        <w:rPr>
          <w:szCs w:val="20"/>
        </w:rPr>
        <w:t>was compared to the overall national distribution.</w:t>
      </w:r>
    </w:p>
    <w:p w14:paraId="72B0FCF8" w14:textId="77777777" w:rsidR="00E93895" w:rsidRPr="00E82FBB" w:rsidRDefault="00E93895" w:rsidP="00E82FBB">
      <w:pPr>
        <w:autoSpaceDE w:val="0"/>
        <w:autoSpaceDN w:val="0"/>
        <w:adjustRightInd w:val="0"/>
        <w:spacing w:after="0"/>
        <w:rPr>
          <w:szCs w:val="20"/>
        </w:rPr>
      </w:pPr>
    </w:p>
    <w:p w14:paraId="0AE5B387" w14:textId="77777777" w:rsidR="00E82FBB" w:rsidRPr="00FC2410" w:rsidRDefault="00E82FBB" w:rsidP="00E82FBB">
      <w:pPr>
        <w:autoSpaceDE w:val="0"/>
        <w:autoSpaceDN w:val="0"/>
        <w:adjustRightInd w:val="0"/>
        <w:spacing w:after="0"/>
        <w:rPr>
          <w:sz w:val="20"/>
          <w:szCs w:val="20"/>
        </w:rPr>
      </w:pPr>
      <w:r w:rsidRPr="00E82FBB">
        <w:rPr>
          <w:rFonts w:cs="Calibri"/>
          <w:bCs/>
          <w:szCs w:val="20"/>
        </w:rPr>
        <w:t xml:space="preserve"> </w:t>
      </w:r>
      <w:proofErr w:type="gramStart"/>
      <w:r w:rsidRPr="00E82FBB">
        <w:rPr>
          <w:rFonts w:cs="Calibri"/>
          <w:bCs/>
          <w:szCs w:val="20"/>
        </w:rPr>
        <w:t xml:space="preserve">We </w:t>
      </w:r>
      <w:r w:rsidRPr="00E82FBB">
        <w:rPr>
          <w:szCs w:val="20"/>
        </w:rPr>
        <w:t xml:space="preserve"> used</w:t>
      </w:r>
      <w:proofErr w:type="gramEnd"/>
      <w:r w:rsidRPr="00E82FBB">
        <w:rPr>
          <w:szCs w:val="20"/>
        </w:rPr>
        <w:t xml:space="preserve"> a</w:t>
      </w:r>
      <w:r w:rsidRPr="00E82FBB">
        <w:rPr>
          <w:rFonts w:cs="Calibri"/>
          <w:bCs/>
          <w:szCs w:val="20"/>
        </w:rPr>
        <w:t xml:space="preserve"> re-sampling based exact test, with re-sampling generated from the population distribution of the patient level outcomes. </w:t>
      </w:r>
      <w:r w:rsidRPr="00E82FBB">
        <w:rPr>
          <w:rFonts w:eastAsia="CMR12" w:cs="CMR12"/>
          <w:szCs w:val="20"/>
        </w:rPr>
        <w:t xml:space="preserve">Due to the non-symmetric structure of the measure distributions, a one-sided test with significance level 0.025 is used (corresponding to a cutoff=0.05 in a two-sided test). To calculate the p-value, we assess the probability that patients in each facility would experience a number of events (i.e., monthly dialyzing with a  AV Fistula) more extreme than what was actually observed if the null hypothesis were true, where the null hypothesis is that a patient in each </w:t>
      </w:r>
      <w:r w:rsidRPr="00E82FBB">
        <w:rPr>
          <w:szCs w:val="20"/>
        </w:rPr>
        <w:t>facility  will follow the overall national distribution</w:t>
      </w:r>
      <w:r w:rsidRPr="00FC2410">
        <w:rPr>
          <w:sz w:val="20"/>
          <w:szCs w:val="20"/>
        </w:rPr>
        <w:t>.</w:t>
      </w:r>
      <w:r w:rsidRPr="00FC2410">
        <w:rPr>
          <w:rFonts w:ascii="Times New Roman" w:hAnsi="Times New Roman"/>
          <w:szCs w:val="24"/>
        </w:rPr>
        <w:t xml:space="preserve"> </w:t>
      </w:r>
    </w:p>
    <w:p w14:paraId="2924F838" w14:textId="77777777" w:rsidR="00D61410" w:rsidRPr="00A25024" w:rsidRDefault="00D61410" w:rsidP="00D61410">
      <w:pPr>
        <w:autoSpaceDE w:val="0"/>
        <w:autoSpaceDN w:val="0"/>
        <w:adjustRightInd w:val="0"/>
        <w:spacing w:after="0" w:line="240" w:lineRule="auto"/>
        <w:rPr>
          <w:rFonts w:cstheme="minorHAnsi"/>
          <w:bCs/>
        </w:rPr>
      </w:pPr>
    </w:p>
    <w:p w14:paraId="0A533C56" w14:textId="77777777" w:rsidR="00D61410" w:rsidRPr="00A25024" w:rsidRDefault="00D61410" w:rsidP="00D61410">
      <w:pPr>
        <w:autoSpaceDE w:val="0"/>
        <w:autoSpaceDN w:val="0"/>
        <w:adjustRightInd w:val="0"/>
        <w:spacing w:after="0" w:line="240" w:lineRule="auto"/>
        <w:rPr>
          <w:rFonts w:cstheme="minorHAnsi"/>
          <w:bCs/>
        </w:rPr>
      </w:pPr>
    </w:p>
    <w:p w14:paraId="363E675D" w14:textId="77777777" w:rsidR="00621B7D" w:rsidRDefault="00D61410" w:rsidP="00E82FBB">
      <w:pPr>
        <w:spacing w:after="0"/>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lastRenderedPageBreak/>
        <w:t xml:space="preserve">different from mean </w:t>
      </w:r>
      <w:r w:rsidR="001E69DC">
        <w:rPr>
          <w:rFonts w:cstheme="minorHAnsi"/>
          <w:bCs/>
          <w:i/>
        </w:rPr>
        <w:t>or some benchmark, different from expected; how was meaningful difference defined</w:t>
      </w:r>
      <w:r w:rsidRPr="00A25024">
        <w:rPr>
          <w:rFonts w:cstheme="minorHAnsi"/>
          <w:bCs/>
        </w:rPr>
        <w:t>)</w:t>
      </w:r>
    </w:p>
    <w:p w14:paraId="13103680" w14:textId="77777777" w:rsidR="00E82FBB" w:rsidRPr="00E82FBB" w:rsidRDefault="00D61410" w:rsidP="00E82FBB">
      <w:pPr>
        <w:spacing w:after="0"/>
        <w:rPr>
          <w:rFonts w:cs="Calibri"/>
        </w:rPr>
      </w:pPr>
      <w:r w:rsidRPr="00A25024">
        <w:rPr>
          <w:rFonts w:cstheme="minorHAnsi"/>
          <w:bCs/>
        </w:rPr>
        <w:br/>
      </w:r>
      <w:r w:rsidR="00E82FBB" w:rsidRPr="00E82FBB">
        <w:rPr>
          <w:rFonts w:cs="Calibri"/>
        </w:rPr>
        <w:t>Proportion of facilities with significant p-values (significance level &lt;0.025) is shown as follows:</w:t>
      </w:r>
    </w:p>
    <w:p w14:paraId="70078C90" w14:textId="77777777" w:rsidR="00E82FBB" w:rsidRPr="00E82FBB" w:rsidRDefault="00E82FBB" w:rsidP="00E82FBB">
      <w:pPr>
        <w:spacing w:after="0"/>
        <w:rPr>
          <w:rFonts w:cs="Calibri"/>
        </w:rPr>
      </w:pPr>
    </w:p>
    <w:p w14:paraId="6CA855C3" w14:textId="77777777" w:rsidR="00E82FBB" w:rsidRPr="00E82FBB" w:rsidRDefault="00E82FBB" w:rsidP="00E82FBB">
      <w:pPr>
        <w:spacing w:after="0"/>
        <w:rPr>
          <w:rFonts w:cs="Calibri"/>
        </w:rPr>
      </w:pPr>
      <w:r w:rsidRPr="00E82FBB">
        <w:rPr>
          <w:rFonts w:cs="Calibri"/>
        </w:rPr>
        <w:t xml:space="preserve">          </w:t>
      </w:r>
      <w:r w:rsidRPr="00E82FBB">
        <w:rPr>
          <w:rFonts w:cs="Calibri"/>
          <w:u w:val="single"/>
        </w:rPr>
        <w:t>Category</w:t>
      </w:r>
      <w:r w:rsidRPr="00E82FBB">
        <w:rPr>
          <w:rFonts w:cs="Calibri"/>
        </w:rPr>
        <w:t xml:space="preserve">                                               </w:t>
      </w:r>
      <w:r w:rsidRPr="00E82FBB">
        <w:rPr>
          <w:rFonts w:cs="Calibri"/>
          <w:u w:val="single"/>
        </w:rPr>
        <w:t>Number of facilities</w:t>
      </w:r>
      <w:r w:rsidRPr="00E82FBB">
        <w:rPr>
          <w:rFonts w:cs="Calibri"/>
        </w:rPr>
        <w:t xml:space="preserve">              </w:t>
      </w:r>
      <w:r w:rsidRPr="00E82FBB">
        <w:rPr>
          <w:rFonts w:cs="Calibri"/>
          <w:u w:val="single"/>
        </w:rPr>
        <w:t>Percent of facilities</w:t>
      </w:r>
    </w:p>
    <w:p w14:paraId="10EF17F3" w14:textId="77777777" w:rsidR="00E82FBB" w:rsidRPr="00E82FBB" w:rsidRDefault="00E82FBB" w:rsidP="00E82FBB">
      <w:pPr>
        <w:spacing w:after="0"/>
        <w:rPr>
          <w:rFonts w:cs="Calibri"/>
        </w:rPr>
      </w:pPr>
      <w:r w:rsidRPr="00E82FBB">
        <w:rPr>
          <w:rFonts w:cs="Calibri"/>
        </w:rPr>
        <w:t xml:space="preserve">          As expected                                          4996                                         86.7%          </w:t>
      </w:r>
    </w:p>
    <w:p w14:paraId="3F766D5D" w14:textId="77777777" w:rsidR="00E82FBB" w:rsidRPr="00E82FBB" w:rsidRDefault="00E82FBB" w:rsidP="00E82FBB">
      <w:pPr>
        <w:spacing w:after="0"/>
        <w:rPr>
          <w:rFonts w:cs="Calibri"/>
        </w:rPr>
      </w:pPr>
      <w:r w:rsidRPr="00E82FBB">
        <w:rPr>
          <w:rFonts w:cs="Calibri"/>
        </w:rPr>
        <w:t xml:space="preserve">          Worse than expected                          767                                          13.3%          </w:t>
      </w:r>
    </w:p>
    <w:p w14:paraId="3D4E6971" w14:textId="77777777" w:rsidR="00D61410" w:rsidRDefault="00D61410" w:rsidP="00D61410">
      <w:pPr>
        <w:autoSpaceDE w:val="0"/>
        <w:autoSpaceDN w:val="0"/>
        <w:adjustRightInd w:val="0"/>
        <w:spacing w:after="0" w:line="240" w:lineRule="auto"/>
        <w:rPr>
          <w:rFonts w:cstheme="minorHAnsi"/>
          <w:bCs/>
        </w:rPr>
      </w:pPr>
    </w:p>
    <w:p w14:paraId="042FFA08" w14:textId="77777777" w:rsidR="00D61410" w:rsidRPr="00927027" w:rsidRDefault="00D61410" w:rsidP="00D61410">
      <w:pPr>
        <w:autoSpaceDE w:val="0"/>
        <w:autoSpaceDN w:val="0"/>
        <w:adjustRightInd w:val="0"/>
        <w:spacing w:after="0" w:line="240" w:lineRule="auto"/>
        <w:rPr>
          <w:rFonts w:cstheme="minorHAnsi"/>
          <w:bCs/>
        </w:rPr>
      </w:pPr>
    </w:p>
    <w:p w14:paraId="3F97C08D" w14:textId="77777777" w:rsidR="00E93895" w:rsidRDefault="00D61410" w:rsidP="00DD7FD3">
      <w:pPr>
        <w:spacing w:after="0"/>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p>
    <w:p w14:paraId="3BC2AB2D" w14:textId="77777777" w:rsidR="00DD7FD3" w:rsidRPr="00DD7FD3" w:rsidRDefault="00D61410" w:rsidP="00DD7FD3">
      <w:pPr>
        <w:spacing w:after="0"/>
        <w:rPr>
          <w:rFonts w:cs="Calibri"/>
        </w:rPr>
      </w:pPr>
      <w:r w:rsidRPr="00A25024">
        <w:rPr>
          <w:rFonts w:cstheme="minorHAnsi"/>
          <w:bCs/>
        </w:rPr>
        <w:br/>
      </w:r>
      <w:r w:rsidR="00DD7FD3" w:rsidRPr="00DD7FD3">
        <w:rPr>
          <w:rFonts w:cs="Calibri"/>
        </w:rPr>
        <w:t xml:space="preserve">Using monthly </w:t>
      </w:r>
      <w:r w:rsidR="00DD7FD3" w:rsidRPr="00DD7FD3">
        <w:rPr>
          <w:szCs w:val="20"/>
        </w:rPr>
        <w:t>percentage of patients with AV Fistula</w:t>
      </w:r>
      <w:r w:rsidR="00DD7FD3" w:rsidRPr="00DD7FD3">
        <w:rPr>
          <w:rFonts w:cs="Calibri"/>
        </w:rPr>
        <w:t xml:space="preserve">, calculated at the year-level, as the performance measure, 4996 (87%) facilities have achieved expected performance, and 767 facilities (13%) have performed worse than expected (lower fistula prevalence). </w:t>
      </w:r>
    </w:p>
    <w:p w14:paraId="362DC1E7" w14:textId="77777777" w:rsidR="00DD7FD3" w:rsidRPr="00FC2410" w:rsidRDefault="00DD7FD3" w:rsidP="00DD7FD3">
      <w:pPr>
        <w:spacing w:after="0"/>
        <w:rPr>
          <w:rFonts w:cs="Calibri"/>
          <w:sz w:val="20"/>
        </w:rPr>
      </w:pPr>
      <w:r w:rsidRPr="00DD7FD3">
        <w:rPr>
          <w:rFonts w:cs="Calibri"/>
        </w:rPr>
        <w:t>In general, higher rates of AV Fistula represent better quality of care. This analysis demonstrates both practical and statistically significant differences in performance across facilities based on their proportion of patient months with AV Fistula</w:t>
      </w:r>
      <w:r w:rsidRPr="00FC2410">
        <w:rPr>
          <w:rFonts w:cs="Calibri"/>
          <w:sz w:val="20"/>
        </w:rPr>
        <w:t>.</w:t>
      </w:r>
    </w:p>
    <w:p w14:paraId="14748B9E" w14:textId="77777777" w:rsidR="00D61410" w:rsidRPr="00A25024" w:rsidRDefault="00D61410" w:rsidP="00D61410">
      <w:pPr>
        <w:autoSpaceDE w:val="0"/>
        <w:autoSpaceDN w:val="0"/>
        <w:adjustRightInd w:val="0"/>
        <w:spacing w:after="0" w:line="240" w:lineRule="auto"/>
        <w:rPr>
          <w:rFonts w:cstheme="minorHAnsi"/>
          <w:bCs/>
        </w:rPr>
      </w:pPr>
    </w:p>
    <w:p w14:paraId="561CF7ED" w14:textId="77777777" w:rsidR="0086464B" w:rsidRDefault="0086464B" w:rsidP="0086464B">
      <w:pPr>
        <w:spacing w:after="0" w:line="240" w:lineRule="auto"/>
        <w:rPr>
          <w:rFonts w:cstheme="minorHAnsi"/>
          <w:b/>
          <w:bCs/>
        </w:rPr>
      </w:pPr>
      <w:r>
        <w:rPr>
          <w:rFonts w:cstheme="minorHAnsi"/>
          <w:b/>
          <w:bCs/>
        </w:rPr>
        <w:t>_______________________________________</w:t>
      </w:r>
    </w:p>
    <w:p w14:paraId="30601C89"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72337AA6"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3BF52C10" w14:textId="77777777" w:rsidR="00567D12" w:rsidRPr="00A25024" w:rsidRDefault="00567D12" w:rsidP="00DB3627">
      <w:pPr>
        <w:autoSpaceDE w:val="0"/>
        <w:autoSpaceDN w:val="0"/>
        <w:adjustRightInd w:val="0"/>
        <w:spacing w:after="0" w:line="240" w:lineRule="auto"/>
        <w:rPr>
          <w:rFonts w:cstheme="minorHAnsi"/>
          <w:b/>
          <w:bCs/>
        </w:rPr>
      </w:pPr>
    </w:p>
    <w:p w14:paraId="47A84218" w14:textId="77777777" w:rsidR="00052A6F" w:rsidRDefault="002B2116" w:rsidP="00DB3627">
      <w:pPr>
        <w:autoSpaceDE w:val="0"/>
        <w:autoSpaceDN w:val="0"/>
        <w:adjustRightInd w:val="0"/>
        <w:spacing w:after="0" w:line="240" w:lineRule="auto"/>
        <w:rPr>
          <w:rFonts w:cstheme="minorHAnsi"/>
          <w:b/>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1CFC7C38" w14:textId="77777777" w:rsidR="00621B7D" w:rsidRDefault="00621B7D" w:rsidP="00DB3627">
      <w:pPr>
        <w:autoSpaceDE w:val="0"/>
        <w:autoSpaceDN w:val="0"/>
        <w:adjustRightInd w:val="0"/>
        <w:spacing w:after="0" w:line="240" w:lineRule="auto"/>
        <w:rPr>
          <w:rFonts w:cstheme="minorHAnsi"/>
          <w:b/>
          <w:bCs/>
          <w:i/>
        </w:rPr>
      </w:pPr>
    </w:p>
    <w:p w14:paraId="1D364098" w14:textId="77777777" w:rsidR="00DD7FD3" w:rsidRPr="00DD7FD3" w:rsidRDefault="00DD7FD3" w:rsidP="00DD7FD3">
      <w:pPr>
        <w:rPr>
          <w:szCs w:val="20"/>
        </w:rPr>
      </w:pPr>
      <w:r w:rsidRPr="00DD7FD3">
        <w:rPr>
          <w:szCs w:val="20"/>
        </w:rPr>
        <w:t xml:space="preserve">As currently implemented on CMS’s DFC and in the CMS ESRD QIP, this measure is calculated using Medicare Claims data and is thereby limited to reporting only patients on Medicare. The use of CROWNWeb clinical data would enable calculating facility performance scores for nearly the entire census of US ESRD dialysis patients. </w:t>
      </w:r>
    </w:p>
    <w:p w14:paraId="4558CF4D" w14:textId="77777777" w:rsidR="000F06B5" w:rsidRPr="00B30A99" w:rsidRDefault="00E1508F" w:rsidP="00DB3627">
      <w:pPr>
        <w:autoSpaceDE w:val="0"/>
        <w:autoSpaceDN w:val="0"/>
        <w:adjustRightInd w:val="0"/>
        <w:spacing w:after="0" w:line="240" w:lineRule="auto"/>
        <w:rPr>
          <w:rFonts w:cstheme="minorHAnsi"/>
          <w:bCs/>
          <w:sz w:val="24"/>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r>
      <w:r w:rsidR="000F06B5" w:rsidRPr="00B30A99">
        <w:rPr>
          <w:rFonts w:cstheme="minorHAnsi"/>
          <w:bCs/>
          <w:sz w:val="24"/>
        </w:rPr>
        <w:t xml:space="preserve"> </w:t>
      </w:r>
    </w:p>
    <w:p w14:paraId="7B158CC5" w14:textId="150CA05B" w:rsidR="00B30A99" w:rsidRPr="00B30A99" w:rsidRDefault="00B30A99" w:rsidP="00B30A99">
      <w:pPr>
        <w:spacing w:after="120"/>
        <w:rPr>
          <w:szCs w:val="20"/>
        </w:rPr>
      </w:pPr>
      <w:r w:rsidRPr="00B30A99">
        <w:rPr>
          <w:szCs w:val="20"/>
        </w:rPr>
        <w:t>The measure was calculated for the time period of J</w:t>
      </w:r>
      <w:r w:rsidR="00C25245">
        <w:rPr>
          <w:szCs w:val="20"/>
        </w:rPr>
        <w:t>anuary – December 2013</w:t>
      </w:r>
      <w:r w:rsidRPr="00B30A99">
        <w:rPr>
          <w:szCs w:val="20"/>
        </w:rPr>
        <w:t xml:space="preserve">. Monthly calculations for this measure were calculated from CROWNWeb monthly clinical extracts at a patient- and facility- level. The numerator and denominator definitions were coded to match as closely as possible to the current </w:t>
      </w:r>
      <w:r w:rsidRPr="00B30A99">
        <w:rPr>
          <w:szCs w:val="20"/>
        </w:rPr>
        <w:lastRenderedPageBreak/>
        <w:t xml:space="preserve">definitions in the DFC Medicare Claims codes. In some cases, definitions were amended to account for differences in data elements in the new data source. Vascular access-type categories differed slightly between Medicare Claims and CROWNWeb. For instance, CROWNWeb categories included all the Claims categories but, had an extra category for ‘Port’ and a category for ‘Fistula &amp; Graft’. We classified ‘Fistula &amp; Graft’ patients as “Multiple access” and classified “Port” patients as “Catheter”. </w:t>
      </w:r>
    </w:p>
    <w:p w14:paraId="04C64C91" w14:textId="77777777" w:rsidR="00B30A99" w:rsidRPr="00B30A99" w:rsidRDefault="00B30A99" w:rsidP="00B30A99">
      <w:pPr>
        <w:spacing w:after="120"/>
        <w:rPr>
          <w:szCs w:val="20"/>
        </w:rPr>
      </w:pPr>
      <w:r w:rsidRPr="00B30A99">
        <w:rPr>
          <w:szCs w:val="20"/>
        </w:rPr>
        <w:t xml:space="preserve">Monthly CROWNWeb calculations were summarized to quarterly and yearly time periods and merged with the DFC Medicare Claims files. For the purposes of comparing the measure by data source, all patients in these two files were divided into three mutually exclusive groups. Patients found in both files were defined as “CROWNWeb and Claims” patients. Patients found only in CROWNWeb files were considered “CROWNWeb Only”. Similarly, patients unique to Medicare Claims were classified as “Claims Only”. The CROWNWeb Only population is not currently included in the DFC measures, but would be included if CROWNWeb became the underlying data source. The opposite is true for the Claims Only population; it is currently included in the DFC measures, but would not be included if CROWNWeb became the data source. </w:t>
      </w:r>
    </w:p>
    <w:p w14:paraId="2CCFF376" w14:textId="2070836D" w:rsidR="00C53FFA" w:rsidRDefault="00B30A99" w:rsidP="00C53FFA">
      <w:pPr>
        <w:rPr>
          <w:rFonts w:ascii="Calibri" w:hAnsi="Calibri" w:cs="Calibri"/>
        </w:rPr>
      </w:pPr>
      <w:r w:rsidRPr="00B30A99">
        <w:rPr>
          <w:szCs w:val="20"/>
        </w:rPr>
        <w:t>To assess agreement between the two data sources at the patient-</w:t>
      </w:r>
      <w:r w:rsidR="00AB7334">
        <w:rPr>
          <w:szCs w:val="20"/>
        </w:rPr>
        <w:t>month-</w:t>
      </w:r>
      <w:r w:rsidRPr="00B30A99">
        <w:rPr>
          <w:szCs w:val="20"/>
        </w:rPr>
        <w:t>level with respect to the performance score, the number and percentage of patient</w:t>
      </w:r>
      <w:r w:rsidR="00AB7334">
        <w:rPr>
          <w:szCs w:val="20"/>
        </w:rPr>
        <w:t>-</w:t>
      </w:r>
      <w:r w:rsidRPr="00B30A99">
        <w:rPr>
          <w:szCs w:val="20"/>
        </w:rPr>
        <w:t>months with AV fistula in CROWNWeb were compared to the corresponding number and percentage from Medicare Claims on a year-level (Table 1). The Kappa statistic is displayed as a footnote to each table. Table 2 displays the results at the facility level.</w:t>
      </w:r>
      <w:r w:rsidR="00C53FFA" w:rsidRPr="00C53FFA">
        <w:t xml:space="preserve"> </w:t>
      </w:r>
      <w:r w:rsidR="00C53FFA">
        <w:t xml:space="preserve">The Pearson product-moment correlations are displayed in the table. </w:t>
      </w:r>
      <w:r w:rsidR="00C53FFA">
        <w:rPr>
          <w:szCs w:val="20"/>
        </w:rPr>
        <w:t xml:space="preserve"> </w:t>
      </w:r>
      <w:r w:rsidR="00C53FFA">
        <w:t xml:space="preserve"> </w:t>
      </w:r>
    </w:p>
    <w:p w14:paraId="467418D6" w14:textId="37651F64" w:rsidR="000F06B5" w:rsidRPr="00B30A99" w:rsidRDefault="000F06B5" w:rsidP="00B30A99">
      <w:pPr>
        <w:pStyle w:val="ListParagraph"/>
        <w:autoSpaceDE w:val="0"/>
        <w:autoSpaceDN w:val="0"/>
        <w:adjustRightInd w:val="0"/>
        <w:spacing w:after="0" w:line="240" w:lineRule="auto"/>
        <w:ind w:left="0"/>
        <w:rPr>
          <w:szCs w:val="20"/>
        </w:rPr>
      </w:pPr>
    </w:p>
    <w:p w14:paraId="6EE9B27D" w14:textId="77777777" w:rsidR="00B30A99" w:rsidRPr="00A25024" w:rsidRDefault="00B30A99" w:rsidP="00B30A99">
      <w:pPr>
        <w:pStyle w:val="ListParagraph"/>
        <w:autoSpaceDE w:val="0"/>
        <w:autoSpaceDN w:val="0"/>
        <w:adjustRightInd w:val="0"/>
        <w:spacing w:after="0" w:line="240" w:lineRule="auto"/>
        <w:ind w:left="0"/>
        <w:rPr>
          <w:rFonts w:cstheme="minorHAnsi"/>
          <w:bCs/>
        </w:rPr>
      </w:pPr>
    </w:p>
    <w:p w14:paraId="16716311"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16F24E2F" w14:textId="3D86E703" w:rsidR="00B41A0C" w:rsidRPr="00B41A0C" w:rsidRDefault="00B41A0C" w:rsidP="00B41A0C">
      <w:pPr>
        <w:rPr>
          <w:szCs w:val="20"/>
        </w:rPr>
      </w:pPr>
      <w:r w:rsidRPr="00B41A0C">
        <w:rPr>
          <w:szCs w:val="20"/>
        </w:rPr>
        <w:t>Table 1. Number and Percent of HD Patient-months with AV Fistula in place for the Year (</w:t>
      </w:r>
      <w:r w:rsidR="00C25245">
        <w:rPr>
          <w:szCs w:val="20"/>
        </w:rPr>
        <w:t>January - December</w:t>
      </w:r>
      <w:r w:rsidRPr="00B41A0C">
        <w:rPr>
          <w:szCs w:val="20"/>
        </w:rPr>
        <w:t xml:space="preserve"> 2013)</w:t>
      </w:r>
    </w:p>
    <w:p w14:paraId="68AE0DBB" w14:textId="77777777" w:rsidR="00B41A0C" w:rsidRPr="00B41A0C" w:rsidRDefault="00B41A0C" w:rsidP="00B41A0C">
      <w:pPr>
        <w:spacing w:after="0"/>
        <w:rPr>
          <w:rFonts w:cs="Calibri"/>
          <w:szCs w:val="20"/>
        </w:rPr>
      </w:pPr>
    </w:p>
    <w:tbl>
      <w:tblPr>
        <w:tblW w:w="0" w:type="auto"/>
        <w:tblInd w:w="98" w:type="dxa"/>
        <w:tblCellMar>
          <w:left w:w="10" w:type="dxa"/>
          <w:right w:w="10" w:type="dxa"/>
        </w:tblCellMar>
        <w:tblLook w:val="0000" w:firstRow="0" w:lastRow="0" w:firstColumn="0" w:lastColumn="0" w:noHBand="0" w:noVBand="0"/>
      </w:tblPr>
      <w:tblGrid>
        <w:gridCol w:w="2569"/>
        <w:gridCol w:w="2028"/>
        <w:gridCol w:w="2028"/>
        <w:gridCol w:w="2028"/>
      </w:tblGrid>
      <w:tr w:rsidR="00B41A0C" w:rsidRPr="00B41A0C" w14:paraId="41B8480D" w14:textId="77777777" w:rsidTr="000D4E7F">
        <w:trPr>
          <w:trHeight w:val="1"/>
        </w:trPr>
        <w:tc>
          <w:tcPr>
            <w:tcW w:w="2569"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7851A2A9" w14:textId="77777777" w:rsidR="00B41A0C" w:rsidRPr="00B41A0C" w:rsidRDefault="00B41A0C" w:rsidP="000D4E7F">
            <w:pPr>
              <w:spacing w:after="0"/>
              <w:jc w:val="center"/>
              <w:rPr>
                <w:rFonts w:cs="Calibri"/>
                <w:szCs w:val="20"/>
              </w:rPr>
            </w:pPr>
            <w:r w:rsidRPr="00B41A0C">
              <w:rPr>
                <w:rFonts w:cs="Calibri"/>
                <w:b/>
                <w:szCs w:val="20"/>
              </w:rPr>
              <w:t>CROWNWeb*</w:t>
            </w:r>
          </w:p>
        </w:tc>
        <w:tc>
          <w:tcPr>
            <w:tcW w:w="608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DA2487" w14:textId="77777777" w:rsidR="00B41A0C" w:rsidRPr="00B41A0C" w:rsidRDefault="00B41A0C" w:rsidP="000D4E7F">
            <w:pPr>
              <w:spacing w:after="0"/>
              <w:jc w:val="center"/>
              <w:rPr>
                <w:rFonts w:cs="Calibri"/>
                <w:szCs w:val="20"/>
              </w:rPr>
            </w:pPr>
            <w:r w:rsidRPr="00B41A0C">
              <w:rPr>
                <w:rFonts w:cs="Calibri"/>
                <w:b/>
                <w:szCs w:val="20"/>
              </w:rPr>
              <w:t>Claims</w:t>
            </w:r>
          </w:p>
        </w:tc>
      </w:tr>
      <w:tr w:rsidR="00B41A0C" w:rsidRPr="00B41A0C" w14:paraId="660AE6E9" w14:textId="77777777" w:rsidTr="000D4E7F">
        <w:trPr>
          <w:trHeight w:val="1"/>
        </w:trPr>
        <w:tc>
          <w:tcPr>
            <w:tcW w:w="2569" w:type="dxa"/>
            <w:vMerge/>
            <w:tcBorders>
              <w:left w:val="single" w:sz="4" w:space="0" w:color="000000"/>
              <w:bottom w:val="single" w:sz="4" w:space="0" w:color="000000"/>
              <w:right w:val="single" w:sz="4" w:space="0" w:color="000000"/>
            </w:tcBorders>
            <w:shd w:val="clear" w:color="000000" w:fill="FFFFFF"/>
            <w:tcMar>
              <w:left w:w="108" w:type="dxa"/>
              <w:right w:w="108" w:type="dxa"/>
            </w:tcMar>
          </w:tcPr>
          <w:p w14:paraId="55B1020C" w14:textId="77777777" w:rsidR="00B41A0C" w:rsidRPr="00B41A0C" w:rsidRDefault="00B41A0C" w:rsidP="000D4E7F">
            <w:pPr>
              <w:spacing w:after="0"/>
              <w:rPr>
                <w:rFonts w:cs="Calibri"/>
                <w:szCs w:val="20"/>
              </w:rPr>
            </w:pPr>
          </w:p>
        </w:tc>
        <w:tc>
          <w:tcPr>
            <w:tcW w:w="405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A872B6" w14:textId="77777777" w:rsidR="00B41A0C" w:rsidRPr="00B41A0C" w:rsidRDefault="00B41A0C" w:rsidP="000D4E7F">
            <w:pPr>
              <w:spacing w:after="0"/>
              <w:jc w:val="center"/>
              <w:rPr>
                <w:rFonts w:cs="Calibri"/>
                <w:szCs w:val="20"/>
              </w:rPr>
            </w:pPr>
            <w:r w:rsidRPr="00B41A0C">
              <w:rPr>
                <w:rFonts w:cs="Calibri"/>
                <w:b/>
                <w:szCs w:val="20"/>
              </w:rPr>
              <w:t>AV Fistula in Place</w:t>
            </w:r>
          </w:p>
        </w:tc>
        <w:tc>
          <w:tcPr>
            <w:tcW w:w="20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455642" w14:textId="77777777" w:rsidR="00B41A0C" w:rsidRPr="00B41A0C" w:rsidRDefault="00B41A0C" w:rsidP="000D4E7F">
            <w:pPr>
              <w:spacing w:after="0"/>
              <w:jc w:val="center"/>
              <w:rPr>
                <w:rFonts w:cs="Calibri"/>
                <w:szCs w:val="20"/>
              </w:rPr>
            </w:pPr>
            <w:r w:rsidRPr="00B41A0C">
              <w:rPr>
                <w:rFonts w:cs="Calibri"/>
                <w:b/>
                <w:szCs w:val="20"/>
              </w:rPr>
              <w:t>Total</w:t>
            </w:r>
          </w:p>
        </w:tc>
      </w:tr>
      <w:tr w:rsidR="00B41A0C" w:rsidRPr="00B41A0C" w14:paraId="2AF1ECE1" w14:textId="77777777" w:rsidTr="000D4E7F">
        <w:trPr>
          <w:trHeight w:val="1"/>
        </w:trPr>
        <w:tc>
          <w:tcPr>
            <w:tcW w:w="25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496DAF" w14:textId="77777777" w:rsidR="00B41A0C" w:rsidRPr="00B41A0C" w:rsidRDefault="00B41A0C" w:rsidP="000D4E7F">
            <w:pPr>
              <w:spacing w:after="0"/>
              <w:rPr>
                <w:rFonts w:cs="Calibri"/>
                <w:szCs w:val="20"/>
              </w:rPr>
            </w:pPr>
            <w:r w:rsidRPr="00B41A0C">
              <w:rPr>
                <w:rFonts w:cs="Calibri"/>
                <w:b/>
                <w:szCs w:val="20"/>
              </w:rPr>
              <w:t>AV Fistula in Place</w:t>
            </w:r>
          </w:p>
        </w:tc>
        <w:tc>
          <w:tcPr>
            <w:tcW w:w="20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01A1C6" w14:textId="77777777" w:rsidR="00B41A0C" w:rsidRPr="00B41A0C" w:rsidRDefault="00B41A0C" w:rsidP="000D4E7F">
            <w:pPr>
              <w:spacing w:after="0"/>
              <w:jc w:val="center"/>
              <w:rPr>
                <w:rFonts w:cs="Calibri"/>
                <w:szCs w:val="20"/>
              </w:rPr>
            </w:pPr>
            <w:r w:rsidRPr="00B41A0C">
              <w:rPr>
                <w:rFonts w:cs="Calibri"/>
                <w:b/>
                <w:szCs w:val="20"/>
              </w:rPr>
              <w:t>YES</w:t>
            </w:r>
          </w:p>
        </w:tc>
        <w:tc>
          <w:tcPr>
            <w:tcW w:w="20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A8028B" w14:textId="77777777" w:rsidR="00B41A0C" w:rsidRPr="00B41A0C" w:rsidRDefault="00B41A0C" w:rsidP="000D4E7F">
            <w:pPr>
              <w:spacing w:after="0"/>
              <w:jc w:val="center"/>
              <w:rPr>
                <w:rFonts w:cs="Calibri"/>
                <w:szCs w:val="20"/>
              </w:rPr>
            </w:pPr>
            <w:r w:rsidRPr="00B41A0C">
              <w:rPr>
                <w:rFonts w:cs="Calibri"/>
                <w:b/>
                <w:szCs w:val="20"/>
              </w:rPr>
              <w:t>No</w:t>
            </w:r>
          </w:p>
        </w:tc>
        <w:tc>
          <w:tcPr>
            <w:tcW w:w="20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7671A1" w14:textId="77777777" w:rsidR="00B41A0C" w:rsidRPr="00B41A0C" w:rsidRDefault="00B41A0C" w:rsidP="000D4E7F">
            <w:pPr>
              <w:spacing w:after="0"/>
              <w:jc w:val="center"/>
              <w:rPr>
                <w:rFonts w:cs="Calibri"/>
                <w:szCs w:val="20"/>
              </w:rPr>
            </w:pPr>
          </w:p>
        </w:tc>
      </w:tr>
      <w:tr w:rsidR="00C25245" w:rsidRPr="00B41A0C" w14:paraId="468B619E" w14:textId="77777777" w:rsidTr="00470DA4">
        <w:trPr>
          <w:trHeight w:val="1"/>
        </w:trPr>
        <w:tc>
          <w:tcPr>
            <w:tcW w:w="25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1940D8" w14:textId="77777777" w:rsidR="00C25245" w:rsidRPr="00B41A0C" w:rsidRDefault="00C25245" w:rsidP="000D4E7F">
            <w:pPr>
              <w:spacing w:after="0"/>
              <w:rPr>
                <w:rFonts w:cs="Calibri"/>
                <w:szCs w:val="20"/>
              </w:rPr>
            </w:pPr>
            <w:r w:rsidRPr="00B41A0C">
              <w:rPr>
                <w:rFonts w:cs="Calibri"/>
                <w:b/>
                <w:szCs w:val="20"/>
              </w:rPr>
              <w:t>Yes</w:t>
            </w:r>
          </w:p>
        </w:tc>
        <w:tc>
          <w:tcPr>
            <w:tcW w:w="20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A268AA" w14:textId="156C114A" w:rsidR="00C25245" w:rsidRPr="00B41A0C" w:rsidRDefault="00C25245" w:rsidP="000D4E7F">
            <w:pPr>
              <w:spacing w:after="0"/>
              <w:jc w:val="center"/>
              <w:rPr>
                <w:rFonts w:cs="Calibri"/>
                <w:szCs w:val="20"/>
              </w:rPr>
            </w:pPr>
            <w:r>
              <w:rPr>
                <w:rFonts w:ascii="Calibri" w:hAnsi="Calibri"/>
                <w:color w:val="000000"/>
              </w:rPr>
              <w:t>2045291 (6</w:t>
            </w:r>
            <w:r w:rsidR="00C53FFA">
              <w:rPr>
                <w:rFonts w:ascii="Calibri" w:hAnsi="Calibri"/>
                <w:color w:val="000000"/>
              </w:rPr>
              <w:t>3</w:t>
            </w:r>
            <w:r>
              <w:rPr>
                <w:rFonts w:ascii="Calibri" w:hAnsi="Calibri"/>
                <w:color w:val="000000"/>
              </w:rPr>
              <w:t>%)</w:t>
            </w:r>
          </w:p>
        </w:tc>
        <w:tc>
          <w:tcPr>
            <w:tcW w:w="20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E42BCC" w14:textId="2345970F" w:rsidR="00C25245" w:rsidRPr="00B41A0C" w:rsidRDefault="00C25245" w:rsidP="000D4E7F">
            <w:pPr>
              <w:spacing w:after="0"/>
              <w:jc w:val="center"/>
              <w:rPr>
                <w:rFonts w:cs="Calibri"/>
                <w:szCs w:val="20"/>
              </w:rPr>
            </w:pPr>
            <w:r>
              <w:rPr>
                <w:rFonts w:ascii="Calibri" w:hAnsi="Calibri"/>
                <w:color w:val="000000"/>
              </w:rPr>
              <w:t>83076 (3%)</w:t>
            </w:r>
          </w:p>
        </w:tc>
        <w:tc>
          <w:tcPr>
            <w:tcW w:w="20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704171" w14:textId="75F26B73" w:rsidR="00C25245" w:rsidRPr="00B41A0C" w:rsidRDefault="00C25245" w:rsidP="000D4E7F">
            <w:pPr>
              <w:spacing w:after="0"/>
              <w:jc w:val="center"/>
              <w:rPr>
                <w:rFonts w:cs="Calibri"/>
                <w:szCs w:val="20"/>
              </w:rPr>
            </w:pPr>
            <w:r>
              <w:rPr>
                <w:rFonts w:ascii="Calibri" w:hAnsi="Calibri"/>
                <w:color w:val="000000"/>
              </w:rPr>
              <w:t>2128367 (66%)</w:t>
            </w:r>
          </w:p>
        </w:tc>
      </w:tr>
      <w:tr w:rsidR="00C25245" w:rsidRPr="00B41A0C" w14:paraId="05430E58" w14:textId="77777777" w:rsidTr="00470DA4">
        <w:trPr>
          <w:trHeight w:val="1"/>
        </w:trPr>
        <w:tc>
          <w:tcPr>
            <w:tcW w:w="25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2CD4DF" w14:textId="77777777" w:rsidR="00C25245" w:rsidRPr="00B41A0C" w:rsidRDefault="00C25245" w:rsidP="000D4E7F">
            <w:pPr>
              <w:spacing w:after="0"/>
              <w:rPr>
                <w:rFonts w:cs="Calibri"/>
                <w:szCs w:val="20"/>
              </w:rPr>
            </w:pPr>
            <w:r w:rsidRPr="00B41A0C">
              <w:rPr>
                <w:rFonts w:cs="Calibri"/>
                <w:b/>
                <w:szCs w:val="20"/>
              </w:rPr>
              <w:t>No</w:t>
            </w:r>
          </w:p>
        </w:tc>
        <w:tc>
          <w:tcPr>
            <w:tcW w:w="20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6E7D80" w14:textId="3E240B91" w:rsidR="00C25245" w:rsidRPr="00B41A0C" w:rsidRDefault="00C25245" w:rsidP="000D4E7F">
            <w:pPr>
              <w:spacing w:after="0"/>
              <w:jc w:val="center"/>
              <w:rPr>
                <w:rFonts w:cs="Calibri"/>
                <w:szCs w:val="20"/>
              </w:rPr>
            </w:pPr>
            <w:r>
              <w:rPr>
                <w:rFonts w:ascii="Calibri" w:hAnsi="Calibri"/>
                <w:color w:val="000000"/>
              </w:rPr>
              <w:t>32166 (1%)</w:t>
            </w:r>
          </w:p>
        </w:tc>
        <w:tc>
          <w:tcPr>
            <w:tcW w:w="20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6FD36B" w14:textId="7CFA0490" w:rsidR="00C25245" w:rsidRPr="00B41A0C" w:rsidRDefault="00C25245" w:rsidP="000D4E7F">
            <w:pPr>
              <w:spacing w:after="0"/>
              <w:jc w:val="center"/>
              <w:rPr>
                <w:rFonts w:cs="Calibri"/>
                <w:szCs w:val="20"/>
              </w:rPr>
            </w:pPr>
            <w:r>
              <w:rPr>
                <w:rFonts w:ascii="Calibri" w:hAnsi="Calibri"/>
                <w:color w:val="000000"/>
              </w:rPr>
              <w:t>1061612 (3</w:t>
            </w:r>
            <w:r w:rsidR="00C53FFA">
              <w:rPr>
                <w:rFonts w:ascii="Calibri" w:hAnsi="Calibri"/>
                <w:color w:val="000000"/>
              </w:rPr>
              <w:t>3</w:t>
            </w:r>
            <w:r>
              <w:rPr>
                <w:rFonts w:ascii="Calibri" w:hAnsi="Calibri"/>
                <w:color w:val="000000"/>
              </w:rPr>
              <w:t>%)</w:t>
            </w:r>
          </w:p>
        </w:tc>
        <w:tc>
          <w:tcPr>
            <w:tcW w:w="20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53647D" w14:textId="221C943D" w:rsidR="00C25245" w:rsidRPr="00B41A0C" w:rsidRDefault="00C25245" w:rsidP="000D4E7F">
            <w:pPr>
              <w:spacing w:after="0"/>
              <w:jc w:val="center"/>
              <w:rPr>
                <w:rFonts w:cs="Calibri"/>
                <w:szCs w:val="20"/>
              </w:rPr>
            </w:pPr>
            <w:r>
              <w:rPr>
                <w:rFonts w:ascii="Calibri" w:hAnsi="Calibri"/>
                <w:color w:val="000000"/>
              </w:rPr>
              <w:t>1093778 (34%)</w:t>
            </w:r>
          </w:p>
        </w:tc>
      </w:tr>
      <w:tr w:rsidR="00C25245" w:rsidRPr="00B41A0C" w14:paraId="1314357E" w14:textId="77777777" w:rsidTr="00470DA4">
        <w:trPr>
          <w:trHeight w:val="1"/>
        </w:trPr>
        <w:tc>
          <w:tcPr>
            <w:tcW w:w="25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89EDE7" w14:textId="77777777" w:rsidR="00C25245" w:rsidRPr="00B41A0C" w:rsidRDefault="00C25245" w:rsidP="000D4E7F">
            <w:pPr>
              <w:spacing w:after="0"/>
              <w:rPr>
                <w:rFonts w:cs="Calibri"/>
                <w:szCs w:val="20"/>
              </w:rPr>
            </w:pPr>
            <w:r w:rsidRPr="00B41A0C">
              <w:rPr>
                <w:rFonts w:cs="Calibri"/>
                <w:b/>
                <w:szCs w:val="20"/>
              </w:rPr>
              <w:t xml:space="preserve">Total </w:t>
            </w:r>
          </w:p>
        </w:tc>
        <w:tc>
          <w:tcPr>
            <w:tcW w:w="20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04DE38" w14:textId="0FF388C8" w:rsidR="00C25245" w:rsidRPr="00B41A0C" w:rsidRDefault="00C25245" w:rsidP="000D4E7F">
            <w:pPr>
              <w:spacing w:after="0"/>
              <w:jc w:val="center"/>
              <w:rPr>
                <w:rFonts w:cs="Calibri"/>
                <w:szCs w:val="20"/>
              </w:rPr>
            </w:pPr>
            <w:r>
              <w:rPr>
                <w:rFonts w:ascii="Calibri" w:hAnsi="Calibri"/>
                <w:color w:val="000000"/>
              </w:rPr>
              <w:t>2077457 (64%)</w:t>
            </w:r>
          </w:p>
        </w:tc>
        <w:tc>
          <w:tcPr>
            <w:tcW w:w="20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D443F2" w14:textId="002ECBD0" w:rsidR="00C25245" w:rsidRPr="00B41A0C" w:rsidRDefault="00C25245" w:rsidP="000D4E7F">
            <w:pPr>
              <w:spacing w:after="0"/>
              <w:jc w:val="center"/>
              <w:rPr>
                <w:rFonts w:cs="Calibri"/>
                <w:szCs w:val="20"/>
              </w:rPr>
            </w:pPr>
            <w:r>
              <w:rPr>
                <w:rFonts w:ascii="Calibri" w:hAnsi="Calibri"/>
                <w:color w:val="000000"/>
              </w:rPr>
              <w:t>1144688 (36%)</w:t>
            </w:r>
          </w:p>
        </w:tc>
        <w:tc>
          <w:tcPr>
            <w:tcW w:w="20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BA4C76" w14:textId="031F7CC9" w:rsidR="00C25245" w:rsidRPr="00B41A0C" w:rsidRDefault="00C25245" w:rsidP="000D4E7F">
            <w:pPr>
              <w:spacing w:after="0"/>
              <w:jc w:val="center"/>
              <w:rPr>
                <w:rFonts w:cs="Calibri"/>
                <w:szCs w:val="20"/>
                <w:lang w:eastAsia="zh-CN"/>
              </w:rPr>
            </w:pPr>
            <w:r>
              <w:rPr>
                <w:rFonts w:ascii="Calibri" w:hAnsi="Calibri"/>
                <w:color w:val="000000"/>
              </w:rPr>
              <w:t>3222145 (100%)</w:t>
            </w:r>
          </w:p>
        </w:tc>
      </w:tr>
    </w:tbl>
    <w:p w14:paraId="0954E889" w14:textId="77777777" w:rsidR="00B41A0C" w:rsidRPr="00B41A0C" w:rsidRDefault="00B41A0C" w:rsidP="00B41A0C">
      <w:pPr>
        <w:spacing w:after="0"/>
        <w:rPr>
          <w:rFonts w:cs="Calibri"/>
          <w:sz w:val="18"/>
          <w:szCs w:val="20"/>
        </w:rPr>
      </w:pPr>
      <w:r w:rsidRPr="00B41A0C">
        <w:rPr>
          <w:rFonts w:cs="Calibri"/>
          <w:sz w:val="18"/>
          <w:szCs w:val="20"/>
        </w:rPr>
        <w:t xml:space="preserve">Percentages in parentheses are of all patient-months in the analysis. </w:t>
      </w:r>
    </w:p>
    <w:p w14:paraId="1969875E" w14:textId="09C86F34" w:rsidR="00B41A0C" w:rsidRDefault="00B41A0C" w:rsidP="00B41A0C">
      <w:pPr>
        <w:spacing w:after="0"/>
        <w:rPr>
          <w:rFonts w:cs="Calibri"/>
          <w:sz w:val="18"/>
          <w:szCs w:val="20"/>
        </w:rPr>
      </w:pPr>
      <w:r w:rsidRPr="00B41A0C">
        <w:rPr>
          <w:rFonts w:cs="Calibri"/>
          <w:sz w:val="18"/>
          <w:szCs w:val="20"/>
        </w:rPr>
        <w:t>Kappa for data agreement among all patient-months in the testing period is 0.</w:t>
      </w:r>
      <w:r w:rsidR="00EA7932" w:rsidRPr="00B41A0C">
        <w:rPr>
          <w:rFonts w:cs="Calibri"/>
          <w:sz w:val="18"/>
          <w:szCs w:val="20"/>
        </w:rPr>
        <w:t>9</w:t>
      </w:r>
      <w:r w:rsidR="00EA7932">
        <w:rPr>
          <w:rFonts w:cs="Calibri"/>
          <w:sz w:val="18"/>
          <w:szCs w:val="20"/>
        </w:rPr>
        <w:t>2</w:t>
      </w:r>
      <w:r w:rsidR="00923741">
        <w:rPr>
          <w:rFonts w:cs="Calibri"/>
          <w:sz w:val="18"/>
          <w:szCs w:val="20"/>
        </w:rPr>
        <w:t xml:space="preserve"> </w:t>
      </w:r>
      <w:r w:rsidR="00C53FFA">
        <w:rPr>
          <w:rFonts w:cs="Calibri"/>
          <w:sz w:val="18"/>
          <w:szCs w:val="20"/>
        </w:rPr>
        <w:t>(p &lt;0.001)</w:t>
      </w:r>
      <w:r w:rsidR="00C53FFA" w:rsidRPr="00D04F29">
        <w:rPr>
          <w:rFonts w:cs="Calibri"/>
          <w:sz w:val="18"/>
          <w:szCs w:val="20"/>
        </w:rPr>
        <w:t>.</w:t>
      </w:r>
    </w:p>
    <w:p w14:paraId="007AF273" w14:textId="77777777" w:rsidR="00E93895" w:rsidRPr="00B41A0C" w:rsidRDefault="00E93895" w:rsidP="00B41A0C">
      <w:pPr>
        <w:spacing w:after="0"/>
        <w:rPr>
          <w:rFonts w:cs="Calibri"/>
          <w:sz w:val="18"/>
          <w:szCs w:val="20"/>
        </w:rPr>
      </w:pPr>
    </w:p>
    <w:p w14:paraId="07B3DC54" w14:textId="77B4FC3F" w:rsidR="00CF2A11" w:rsidRDefault="00CF2A11" w:rsidP="00B41A0C">
      <w:pPr>
        <w:rPr>
          <w:szCs w:val="20"/>
        </w:rPr>
      </w:pPr>
      <w:bookmarkStart w:id="14" w:name="_Toc378944194"/>
      <w:r>
        <w:rPr>
          <w:szCs w:val="20"/>
        </w:rPr>
        <w:t xml:space="preserve">Table 1 </w:t>
      </w:r>
      <w:proofErr w:type="gramStart"/>
      <w:r>
        <w:rPr>
          <w:szCs w:val="20"/>
        </w:rPr>
        <w:t>reports</w:t>
      </w:r>
      <w:proofErr w:type="gramEnd"/>
      <w:r>
        <w:rPr>
          <w:szCs w:val="20"/>
        </w:rPr>
        <w:t xml:space="preserve"> a small difference of about 2% in the percent of AV fistula in place at the patient</w:t>
      </w:r>
      <w:r w:rsidR="00AB7334">
        <w:rPr>
          <w:szCs w:val="20"/>
        </w:rPr>
        <w:t>-</w:t>
      </w:r>
      <w:r>
        <w:rPr>
          <w:szCs w:val="20"/>
        </w:rPr>
        <w:t>month</w:t>
      </w:r>
      <w:r w:rsidR="00AB7334">
        <w:rPr>
          <w:szCs w:val="20"/>
        </w:rPr>
        <w:t>-</w:t>
      </w:r>
      <w:r>
        <w:rPr>
          <w:szCs w:val="20"/>
        </w:rPr>
        <w:t xml:space="preserve">level as reported in Medicare claims (64%) compared to CROWNWeb (66%). Agreement is </w:t>
      </w:r>
      <w:r w:rsidR="00AB7334">
        <w:rPr>
          <w:szCs w:val="20"/>
        </w:rPr>
        <w:t xml:space="preserve">very </w:t>
      </w:r>
      <w:r>
        <w:rPr>
          <w:szCs w:val="20"/>
        </w:rPr>
        <w:t>strong as demonstrated by a Kappa of 0.92</w:t>
      </w:r>
      <w:r w:rsidR="00C53FFA">
        <w:rPr>
          <w:szCs w:val="20"/>
        </w:rPr>
        <w:t xml:space="preserve"> (p&lt;0.001)</w:t>
      </w:r>
      <w:r>
        <w:rPr>
          <w:szCs w:val="20"/>
        </w:rPr>
        <w:t xml:space="preserve">. </w:t>
      </w:r>
    </w:p>
    <w:p w14:paraId="1A183EFD" w14:textId="63B64909" w:rsidR="00B41A0C" w:rsidRPr="00B41A0C" w:rsidRDefault="00B41A0C" w:rsidP="00B41A0C">
      <w:pPr>
        <w:rPr>
          <w:szCs w:val="20"/>
        </w:rPr>
      </w:pPr>
      <w:r w:rsidRPr="00B41A0C">
        <w:rPr>
          <w:szCs w:val="20"/>
        </w:rPr>
        <w:lastRenderedPageBreak/>
        <w:t>Table 2. Facility Level Measure: Mean Percent of AV Fistula in Place in CROWNWeb and Medicare Claims by Year and Quarter (</w:t>
      </w:r>
      <w:r w:rsidR="00C25245">
        <w:rPr>
          <w:szCs w:val="20"/>
        </w:rPr>
        <w:t xml:space="preserve">January </w:t>
      </w:r>
      <w:r w:rsidR="00AB7334">
        <w:rPr>
          <w:szCs w:val="20"/>
        </w:rPr>
        <w:t>–</w:t>
      </w:r>
      <w:r w:rsidR="00C25245">
        <w:rPr>
          <w:szCs w:val="20"/>
        </w:rPr>
        <w:t xml:space="preserve"> December</w:t>
      </w:r>
      <w:r w:rsidR="00AB7334">
        <w:rPr>
          <w:szCs w:val="20"/>
        </w:rPr>
        <w:t xml:space="preserve"> </w:t>
      </w:r>
      <w:r w:rsidRPr="00B41A0C">
        <w:rPr>
          <w:szCs w:val="20"/>
        </w:rPr>
        <w:t>2013)</w:t>
      </w:r>
      <w:bookmarkEnd w:id="14"/>
    </w:p>
    <w:p w14:paraId="2F351EEE" w14:textId="77777777" w:rsidR="00B41A0C" w:rsidRPr="00B41A0C" w:rsidRDefault="00B41A0C" w:rsidP="00B41A0C">
      <w:pPr>
        <w:spacing w:after="0"/>
        <w:rPr>
          <w:rFonts w:cs="Calibri"/>
          <w:szCs w:val="20"/>
        </w:rPr>
      </w:pPr>
    </w:p>
    <w:tbl>
      <w:tblPr>
        <w:tblW w:w="0" w:type="auto"/>
        <w:tblInd w:w="98" w:type="dxa"/>
        <w:tblCellMar>
          <w:left w:w="10" w:type="dxa"/>
          <w:right w:w="10" w:type="dxa"/>
        </w:tblCellMar>
        <w:tblLook w:val="0000" w:firstRow="0" w:lastRow="0" w:firstColumn="0" w:lastColumn="0" w:noHBand="0" w:noVBand="0"/>
      </w:tblPr>
      <w:tblGrid>
        <w:gridCol w:w="1860"/>
        <w:gridCol w:w="1499"/>
        <w:gridCol w:w="2048"/>
        <w:gridCol w:w="1358"/>
        <w:gridCol w:w="1885"/>
      </w:tblGrid>
      <w:tr w:rsidR="00B41A0C" w:rsidRPr="00B41A0C" w14:paraId="3B3918DB" w14:textId="77777777" w:rsidTr="000D4E7F">
        <w:tc>
          <w:tcPr>
            <w:tcW w:w="18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F05655" w14:textId="77777777" w:rsidR="00B41A0C" w:rsidRPr="00B41A0C" w:rsidRDefault="00B41A0C" w:rsidP="000D4E7F">
            <w:pPr>
              <w:spacing w:after="0"/>
              <w:rPr>
                <w:rFonts w:cs="Calibri"/>
                <w:szCs w:val="20"/>
              </w:rPr>
            </w:pPr>
          </w:p>
        </w:tc>
        <w:tc>
          <w:tcPr>
            <w:tcW w:w="149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2CD01C" w14:textId="77777777" w:rsidR="00B41A0C" w:rsidRPr="00B41A0C" w:rsidRDefault="00B41A0C" w:rsidP="000D4E7F">
            <w:pPr>
              <w:spacing w:after="0"/>
              <w:rPr>
                <w:rFonts w:cs="Calibri"/>
                <w:b/>
                <w:szCs w:val="20"/>
              </w:rPr>
            </w:pPr>
          </w:p>
          <w:p w14:paraId="1038A079" w14:textId="77777777" w:rsidR="00B41A0C" w:rsidRPr="00B41A0C" w:rsidRDefault="00B41A0C" w:rsidP="000D4E7F">
            <w:pPr>
              <w:spacing w:after="0"/>
              <w:rPr>
                <w:rFonts w:cs="Calibri"/>
                <w:szCs w:val="20"/>
              </w:rPr>
            </w:pPr>
            <w:r w:rsidRPr="00B41A0C">
              <w:rPr>
                <w:rFonts w:cs="Calibri"/>
                <w:b/>
                <w:szCs w:val="20"/>
              </w:rPr>
              <w:t>N of Facilities</w:t>
            </w:r>
          </w:p>
        </w:tc>
        <w:tc>
          <w:tcPr>
            <w:tcW w:w="340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70F91A" w14:textId="77777777" w:rsidR="00B41A0C" w:rsidRPr="00B41A0C" w:rsidRDefault="00B41A0C" w:rsidP="000D4E7F">
            <w:pPr>
              <w:spacing w:after="0"/>
              <w:jc w:val="center"/>
              <w:rPr>
                <w:rFonts w:cs="Calibri"/>
                <w:szCs w:val="20"/>
              </w:rPr>
            </w:pPr>
            <w:r w:rsidRPr="00B41A0C">
              <w:rPr>
                <w:rFonts w:cs="Calibri"/>
                <w:b/>
                <w:szCs w:val="20"/>
              </w:rPr>
              <w:t>AV Fistula in Place</w:t>
            </w:r>
          </w:p>
          <w:p w14:paraId="74114EA8" w14:textId="77777777" w:rsidR="00B41A0C" w:rsidRPr="00B41A0C" w:rsidRDefault="00B41A0C" w:rsidP="000D4E7F">
            <w:pPr>
              <w:spacing w:after="0"/>
              <w:jc w:val="center"/>
              <w:rPr>
                <w:rFonts w:cs="Calibri"/>
                <w:szCs w:val="20"/>
              </w:rPr>
            </w:pPr>
          </w:p>
        </w:tc>
        <w:tc>
          <w:tcPr>
            <w:tcW w:w="188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0378AB" w14:textId="77777777" w:rsidR="00B41A0C" w:rsidRPr="00B41A0C" w:rsidRDefault="00B41A0C" w:rsidP="000D4E7F">
            <w:pPr>
              <w:spacing w:after="0"/>
              <w:jc w:val="center"/>
              <w:rPr>
                <w:rFonts w:cs="Calibri"/>
                <w:szCs w:val="20"/>
              </w:rPr>
            </w:pPr>
            <w:r w:rsidRPr="00B41A0C">
              <w:rPr>
                <w:rFonts w:cs="Calibri"/>
                <w:b/>
                <w:szCs w:val="20"/>
              </w:rPr>
              <w:t>Correlation (ρ)</w:t>
            </w:r>
          </w:p>
        </w:tc>
      </w:tr>
      <w:tr w:rsidR="00B41A0C" w:rsidRPr="00B41A0C" w14:paraId="6B40B77A" w14:textId="77777777" w:rsidTr="000D4E7F">
        <w:tc>
          <w:tcPr>
            <w:tcW w:w="18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7B5025" w14:textId="77777777" w:rsidR="00B41A0C" w:rsidRPr="00B41A0C" w:rsidRDefault="00B41A0C" w:rsidP="000D4E7F">
            <w:pPr>
              <w:rPr>
                <w:rFonts w:cs="Calibri"/>
                <w:szCs w:val="20"/>
              </w:rPr>
            </w:pPr>
          </w:p>
        </w:tc>
        <w:tc>
          <w:tcPr>
            <w:tcW w:w="149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BE52F6" w14:textId="77777777" w:rsidR="00B41A0C" w:rsidRPr="00B41A0C" w:rsidRDefault="00B41A0C" w:rsidP="000D4E7F">
            <w:pPr>
              <w:rPr>
                <w:rFonts w:cs="Calibri"/>
                <w:szCs w:val="20"/>
              </w:rPr>
            </w:pPr>
          </w:p>
        </w:tc>
        <w:tc>
          <w:tcPr>
            <w:tcW w:w="20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819810" w14:textId="77777777" w:rsidR="00B41A0C" w:rsidRPr="00B41A0C" w:rsidRDefault="00B41A0C" w:rsidP="000D4E7F">
            <w:pPr>
              <w:spacing w:after="0"/>
              <w:jc w:val="center"/>
              <w:rPr>
                <w:rFonts w:cs="Calibri"/>
                <w:szCs w:val="20"/>
              </w:rPr>
            </w:pPr>
            <w:r w:rsidRPr="00B41A0C">
              <w:rPr>
                <w:rFonts w:cs="Calibri"/>
                <w:b/>
                <w:szCs w:val="20"/>
              </w:rPr>
              <w:t xml:space="preserve">CROWNWeb </w:t>
            </w:r>
          </w:p>
        </w:tc>
        <w:tc>
          <w:tcPr>
            <w:tcW w:w="1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B3587C" w14:textId="77777777" w:rsidR="00B41A0C" w:rsidRPr="00B41A0C" w:rsidRDefault="00B41A0C" w:rsidP="000D4E7F">
            <w:pPr>
              <w:spacing w:after="0"/>
              <w:jc w:val="center"/>
              <w:rPr>
                <w:rFonts w:cs="Calibri"/>
                <w:szCs w:val="20"/>
              </w:rPr>
            </w:pPr>
            <w:r w:rsidRPr="00B41A0C">
              <w:rPr>
                <w:rFonts w:cs="Calibri"/>
                <w:b/>
                <w:szCs w:val="20"/>
              </w:rPr>
              <w:t xml:space="preserve">CLAIMS </w:t>
            </w:r>
          </w:p>
        </w:tc>
        <w:tc>
          <w:tcPr>
            <w:tcW w:w="188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564924" w14:textId="77777777" w:rsidR="00B41A0C" w:rsidRPr="00B41A0C" w:rsidRDefault="00B41A0C" w:rsidP="000D4E7F">
            <w:pPr>
              <w:rPr>
                <w:rFonts w:cs="Calibri"/>
                <w:szCs w:val="20"/>
              </w:rPr>
            </w:pPr>
          </w:p>
        </w:tc>
      </w:tr>
      <w:tr w:rsidR="00B41A0C" w:rsidRPr="00B41A0C" w14:paraId="01F7808F" w14:textId="77777777" w:rsidTr="000D4E7F">
        <w:tc>
          <w:tcPr>
            <w:tcW w:w="18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CBB583" w14:textId="77777777" w:rsidR="00B41A0C" w:rsidRPr="00B41A0C" w:rsidRDefault="00B41A0C" w:rsidP="000D4E7F">
            <w:pPr>
              <w:spacing w:after="0"/>
              <w:rPr>
                <w:rFonts w:cs="Calibri"/>
                <w:szCs w:val="20"/>
              </w:rPr>
            </w:pPr>
            <w:r w:rsidRPr="00B41A0C">
              <w:rPr>
                <w:rFonts w:cs="Calibri"/>
                <w:b/>
                <w:szCs w:val="20"/>
              </w:rPr>
              <w:t>Year</w:t>
            </w:r>
          </w:p>
        </w:tc>
        <w:tc>
          <w:tcPr>
            <w:tcW w:w="1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FF358A" w14:textId="77777777" w:rsidR="00B41A0C" w:rsidRPr="00B41A0C" w:rsidRDefault="00B41A0C" w:rsidP="000D4E7F">
            <w:pPr>
              <w:spacing w:after="0"/>
              <w:jc w:val="center"/>
              <w:rPr>
                <w:rFonts w:cs="Calibri"/>
                <w:szCs w:val="20"/>
              </w:rPr>
            </w:pPr>
          </w:p>
        </w:tc>
        <w:tc>
          <w:tcPr>
            <w:tcW w:w="20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B5A587" w14:textId="77777777" w:rsidR="00B41A0C" w:rsidRPr="00B41A0C" w:rsidRDefault="00B41A0C" w:rsidP="000D4E7F">
            <w:pPr>
              <w:spacing w:after="0"/>
              <w:jc w:val="center"/>
              <w:rPr>
                <w:rFonts w:cs="Calibri"/>
                <w:szCs w:val="20"/>
              </w:rPr>
            </w:pPr>
          </w:p>
        </w:tc>
        <w:tc>
          <w:tcPr>
            <w:tcW w:w="1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9C274C" w14:textId="77777777" w:rsidR="00B41A0C" w:rsidRPr="00B41A0C" w:rsidRDefault="00B41A0C" w:rsidP="000D4E7F">
            <w:pPr>
              <w:spacing w:after="0"/>
              <w:jc w:val="center"/>
              <w:rPr>
                <w:rFonts w:cs="Calibri"/>
                <w:szCs w:val="20"/>
              </w:rPr>
            </w:pPr>
          </w:p>
        </w:tc>
        <w:tc>
          <w:tcPr>
            <w:tcW w:w="18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9C8719" w14:textId="77777777" w:rsidR="00B41A0C" w:rsidRPr="00B41A0C" w:rsidRDefault="00B41A0C" w:rsidP="000D4E7F">
            <w:pPr>
              <w:spacing w:after="0"/>
              <w:jc w:val="center"/>
              <w:rPr>
                <w:rFonts w:cs="Calibri"/>
                <w:szCs w:val="20"/>
              </w:rPr>
            </w:pPr>
          </w:p>
        </w:tc>
      </w:tr>
      <w:tr w:rsidR="00C25245" w:rsidRPr="00B41A0C" w14:paraId="52156F61" w14:textId="77777777" w:rsidTr="00470DA4">
        <w:tc>
          <w:tcPr>
            <w:tcW w:w="18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0BA374" w14:textId="631CC67E" w:rsidR="00C25245" w:rsidRPr="00B41A0C" w:rsidRDefault="00C25245" w:rsidP="000D4E7F">
            <w:pPr>
              <w:spacing w:after="0"/>
              <w:jc w:val="right"/>
              <w:rPr>
                <w:rFonts w:cs="Calibri"/>
                <w:szCs w:val="20"/>
              </w:rPr>
            </w:pPr>
            <w:r>
              <w:rPr>
                <w:rFonts w:ascii="Calibri" w:hAnsi="Calibri"/>
                <w:color w:val="000000"/>
              </w:rPr>
              <w:t>01/13-12/13</w:t>
            </w:r>
          </w:p>
        </w:tc>
        <w:tc>
          <w:tcPr>
            <w:tcW w:w="1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8A40C8" w14:textId="61F7C303" w:rsidR="00C25245" w:rsidRPr="00B41A0C" w:rsidRDefault="00C25245" w:rsidP="000D4E7F">
            <w:pPr>
              <w:spacing w:after="0"/>
              <w:jc w:val="center"/>
              <w:rPr>
                <w:rFonts w:cs="Calibri"/>
                <w:szCs w:val="20"/>
              </w:rPr>
            </w:pPr>
            <w:r>
              <w:rPr>
                <w:rFonts w:ascii="Calibri" w:hAnsi="Calibri"/>
                <w:color w:val="000000"/>
              </w:rPr>
              <w:t>5,735</w:t>
            </w:r>
          </w:p>
        </w:tc>
        <w:tc>
          <w:tcPr>
            <w:tcW w:w="20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E40681" w14:textId="790131DD" w:rsidR="00C25245" w:rsidRPr="00B41A0C" w:rsidRDefault="00C25245" w:rsidP="000D4E7F">
            <w:pPr>
              <w:spacing w:after="0"/>
              <w:jc w:val="center"/>
              <w:rPr>
                <w:rFonts w:cs="Calibri"/>
                <w:szCs w:val="20"/>
                <w:lang w:eastAsia="zh-CN"/>
              </w:rPr>
            </w:pPr>
            <w:r>
              <w:rPr>
                <w:rFonts w:ascii="Calibri" w:hAnsi="Calibri"/>
                <w:color w:val="000000"/>
              </w:rPr>
              <w:t>66.7</w:t>
            </w:r>
          </w:p>
        </w:tc>
        <w:tc>
          <w:tcPr>
            <w:tcW w:w="1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DA7880" w14:textId="3DE2DB14" w:rsidR="00C25245" w:rsidRPr="00B41A0C" w:rsidRDefault="00C25245" w:rsidP="000D4E7F">
            <w:pPr>
              <w:spacing w:after="0"/>
              <w:jc w:val="center"/>
              <w:rPr>
                <w:rFonts w:cs="Calibri"/>
                <w:szCs w:val="20"/>
                <w:lang w:eastAsia="zh-CN"/>
              </w:rPr>
            </w:pPr>
            <w:r>
              <w:rPr>
                <w:rFonts w:ascii="Calibri" w:hAnsi="Calibri"/>
                <w:color w:val="000000"/>
              </w:rPr>
              <w:t>63.2</w:t>
            </w:r>
          </w:p>
        </w:tc>
        <w:tc>
          <w:tcPr>
            <w:tcW w:w="18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4DA73C" w14:textId="42FB6868" w:rsidR="00C25245" w:rsidRPr="00B41A0C" w:rsidRDefault="00C25245" w:rsidP="000D4E7F">
            <w:pPr>
              <w:spacing w:after="0"/>
              <w:jc w:val="center"/>
              <w:rPr>
                <w:rFonts w:cs="Calibri"/>
                <w:szCs w:val="20"/>
              </w:rPr>
            </w:pPr>
            <w:r>
              <w:rPr>
                <w:rFonts w:ascii="Calibri" w:hAnsi="Calibri"/>
                <w:color w:val="000000"/>
              </w:rPr>
              <w:t>0.87*</w:t>
            </w:r>
          </w:p>
        </w:tc>
      </w:tr>
      <w:tr w:rsidR="00C25245" w:rsidRPr="00B41A0C" w14:paraId="5CEB5277" w14:textId="77777777" w:rsidTr="00470DA4">
        <w:tc>
          <w:tcPr>
            <w:tcW w:w="18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5EBA20" w14:textId="41E124F7" w:rsidR="00C25245" w:rsidRPr="00B41A0C" w:rsidRDefault="00C25245" w:rsidP="000D4E7F">
            <w:pPr>
              <w:spacing w:after="0"/>
              <w:rPr>
                <w:rFonts w:cs="Calibri"/>
                <w:szCs w:val="20"/>
              </w:rPr>
            </w:pPr>
            <w:r>
              <w:rPr>
                <w:rFonts w:ascii="Calibri" w:hAnsi="Calibri"/>
                <w:b/>
                <w:bCs/>
                <w:color w:val="000000"/>
              </w:rPr>
              <w:t>Quarter</w:t>
            </w:r>
          </w:p>
        </w:tc>
        <w:tc>
          <w:tcPr>
            <w:tcW w:w="1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1727F5" w14:textId="77777777" w:rsidR="00C25245" w:rsidRPr="00B41A0C" w:rsidRDefault="00C25245" w:rsidP="000D4E7F">
            <w:pPr>
              <w:spacing w:after="0"/>
              <w:jc w:val="center"/>
              <w:rPr>
                <w:rFonts w:cs="Calibri"/>
                <w:szCs w:val="20"/>
              </w:rPr>
            </w:pPr>
            <w:r>
              <w:rPr>
                <w:rFonts w:ascii="Calibri" w:hAnsi="Calibri"/>
                <w:color w:val="000000"/>
              </w:rPr>
              <w:t> </w:t>
            </w:r>
          </w:p>
        </w:tc>
        <w:tc>
          <w:tcPr>
            <w:tcW w:w="20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649CAC" w14:textId="77777777" w:rsidR="00C25245" w:rsidRPr="00B41A0C" w:rsidRDefault="00C25245" w:rsidP="000D4E7F">
            <w:pPr>
              <w:spacing w:after="0"/>
              <w:jc w:val="center"/>
              <w:rPr>
                <w:rFonts w:cs="Calibri"/>
                <w:szCs w:val="20"/>
              </w:rPr>
            </w:pPr>
            <w:r>
              <w:rPr>
                <w:rFonts w:ascii="Calibri" w:hAnsi="Calibri"/>
                <w:color w:val="000000"/>
              </w:rPr>
              <w:t> </w:t>
            </w:r>
          </w:p>
        </w:tc>
        <w:tc>
          <w:tcPr>
            <w:tcW w:w="1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DB54F1" w14:textId="77777777" w:rsidR="00C25245" w:rsidRPr="00B41A0C" w:rsidRDefault="00C25245" w:rsidP="000D4E7F">
            <w:pPr>
              <w:spacing w:after="0"/>
              <w:jc w:val="center"/>
              <w:rPr>
                <w:rFonts w:cs="Calibri"/>
                <w:szCs w:val="20"/>
              </w:rPr>
            </w:pPr>
            <w:r>
              <w:rPr>
                <w:rFonts w:ascii="Calibri" w:hAnsi="Calibri"/>
                <w:color w:val="000000"/>
              </w:rPr>
              <w:t> </w:t>
            </w:r>
          </w:p>
        </w:tc>
        <w:tc>
          <w:tcPr>
            <w:tcW w:w="18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566EF4" w14:textId="77777777" w:rsidR="00C25245" w:rsidRPr="00B41A0C" w:rsidRDefault="00C25245" w:rsidP="000D4E7F">
            <w:pPr>
              <w:spacing w:after="0"/>
              <w:jc w:val="center"/>
              <w:rPr>
                <w:rFonts w:cs="Calibri"/>
                <w:szCs w:val="20"/>
              </w:rPr>
            </w:pPr>
            <w:r>
              <w:rPr>
                <w:rFonts w:ascii="Calibri" w:hAnsi="Calibri"/>
                <w:color w:val="000000"/>
              </w:rPr>
              <w:t> </w:t>
            </w:r>
          </w:p>
        </w:tc>
      </w:tr>
      <w:tr w:rsidR="00C25245" w:rsidRPr="00B41A0C" w14:paraId="38F20760" w14:textId="77777777" w:rsidTr="00470DA4">
        <w:tc>
          <w:tcPr>
            <w:tcW w:w="18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C7988A" w14:textId="7553E0A2" w:rsidR="00C25245" w:rsidRPr="00B41A0C" w:rsidRDefault="00C25245" w:rsidP="000D4E7F">
            <w:pPr>
              <w:spacing w:after="0"/>
              <w:jc w:val="right"/>
              <w:rPr>
                <w:rFonts w:cs="Calibri"/>
                <w:b/>
                <w:szCs w:val="20"/>
              </w:rPr>
            </w:pPr>
            <w:r>
              <w:rPr>
                <w:rFonts w:ascii="Calibri" w:hAnsi="Calibri"/>
                <w:color w:val="000000"/>
              </w:rPr>
              <w:t>01/13-03/13</w:t>
            </w:r>
          </w:p>
        </w:tc>
        <w:tc>
          <w:tcPr>
            <w:tcW w:w="1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33C2E4" w14:textId="29DA8738" w:rsidR="00C25245" w:rsidRPr="00B41A0C" w:rsidRDefault="00C25245" w:rsidP="000D4E7F">
            <w:pPr>
              <w:spacing w:after="0"/>
              <w:jc w:val="center"/>
              <w:rPr>
                <w:rFonts w:cs="Calibri"/>
                <w:szCs w:val="20"/>
                <w:lang w:eastAsia="zh-CN"/>
              </w:rPr>
            </w:pPr>
            <w:r>
              <w:rPr>
                <w:rFonts w:ascii="Calibri" w:hAnsi="Calibri"/>
                <w:color w:val="000000"/>
              </w:rPr>
              <w:t>5,613</w:t>
            </w:r>
          </w:p>
        </w:tc>
        <w:tc>
          <w:tcPr>
            <w:tcW w:w="20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C8A015" w14:textId="01502381" w:rsidR="00C25245" w:rsidRPr="00B41A0C" w:rsidRDefault="00C25245" w:rsidP="000D4E7F">
            <w:pPr>
              <w:spacing w:after="0"/>
              <w:jc w:val="center"/>
              <w:rPr>
                <w:rFonts w:cs="Calibri"/>
                <w:szCs w:val="20"/>
                <w:lang w:eastAsia="zh-CN"/>
              </w:rPr>
            </w:pPr>
            <w:r>
              <w:rPr>
                <w:rFonts w:ascii="Calibri" w:hAnsi="Calibri"/>
                <w:color w:val="000000"/>
              </w:rPr>
              <w:t>66.3</w:t>
            </w:r>
          </w:p>
        </w:tc>
        <w:tc>
          <w:tcPr>
            <w:tcW w:w="1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B23E1D" w14:textId="05D49C9A" w:rsidR="00C25245" w:rsidRPr="00B41A0C" w:rsidRDefault="00C25245" w:rsidP="000D4E7F">
            <w:pPr>
              <w:spacing w:after="0"/>
              <w:jc w:val="center"/>
              <w:rPr>
                <w:rFonts w:cs="Calibri"/>
                <w:szCs w:val="20"/>
                <w:lang w:eastAsia="zh-CN"/>
              </w:rPr>
            </w:pPr>
            <w:r>
              <w:rPr>
                <w:rFonts w:ascii="Calibri" w:hAnsi="Calibri"/>
                <w:color w:val="000000"/>
              </w:rPr>
              <w:t>62.2</w:t>
            </w:r>
          </w:p>
        </w:tc>
        <w:tc>
          <w:tcPr>
            <w:tcW w:w="18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05BB5F" w14:textId="48886F3A" w:rsidR="00C25245" w:rsidRPr="00B41A0C" w:rsidRDefault="00C25245" w:rsidP="000D4E7F">
            <w:pPr>
              <w:spacing w:after="0"/>
              <w:jc w:val="center"/>
              <w:rPr>
                <w:rFonts w:cs="Calibri"/>
                <w:szCs w:val="20"/>
              </w:rPr>
            </w:pPr>
            <w:r>
              <w:rPr>
                <w:rFonts w:ascii="Calibri" w:hAnsi="Calibri"/>
                <w:color w:val="000000"/>
              </w:rPr>
              <w:t>0.81*</w:t>
            </w:r>
          </w:p>
        </w:tc>
      </w:tr>
      <w:tr w:rsidR="00C25245" w:rsidRPr="00B41A0C" w14:paraId="5AC0FDD1" w14:textId="77777777" w:rsidTr="00470DA4">
        <w:tc>
          <w:tcPr>
            <w:tcW w:w="18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11BBE0" w14:textId="351FCF26" w:rsidR="00C25245" w:rsidRPr="00B41A0C" w:rsidRDefault="00C25245" w:rsidP="000D4E7F">
            <w:pPr>
              <w:spacing w:after="0"/>
              <w:jc w:val="right"/>
              <w:rPr>
                <w:rFonts w:cs="Calibri"/>
                <w:b/>
                <w:szCs w:val="20"/>
              </w:rPr>
            </w:pPr>
            <w:r>
              <w:rPr>
                <w:rFonts w:ascii="Calibri" w:hAnsi="Calibri"/>
                <w:color w:val="000000"/>
              </w:rPr>
              <w:t>04/13-06/13</w:t>
            </w:r>
          </w:p>
        </w:tc>
        <w:tc>
          <w:tcPr>
            <w:tcW w:w="1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615D97" w14:textId="5456515B" w:rsidR="00C25245" w:rsidRPr="00B41A0C" w:rsidRDefault="00C25245" w:rsidP="000D4E7F">
            <w:pPr>
              <w:spacing w:after="0"/>
              <w:jc w:val="center"/>
              <w:rPr>
                <w:rFonts w:cs="Calibri"/>
                <w:szCs w:val="20"/>
                <w:lang w:eastAsia="zh-CN"/>
              </w:rPr>
            </w:pPr>
            <w:r>
              <w:rPr>
                <w:rFonts w:ascii="Calibri" w:hAnsi="Calibri"/>
                <w:color w:val="000000"/>
              </w:rPr>
              <w:t>5,618</w:t>
            </w:r>
          </w:p>
        </w:tc>
        <w:tc>
          <w:tcPr>
            <w:tcW w:w="20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501BD6" w14:textId="417B7D3B" w:rsidR="00C25245" w:rsidRPr="00B41A0C" w:rsidRDefault="00C25245" w:rsidP="000D4E7F">
            <w:pPr>
              <w:spacing w:after="0"/>
              <w:jc w:val="center"/>
              <w:rPr>
                <w:rFonts w:cs="Calibri"/>
                <w:szCs w:val="20"/>
                <w:lang w:eastAsia="zh-CN"/>
              </w:rPr>
            </w:pPr>
            <w:r>
              <w:rPr>
                <w:rFonts w:ascii="Calibri" w:hAnsi="Calibri"/>
                <w:color w:val="000000"/>
              </w:rPr>
              <w:t>66.6</w:t>
            </w:r>
          </w:p>
        </w:tc>
        <w:tc>
          <w:tcPr>
            <w:tcW w:w="1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489A22" w14:textId="57D615DC" w:rsidR="00C25245" w:rsidRPr="00B41A0C" w:rsidRDefault="00C25245" w:rsidP="000D4E7F">
            <w:pPr>
              <w:spacing w:after="0"/>
              <w:jc w:val="center"/>
              <w:rPr>
                <w:rFonts w:cs="Calibri"/>
                <w:szCs w:val="20"/>
                <w:lang w:eastAsia="zh-CN"/>
              </w:rPr>
            </w:pPr>
            <w:r>
              <w:rPr>
                <w:rFonts w:ascii="Calibri" w:hAnsi="Calibri"/>
                <w:color w:val="000000"/>
              </w:rPr>
              <w:t>62.6</w:t>
            </w:r>
          </w:p>
        </w:tc>
        <w:tc>
          <w:tcPr>
            <w:tcW w:w="18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4E0FCC" w14:textId="4B118DA9" w:rsidR="00C25245" w:rsidRPr="00B41A0C" w:rsidRDefault="00C25245" w:rsidP="000D4E7F">
            <w:pPr>
              <w:spacing w:after="0"/>
              <w:jc w:val="center"/>
              <w:rPr>
                <w:rFonts w:cs="Calibri"/>
                <w:szCs w:val="20"/>
              </w:rPr>
            </w:pPr>
            <w:r>
              <w:rPr>
                <w:rFonts w:ascii="Calibri" w:hAnsi="Calibri"/>
                <w:color w:val="000000"/>
              </w:rPr>
              <w:t>0.82*</w:t>
            </w:r>
          </w:p>
        </w:tc>
      </w:tr>
      <w:tr w:rsidR="00C25245" w:rsidRPr="00B41A0C" w14:paraId="13D8C086" w14:textId="77777777" w:rsidTr="00470DA4">
        <w:tc>
          <w:tcPr>
            <w:tcW w:w="18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D62CBE" w14:textId="7B746615" w:rsidR="00C25245" w:rsidRPr="00B41A0C" w:rsidRDefault="00C25245" w:rsidP="000D4E7F">
            <w:pPr>
              <w:spacing w:after="0"/>
              <w:jc w:val="right"/>
              <w:rPr>
                <w:rFonts w:cs="Calibri"/>
                <w:b/>
                <w:szCs w:val="20"/>
              </w:rPr>
            </w:pPr>
            <w:r>
              <w:rPr>
                <w:rFonts w:ascii="Calibri" w:hAnsi="Calibri"/>
                <w:color w:val="000000"/>
              </w:rPr>
              <w:t>07/13-09/13</w:t>
            </w:r>
          </w:p>
        </w:tc>
        <w:tc>
          <w:tcPr>
            <w:tcW w:w="1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7F4B7F" w14:textId="49EA4A34" w:rsidR="00C25245" w:rsidRPr="00B41A0C" w:rsidRDefault="00C25245" w:rsidP="000D4E7F">
            <w:pPr>
              <w:spacing w:after="0"/>
              <w:jc w:val="center"/>
              <w:rPr>
                <w:rFonts w:cs="Calibri"/>
                <w:szCs w:val="20"/>
                <w:lang w:eastAsia="zh-CN"/>
              </w:rPr>
            </w:pPr>
            <w:r>
              <w:rPr>
                <w:rFonts w:ascii="Calibri" w:hAnsi="Calibri"/>
                <w:color w:val="000000"/>
              </w:rPr>
              <w:t>5,618</w:t>
            </w:r>
          </w:p>
        </w:tc>
        <w:tc>
          <w:tcPr>
            <w:tcW w:w="20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7FEBC7" w14:textId="37BC3AF2" w:rsidR="00C25245" w:rsidRPr="00B41A0C" w:rsidRDefault="00C25245" w:rsidP="000D4E7F">
            <w:pPr>
              <w:spacing w:after="0"/>
              <w:jc w:val="center"/>
              <w:rPr>
                <w:rFonts w:cs="Calibri"/>
                <w:szCs w:val="20"/>
                <w:lang w:eastAsia="zh-CN"/>
              </w:rPr>
            </w:pPr>
            <w:r>
              <w:rPr>
                <w:rFonts w:ascii="Calibri" w:hAnsi="Calibri"/>
                <w:color w:val="000000"/>
              </w:rPr>
              <w:t>66.9</w:t>
            </w:r>
          </w:p>
        </w:tc>
        <w:tc>
          <w:tcPr>
            <w:tcW w:w="1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850451" w14:textId="444443CC" w:rsidR="00C25245" w:rsidRPr="00B41A0C" w:rsidRDefault="00C25245" w:rsidP="000D4E7F">
            <w:pPr>
              <w:spacing w:after="0"/>
              <w:jc w:val="center"/>
              <w:rPr>
                <w:rFonts w:cs="Calibri"/>
                <w:szCs w:val="20"/>
                <w:lang w:eastAsia="zh-CN"/>
              </w:rPr>
            </w:pPr>
            <w:r>
              <w:rPr>
                <w:rFonts w:ascii="Calibri" w:hAnsi="Calibri"/>
                <w:color w:val="000000"/>
              </w:rPr>
              <w:t>63.8</w:t>
            </w:r>
          </w:p>
        </w:tc>
        <w:tc>
          <w:tcPr>
            <w:tcW w:w="18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0354CB" w14:textId="09E9BA7C" w:rsidR="00C25245" w:rsidRPr="00B41A0C" w:rsidRDefault="00C25245" w:rsidP="000D4E7F">
            <w:pPr>
              <w:spacing w:after="0"/>
              <w:jc w:val="center"/>
              <w:rPr>
                <w:rFonts w:cs="Calibri"/>
                <w:szCs w:val="20"/>
              </w:rPr>
            </w:pPr>
            <w:r>
              <w:rPr>
                <w:rFonts w:ascii="Calibri" w:hAnsi="Calibri"/>
                <w:color w:val="000000"/>
              </w:rPr>
              <w:t>0.85*</w:t>
            </w:r>
          </w:p>
        </w:tc>
      </w:tr>
      <w:tr w:rsidR="00C25245" w:rsidRPr="00B41A0C" w14:paraId="55E7C547" w14:textId="77777777" w:rsidTr="00470DA4">
        <w:tc>
          <w:tcPr>
            <w:tcW w:w="18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5E80CF" w14:textId="66A3E490" w:rsidR="00C25245" w:rsidRPr="00B41A0C" w:rsidRDefault="00C25245" w:rsidP="000D4E7F">
            <w:pPr>
              <w:spacing w:after="0"/>
              <w:jc w:val="right"/>
              <w:rPr>
                <w:rFonts w:cs="Calibri"/>
                <w:b/>
                <w:szCs w:val="20"/>
              </w:rPr>
            </w:pPr>
            <w:r>
              <w:rPr>
                <w:rFonts w:ascii="Calibri" w:hAnsi="Calibri"/>
                <w:color w:val="000000"/>
              </w:rPr>
              <w:t>10/13-12/13</w:t>
            </w:r>
          </w:p>
        </w:tc>
        <w:tc>
          <w:tcPr>
            <w:tcW w:w="1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8084E1" w14:textId="45A57B6F" w:rsidR="00C25245" w:rsidRPr="00B41A0C" w:rsidRDefault="00C25245" w:rsidP="000D4E7F">
            <w:pPr>
              <w:spacing w:after="0"/>
              <w:jc w:val="center"/>
              <w:rPr>
                <w:rFonts w:cs="Calibri"/>
                <w:szCs w:val="20"/>
                <w:lang w:eastAsia="zh-CN"/>
              </w:rPr>
            </w:pPr>
            <w:r>
              <w:rPr>
                <w:rFonts w:ascii="Calibri" w:hAnsi="Calibri"/>
                <w:color w:val="000000"/>
              </w:rPr>
              <w:t>5,669</w:t>
            </w:r>
          </w:p>
        </w:tc>
        <w:tc>
          <w:tcPr>
            <w:tcW w:w="20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7672FF" w14:textId="787D2B63" w:rsidR="00C25245" w:rsidRPr="00B41A0C" w:rsidRDefault="00C25245" w:rsidP="000D4E7F">
            <w:pPr>
              <w:spacing w:after="0"/>
              <w:jc w:val="center"/>
              <w:rPr>
                <w:rFonts w:cs="Calibri"/>
                <w:szCs w:val="20"/>
                <w:lang w:eastAsia="zh-CN"/>
              </w:rPr>
            </w:pPr>
            <w:r>
              <w:rPr>
                <w:rFonts w:ascii="Calibri" w:hAnsi="Calibri"/>
                <w:color w:val="000000"/>
              </w:rPr>
              <w:t>67.2</w:t>
            </w:r>
          </w:p>
        </w:tc>
        <w:tc>
          <w:tcPr>
            <w:tcW w:w="1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267082" w14:textId="2A22B099" w:rsidR="00C25245" w:rsidRPr="00B41A0C" w:rsidRDefault="00C25245" w:rsidP="000D4E7F">
            <w:pPr>
              <w:spacing w:after="0"/>
              <w:jc w:val="center"/>
              <w:rPr>
                <w:rFonts w:cs="Calibri"/>
                <w:szCs w:val="20"/>
                <w:lang w:eastAsia="zh-CN"/>
              </w:rPr>
            </w:pPr>
            <w:r>
              <w:rPr>
                <w:rFonts w:ascii="Calibri" w:hAnsi="Calibri"/>
                <w:color w:val="000000"/>
              </w:rPr>
              <w:t>64.2</w:t>
            </w:r>
          </w:p>
        </w:tc>
        <w:tc>
          <w:tcPr>
            <w:tcW w:w="18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B71D31" w14:textId="0FDDB3FA" w:rsidR="00C25245" w:rsidRPr="00B41A0C" w:rsidRDefault="00C25245" w:rsidP="000D4E7F">
            <w:pPr>
              <w:spacing w:after="0"/>
              <w:jc w:val="center"/>
              <w:rPr>
                <w:rFonts w:cs="Calibri"/>
                <w:szCs w:val="20"/>
              </w:rPr>
            </w:pPr>
            <w:r>
              <w:rPr>
                <w:rFonts w:ascii="Calibri" w:hAnsi="Calibri"/>
                <w:color w:val="000000"/>
              </w:rPr>
              <w:t>0.84*</w:t>
            </w:r>
          </w:p>
        </w:tc>
      </w:tr>
    </w:tbl>
    <w:p w14:paraId="378824E3" w14:textId="77777777" w:rsidR="00B41A0C" w:rsidRPr="00B41A0C" w:rsidRDefault="00C25245" w:rsidP="00B41A0C">
      <w:pPr>
        <w:spacing w:after="0"/>
        <w:rPr>
          <w:rFonts w:cs="Calibri"/>
          <w:sz w:val="24"/>
        </w:rPr>
      </w:pPr>
      <w:r w:rsidRPr="00C25245">
        <w:rPr>
          <w:rFonts w:cs="Calibri"/>
          <w:sz w:val="24"/>
        </w:rPr>
        <w:t>*p&lt;0.001</w:t>
      </w:r>
      <w:r>
        <w:rPr>
          <w:rFonts w:cs="Calibri"/>
          <w:sz w:val="24"/>
        </w:rPr>
        <w:br/>
      </w:r>
    </w:p>
    <w:p w14:paraId="7CFBE81C" w14:textId="755A0E4B" w:rsidR="00E1508F" w:rsidRDefault="00B41A0C" w:rsidP="00B41A0C">
      <w:pPr>
        <w:autoSpaceDE w:val="0"/>
        <w:autoSpaceDN w:val="0"/>
        <w:adjustRightInd w:val="0"/>
        <w:spacing w:after="0" w:line="240" w:lineRule="auto"/>
        <w:rPr>
          <w:rFonts w:cs="Calibri"/>
          <w:szCs w:val="20"/>
        </w:rPr>
      </w:pPr>
      <w:r w:rsidRPr="00B41A0C">
        <w:rPr>
          <w:szCs w:val="20"/>
        </w:rPr>
        <w:t xml:space="preserve">At the facility level, using patients in both CROWNWeb and Medicare Claims, the mean percentage of patients in the facility with a fistula are reported in Table 2. The mean percentages across each quarter for both data sources are comparable and the correlation coefficients for the fistula performance score calculated with </w:t>
      </w:r>
      <w:proofErr w:type="spellStart"/>
      <w:r w:rsidRPr="00B41A0C">
        <w:rPr>
          <w:szCs w:val="20"/>
        </w:rPr>
        <w:t>CROWNWeb</w:t>
      </w:r>
      <w:proofErr w:type="spellEnd"/>
      <w:r w:rsidRPr="00B41A0C">
        <w:rPr>
          <w:szCs w:val="20"/>
        </w:rPr>
        <w:t xml:space="preserve"> and claims a</w:t>
      </w:r>
      <w:bookmarkStart w:id="15" w:name="_GoBack"/>
      <w:bookmarkEnd w:id="15"/>
      <w:r w:rsidRPr="00B41A0C">
        <w:rPr>
          <w:szCs w:val="20"/>
        </w:rPr>
        <w:t>re</w:t>
      </w:r>
      <w:r w:rsidR="00AB7334">
        <w:rPr>
          <w:szCs w:val="20"/>
        </w:rPr>
        <w:t xml:space="preserve"> </w:t>
      </w:r>
      <w:r w:rsidR="00E835C6">
        <w:rPr>
          <w:szCs w:val="20"/>
        </w:rPr>
        <w:t xml:space="preserve">strong and </w:t>
      </w:r>
      <w:r w:rsidR="00CF2A11">
        <w:rPr>
          <w:szCs w:val="20"/>
        </w:rPr>
        <w:t xml:space="preserve">range from 0.81 to </w:t>
      </w:r>
      <w:r w:rsidRPr="00B41A0C">
        <w:rPr>
          <w:szCs w:val="20"/>
        </w:rPr>
        <w:t>0.</w:t>
      </w:r>
      <w:r w:rsidR="00C25245">
        <w:rPr>
          <w:szCs w:val="20"/>
        </w:rPr>
        <w:t>8</w:t>
      </w:r>
      <w:r w:rsidR="00EA7932">
        <w:rPr>
          <w:szCs w:val="20"/>
        </w:rPr>
        <w:t>5</w:t>
      </w:r>
      <w:r w:rsidRPr="00B41A0C">
        <w:rPr>
          <w:rFonts w:cs="Calibri"/>
          <w:szCs w:val="20"/>
        </w:rPr>
        <w:t>.</w:t>
      </w:r>
      <w:r w:rsidR="00CF2A11">
        <w:rPr>
          <w:rFonts w:cs="Calibri"/>
          <w:szCs w:val="20"/>
        </w:rPr>
        <w:t xml:space="preserve"> All are statistically significant. </w:t>
      </w:r>
    </w:p>
    <w:p w14:paraId="67047D98" w14:textId="77777777" w:rsidR="00B41A0C" w:rsidRPr="00B41A0C" w:rsidRDefault="00B41A0C" w:rsidP="00B41A0C">
      <w:pPr>
        <w:autoSpaceDE w:val="0"/>
        <w:autoSpaceDN w:val="0"/>
        <w:adjustRightInd w:val="0"/>
        <w:spacing w:after="0" w:line="240" w:lineRule="auto"/>
        <w:rPr>
          <w:rFonts w:cstheme="minorHAnsi"/>
          <w:bCs/>
          <w:sz w:val="24"/>
        </w:rPr>
      </w:pPr>
    </w:p>
    <w:p w14:paraId="32532123" w14:textId="77777777" w:rsidR="00E93895" w:rsidRDefault="00E1508F" w:rsidP="00B41A0C">
      <w:pPr>
        <w:spacing w:after="120"/>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p>
    <w:p w14:paraId="27D5A459" w14:textId="5C536C10" w:rsidR="0079180E" w:rsidRPr="00B41A0C" w:rsidRDefault="00A35F8F" w:rsidP="00470DA4">
      <w:pPr>
        <w:spacing w:after="120"/>
        <w:rPr>
          <w:rFonts w:cstheme="minorHAnsi"/>
          <w:bCs/>
          <w:sz w:val="24"/>
        </w:rPr>
      </w:pPr>
      <w:r w:rsidRPr="00DB3627">
        <w:rPr>
          <w:rFonts w:cstheme="minorHAnsi"/>
          <w:bCs/>
        </w:rPr>
        <w:br/>
      </w:r>
      <w:r w:rsidR="00B41A0C" w:rsidRPr="00B41A0C">
        <w:rPr>
          <w:szCs w:val="20"/>
        </w:rPr>
        <w:t xml:space="preserve">In Table 1, we see </w:t>
      </w:r>
      <w:r w:rsidR="00AB7334">
        <w:rPr>
          <w:szCs w:val="20"/>
        </w:rPr>
        <w:t xml:space="preserve">very </w:t>
      </w:r>
      <w:r w:rsidR="00B41A0C" w:rsidRPr="00B41A0C">
        <w:rPr>
          <w:szCs w:val="20"/>
        </w:rPr>
        <w:t>strong agreement in fistula scores between CROWNWeb and Medicare Claims data, as demonstrated by the Kappa of 0.9</w:t>
      </w:r>
      <w:r w:rsidR="00C25245">
        <w:rPr>
          <w:szCs w:val="20"/>
        </w:rPr>
        <w:t>2</w:t>
      </w:r>
      <w:r w:rsidR="00C53FFA">
        <w:rPr>
          <w:szCs w:val="20"/>
        </w:rPr>
        <w:t xml:space="preserve"> (p&lt;0.001)</w:t>
      </w:r>
      <w:r w:rsidR="00B41A0C" w:rsidRPr="00B41A0C">
        <w:rPr>
          <w:szCs w:val="20"/>
        </w:rPr>
        <w:t xml:space="preserve"> for fistula use. This is for the entire testing period (</w:t>
      </w:r>
      <w:r w:rsidR="00C25245">
        <w:rPr>
          <w:szCs w:val="20"/>
        </w:rPr>
        <w:t>January – December 2013</w:t>
      </w:r>
      <w:r w:rsidR="00B41A0C" w:rsidRPr="00B41A0C">
        <w:rPr>
          <w:szCs w:val="20"/>
        </w:rPr>
        <w:t>)</w:t>
      </w:r>
      <w:r w:rsidR="00CF2A11">
        <w:rPr>
          <w:szCs w:val="20"/>
        </w:rPr>
        <w:t xml:space="preserve">. </w:t>
      </w:r>
      <w:r w:rsidR="00B41A0C" w:rsidRPr="00B41A0C">
        <w:rPr>
          <w:szCs w:val="20"/>
        </w:rPr>
        <w:t>Similarly, in Table 2 we observe</w:t>
      </w:r>
      <w:r w:rsidR="00AB7334">
        <w:rPr>
          <w:szCs w:val="20"/>
        </w:rPr>
        <w:t xml:space="preserve"> </w:t>
      </w:r>
      <w:r w:rsidR="00B41A0C" w:rsidRPr="00B41A0C">
        <w:rPr>
          <w:szCs w:val="20"/>
        </w:rPr>
        <w:t>strong correlation</w:t>
      </w:r>
      <w:r w:rsidR="00AB7334">
        <w:rPr>
          <w:szCs w:val="20"/>
        </w:rPr>
        <w:t>s</w:t>
      </w:r>
      <w:r w:rsidR="00B41A0C" w:rsidRPr="00B41A0C">
        <w:rPr>
          <w:szCs w:val="20"/>
        </w:rPr>
        <w:t xml:space="preserve"> between the measures calculated with each source.</w:t>
      </w:r>
      <w:r w:rsidR="00CF2A11">
        <w:rPr>
          <w:szCs w:val="20"/>
        </w:rPr>
        <w:t xml:space="preserve"> </w:t>
      </w:r>
      <w:r w:rsidR="00B41A0C" w:rsidRPr="00B41A0C">
        <w:rPr>
          <w:szCs w:val="20"/>
        </w:rPr>
        <w:t>Both sets of results suggest additional evidence of reliability of the fistula measure.</w:t>
      </w:r>
    </w:p>
    <w:p w14:paraId="4A0EAB98" w14:textId="77777777" w:rsidR="008F7E67" w:rsidRDefault="008F7E67" w:rsidP="008F7E67">
      <w:pPr>
        <w:spacing w:after="0" w:line="240" w:lineRule="auto"/>
        <w:rPr>
          <w:rFonts w:cstheme="minorHAnsi"/>
          <w:b/>
          <w:bCs/>
        </w:rPr>
      </w:pPr>
      <w:r>
        <w:rPr>
          <w:rFonts w:cstheme="minorHAnsi"/>
          <w:b/>
          <w:bCs/>
        </w:rPr>
        <w:t>_______________________________________</w:t>
      </w:r>
    </w:p>
    <w:p w14:paraId="2FD9C814"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50DD6348" w14:textId="77777777" w:rsidR="008F7E67" w:rsidRDefault="008F7E67" w:rsidP="008F7E67">
      <w:pPr>
        <w:autoSpaceDE w:val="0"/>
        <w:autoSpaceDN w:val="0"/>
        <w:adjustRightInd w:val="0"/>
        <w:spacing w:after="0" w:line="240" w:lineRule="auto"/>
        <w:rPr>
          <w:rFonts w:cstheme="minorHAnsi"/>
          <w:bCs/>
        </w:rPr>
      </w:pPr>
    </w:p>
    <w:p w14:paraId="5836ADF3" w14:textId="77777777" w:rsidR="00D36C5C"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p>
    <w:p w14:paraId="44BC3997" w14:textId="77777777" w:rsidR="008F7E67" w:rsidRPr="00A25024" w:rsidRDefault="008F7E67" w:rsidP="008F7E67">
      <w:pPr>
        <w:autoSpaceDE w:val="0"/>
        <w:autoSpaceDN w:val="0"/>
        <w:adjustRightInd w:val="0"/>
        <w:spacing w:after="0" w:line="240" w:lineRule="auto"/>
        <w:rPr>
          <w:rFonts w:cstheme="minorHAnsi"/>
          <w:bCs/>
        </w:rPr>
      </w:pPr>
      <w:r w:rsidRPr="00A25024">
        <w:rPr>
          <w:rFonts w:cstheme="minorHAnsi"/>
          <w:bCs/>
        </w:rPr>
        <w:br/>
        <w:t xml:space="preserve"> </w:t>
      </w:r>
      <w:r w:rsidR="000D22B6" w:rsidRPr="00E82FBB">
        <w:rPr>
          <w:rFonts w:cstheme="minorHAnsi"/>
          <w:bCs/>
          <w:sz w:val="24"/>
        </w:rPr>
        <w:t>N/A</w:t>
      </w:r>
    </w:p>
    <w:p w14:paraId="03FA286E" w14:textId="77777777" w:rsidR="008F7E67" w:rsidRPr="00A25024" w:rsidRDefault="008F7E67" w:rsidP="008F7E67">
      <w:pPr>
        <w:pStyle w:val="ListParagraph"/>
        <w:autoSpaceDE w:val="0"/>
        <w:autoSpaceDN w:val="0"/>
        <w:adjustRightInd w:val="0"/>
        <w:spacing w:after="0" w:line="240" w:lineRule="auto"/>
        <w:ind w:left="0"/>
        <w:rPr>
          <w:rFonts w:cstheme="minorHAnsi"/>
          <w:bCs/>
        </w:rPr>
      </w:pPr>
    </w:p>
    <w:p w14:paraId="2EEDBDE2" w14:textId="77777777" w:rsidR="00D36C5C" w:rsidRDefault="008F7E67" w:rsidP="008F7E67">
      <w:pPr>
        <w:autoSpaceDE w:val="0"/>
        <w:autoSpaceDN w:val="0"/>
        <w:adjustRightInd w:val="0"/>
        <w:spacing w:after="0" w:line="240" w:lineRule="auto"/>
        <w:rPr>
          <w:rFonts w:cstheme="minorHAnsi"/>
          <w:bCs/>
        </w:rPr>
      </w:pPr>
      <w:r>
        <w:rPr>
          <w:rFonts w:cstheme="minorHAnsi"/>
          <w:b/>
          <w:bCs/>
        </w:rPr>
        <w:lastRenderedPageBreak/>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p>
    <w:p w14:paraId="719A4A3C" w14:textId="77777777" w:rsidR="008F7E67" w:rsidRDefault="008F7E67" w:rsidP="008F7E67">
      <w:pPr>
        <w:autoSpaceDE w:val="0"/>
        <w:autoSpaceDN w:val="0"/>
        <w:adjustRightInd w:val="0"/>
        <w:spacing w:after="0" w:line="240" w:lineRule="auto"/>
        <w:rPr>
          <w:rFonts w:cstheme="minorHAnsi"/>
          <w:bCs/>
        </w:rPr>
      </w:pPr>
      <w:r w:rsidRPr="00A25024">
        <w:rPr>
          <w:rFonts w:cstheme="minorHAnsi"/>
          <w:bCs/>
        </w:rPr>
        <w:br/>
      </w:r>
      <w:r w:rsidR="000D22B6" w:rsidRPr="00E82FBB">
        <w:rPr>
          <w:rFonts w:cstheme="minorHAnsi"/>
          <w:bCs/>
          <w:sz w:val="24"/>
        </w:rPr>
        <w:t>N/A</w:t>
      </w:r>
    </w:p>
    <w:p w14:paraId="471ED669" w14:textId="77777777" w:rsidR="008F7E67" w:rsidRPr="00E1508F" w:rsidRDefault="008F7E67" w:rsidP="008F7E67">
      <w:pPr>
        <w:autoSpaceDE w:val="0"/>
        <w:autoSpaceDN w:val="0"/>
        <w:adjustRightInd w:val="0"/>
        <w:spacing w:after="0" w:line="240" w:lineRule="auto"/>
        <w:rPr>
          <w:rFonts w:cstheme="minorHAnsi"/>
          <w:bCs/>
        </w:rPr>
      </w:pPr>
    </w:p>
    <w:p w14:paraId="0514424E"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75405ABD" w14:textId="77777777" w:rsidR="00D36C5C" w:rsidRDefault="00D36C5C">
      <w:pPr>
        <w:autoSpaceDE w:val="0"/>
        <w:autoSpaceDN w:val="0"/>
        <w:adjustRightInd w:val="0"/>
        <w:spacing w:after="0" w:line="240" w:lineRule="auto"/>
        <w:rPr>
          <w:rFonts w:cstheme="minorHAnsi"/>
          <w:bCs/>
        </w:rPr>
      </w:pPr>
    </w:p>
    <w:p w14:paraId="40E5EB89" w14:textId="77777777" w:rsidR="00BA053B" w:rsidRPr="005560E7" w:rsidRDefault="000D22B6">
      <w:pPr>
        <w:autoSpaceDE w:val="0"/>
        <w:autoSpaceDN w:val="0"/>
        <w:adjustRightInd w:val="0"/>
        <w:spacing w:after="0" w:line="240" w:lineRule="auto"/>
        <w:rPr>
          <w:rFonts w:cstheme="minorHAnsi"/>
          <w:bCs/>
        </w:rPr>
      </w:pPr>
      <w:r w:rsidRPr="00E82FBB">
        <w:rPr>
          <w:rFonts w:cstheme="minorHAnsi"/>
          <w:bCs/>
          <w:sz w:val="24"/>
        </w:rPr>
        <w:t>N/A</w:t>
      </w:r>
    </w:p>
    <w:sectPr w:rsidR="00BA053B" w:rsidRPr="005560E7"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F61930" w14:textId="77777777" w:rsidR="008F589F" w:rsidRDefault="008F589F" w:rsidP="005C73CA">
      <w:pPr>
        <w:spacing w:after="0" w:line="240" w:lineRule="auto"/>
      </w:pPr>
      <w:r>
        <w:separator/>
      </w:r>
    </w:p>
  </w:endnote>
  <w:endnote w:type="continuationSeparator" w:id="0">
    <w:p w14:paraId="6BDBE190" w14:textId="77777777" w:rsidR="008F589F" w:rsidRDefault="008F589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MR1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8BB96" w14:textId="77777777" w:rsidR="008F589F" w:rsidRDefault="0012454F">
    <w:pPr>
      <w:pStyle w:val="Footer"/>
    </w:pPr>
    <w:r>
      <w:t xml:space="preserve">Version </w:t>
    </w:r>
    <w:proofErr w:type="gramStart"/>
    <w:r>
      <w:t xml:space="preserve">6.5 </w:t>
    </w:r>
    <w:r w:rsidR="003A7DE7">
      <w:t xml:space="preserve"> </w:t>
    </w:r>
    <w:r w:rsidR="008F7E67">
      <w:t>08</w:t>
    </w:r>
    <w:proofErr w:type="gramEnd"/>
    <w:r w:rsidR="008F7E67">
      <w:t>/20/13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470DA4">
      <w:rPr>
        <w:noProof/>
      </w:rPr>
      <w:t>12</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550A6B" w14:textId="77777777" w:rsidR="008F589F" w:rsidRDefault="008F589F" w:rsidP="005C73CA">
      <w:pPr>
        <w:spacing w:after="0" w:line="240" w:lineRule="auto"/>
      </w:pPr>
      <w:r>
        <w:separator/>
      </w:r>
    </w:p>
  </w:footnote>
  <w:footnote w:type="continuationSeparator" w:id="0">
    <w:p w14:paraId="6DAC6809" w14:textId="77777777" w:rsidR="008F589F" w:rsidRDefault="008F589F"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87FD7" w14:textId="77777777"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trackRevisions/>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0E8F"/>
    <w:rsid w:val="000775F8"/>
    <w:rsid w:val="00080CF7"/>
    <w:rsid w:val="000851B2"/>
    <w:rsid w:val="00092566"/>
    <w:rsid w:val="000968F8"/>
    <w:rsid w:val="00097012"/>
    <w:rsid w:val="000B032A"/>
    <w:rsid w:val="000B2DF7"/>
    <w:rsid w:val="000B3880"/>
    <w:rsid w:val="000D22B6"/>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5375B"/>
    <w:rsid w:val="001718D7"/>
    <w:rsid w:val="0017696D"/>
    <w:rsid w:val="001837FE"/>
    <w:rsid w:val="001848FC"/>
    <w:rsid w:val="001969C5"/>
    <w:rsid w:val="001A6CDD"/>
    <w:rsid w:val="001C12EE"/>
    <w:rsid w:val="001C7B02"/>
    <w:rsid w:val="001E4DD4"/>
    <w:rsid w:val="001E69DC"/>
    <w:rsid w:val="001F169D"/>
    <w:rsid w:val="001F1DA1"/>
    <w:rsid w:val="001F6F93"/>
    <w:rsid w:val="001F7A20"/>
    <w:rsid w:val="0020571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0DA4"/>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1B7D"/>
    <w:rsid w:val="006269D4"/>
    <w:rsid w:val="006327D8"/>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1877"/>
    <w:rsid w:val="00713394"/>
    <w:rsid w:val="00724677"/>
    <w:rsid w:val="00725AC2"/>
    <w:rsid w:val="0073251F"/>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3741"/>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B7334"/>
    <w:rsid w:val="00AC1D8E"/>
    <w:rsid w:val="00AC48FA"/>
    <w:rsid w:val="00AD0240"/>
    <w:rsid w:val="00AD4137"/>
    <w:rsid w:val="00AD4B6E"/>
    <w:rsid w:val="00B037BA"/>
    <w:rsid w:val="00B20139"/>
    <w:rsid w:val="00B218DA"/>
    <w:rsid w:val="00B30A99"/>
    <w:rsid w:val="00B342FA"/>
    <w:rsid w:val="00B41A0C"/>
    <w:rsid w:val="00B53E8B"/>
    <w:rsid w:val="00B774D2"/>
    <w:rsid w:val="00B8015A"/>
    <w:rsid w:val="00B82A57"/>
    <w:rsid w:val="00BA053B"/>
    <w:rsid w:val="00BB35AE"/>
    <w:rsid w:val="00BC03A1"/>
    <w:rsid w:val="00BC0D25"/>
    <w:rsid w:val="00BD2505"/>
    <w:rsid w:val="00BE592D"/>
    <w:rsid w:val="00BF52B0"/>
    <w:rsid w:val="00BF5697"/>
    <w:rsid w:val="00C14CCC"/>
    <w:rsid w:val="00C22C1C"/>
    <w:rsid w:val="00C25245"/>
    <w:rsid w:val="00C33F2E"/>
    <w:rsid w:val="00C34936"/>
    <w:rsid w:val="00C34C14"/>
    <w:rsid w:val="00C355B9"/>
    <w:rsid w:val="00C401C4"/>
    <w:rsid w:val="00C41680"/>
    <w:rsid w:val="00C53FFA"/>
    <w:rsid w:val="00C60A25"/>
    <w:rsid w:val="00C616B0"/>
    <w:rsid w:val="00C765C5"/>
    <w:rsid w:val="00C82479"/>
    <w:rsid w:val="00C867F0"/>
    <w:rsid w:val="00CA06D8"/>
    <w:rsid w:val="00CA345A"/>
    <w:rsid w:val="00CB49FF"/>
    <w:rsid w:val="00CC02CF"/>
    <w:rsid w:val="00CC086A"/>
    <w:rsid w:val="00CD08A9"/>
    <w:rsid w:val="00CD0F66"/>
    <w:rsid w:val="00CD364B"/>
    <w:rsid w:val="00CE23B8"/>
    <w:rsid w:val="00CE50D7"/>
    <w:rsid w:val="00CF2A11"/>
    <w:rsid w:val="00D00344"/>
    <w:rsid w:val="00D1754D"/>
    <w:rsid w:val="00D2223F"/>
    <w:rsid w:val="00D274A4"/>
    <w:rsid w:val="00D277AF"/>
    <w:rsid w:val="00D31163"/>
    <w:rsid w:val="00D320B1"/>
    <w:rsid w:val="00D33AFD"/>
    <w:rsid w:val="00D36489"/>
    <w:rsid w:val="00D36C5C"/>
    <w:rsid w:val="00D42195"/>
    <w:rsid w:val="00D50704"/>
    <w:rsid w:val="00D5760A"/>
    <w:rsid w:val="00D61410"/>
    <w:rsid w:val="00D8181D"/>
    <w:rsid w:val="00D968D8"/>
    <w:rsid w:val="00DA563D"/>
    <w:rsid w:val="00DA7277"/>
    <w:rsid w:val="00DB3627"/>
    <w:rsid w:val="00DB4724"/>
    <w:rsid w:val="00DC2CB9"/>
    <w:rsid w:val="00DC4746"/>
    <w:rsid w:val="00DD7FD3"/>
    <w:rsid w:val="00DE7149"/>
    <w:rsid w:val="00E0314C"/>
    <w:rsid w:val="00E1508F"/>
    <w:rsid w:val="00E27240"/>
    <w:rsid w:val="00E27EDD"/>
    <w:rsid w:val="00E30584"/>
    <w:rsid w:val="00E310B9"/>
    <w:rsid w:val="00E37E1B"/>
    <w:rsid w:val="00E562C0"/>
    <w:rsid w:val="00E672D6"/>
    <w:rsid w:val="00E76024"/>
    <w:rsid w:val="00E82FBB"/>
    <w:rsid w:val="00E835C6"/>
    <w:rsid w:val="00E856A2"/>
    <w:rsid w:val="00E92520"/>
    <w:rsid w:val="00E93895"/>
    <w:rsid w:val="00E96884"/>
    <w:rsid w:val="00EA5435"/>
    <w:rsid w:val="00EA5F47"/>
    <w:rsid w:val="00EA7932"/>
    <w:rsid w:val="00EC79DE"/>
    <w:rsid w:val="00ED4ACE"/>
    <w:rsid w:val="00EE4D35"/>
    <w:rsid w:val="00EF2DA7"/>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BD1F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qFormat/>
    <w:rsid w:val="00B30A99"/>
    <w:pPr>
      <w:keepNext/>
      <w:spacing w:before="480" w:after="240" w:line="240" w:lineRule="auto"/>
      <w:outlineLvl w:val="1"/>
    </w:pPr>
    <w:rPr>
      <w:rFonts w:eastAsia="Times New Roman" w:cs="Calibri"/>
      <w:b/>
      <w:bCs/>
      <w:color w:val="002060"/>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Heading2Char">
    <w:name w:val="Heading 2 Char"/>
    <w:basedOn w:val="DefaultParagraphFont"/>
    <w:link w:val="Heading2"/>
    <w:rsid w:val="00B30A99"/>
    <w:rPr>
      <w:rFonts w:eastAsia="Times New Roman" w:cs="Calibri"/>
      <w:b/>
      <w:bCs/>
      <w:color w:val="002060"/>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qFormat/>
    <w:rsid w:val="00B30A99"/>
    <w:pPr>
      <w:keepNext/>
      <w:spacing w:before="480" w:after="240" w:line="240" w:lineRule="auto"/>
      <w:outlineLvl w:val="1"/>
    </w:pPr>
    <w:rPr>
      <w:rFonts w:eastAsia="Times New Roman" w:cs="Calibri"/>
      <w:b/>
      <w:bCs/>
      <w:color w:val="002060"/>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Heading2Char">
    <w:name w:val="Heading 2 Char"/>
    <w:basedOn w:val="DefaultParagraphFont"/>
    <w:link w:val="Heading2"/>
    <w:rsid w:val="00B30A99"/>
    <w:rPr>
      <w:rFonts w:eastAsia="Times New Roman" w:cs="Calibri"/>
      <w:b/>
      <w:bCs/>
      <w:color w:val="002060"/>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2035301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MR1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B2DF5-3BEE-48E2-8237-4578E6579BF1}">
  <ds:schemaRefs>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purl.org/dc/dcmitype/"/>
    <ds:schemaRef ds:uri="http://schemas.microsoft.com/office/2006/metadata/properties"/>
    <ds:schemaRef ds:uri="http://purl.org/dc/terms/"/>
    <ds:schemaRef ds:uri="http://www.w3.org/XML/1998/namespace"/>
  </ds:schemaRefs>
</ds:datastoreItem>
</file>

<file path=customXml/itemProps2.xml><?xml version="1.0" encoding="utf-8"?>
<ds:datastoreItem xmlns:ds="http://schemas.openxmlformats.org/officeDocument/2006/customXml" ds:itemID="{C28A57F0-1026-42DA-ABF9-A39CD784C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8F60693-590D-4624-B1CF-5A2BD14ED9C5}">
  <ds:schemaRefs>
    <ds:schemaRef ds:uri="http://schemas.microsoft.com/sharepoint/v3/contenttype/forms"/>
  </ds:schemaRefs>
</ds:datastoreItem>
</file>

<file path=customXml/itemProps4.xml><?xml version="1.0" encoding="utf-8"?>
<ds:datastoreItem xmlns:ds="http://schemas.openxmlformats.org/officeDocument/2006/customXml" ds:itemID="{2693C4E2-66A3-4BFB-B572-1E40F8D83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4822</Words>
  <Characters>27492</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Jennifer Sardone</cp:lastModifiedBy>
  <cp:revision>3</cp:revision>
  <cp:lastPrinted>2015-02-25T19:34:00Z</cp:lastPrinted>
  <dcterms:created xsi:type="dcterms:W3CDTF">2015-07-16T15:32:00Z</dcterms:created>
  <dcterms:modified xsi:type="dcterms:W3CDTF">2015-07-16T15:33:00Z</dcterms:modified>
</cp:coreProperties>
</file>