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067640">
            <w:rPr>
              <w:rStyle w:val="Style1"/>
            </w:rPr>
            <w:t>323</w:t>
          </w:r>
        </w:sdtContent>
      </w:sdt>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067640" w:rsidRPr="0082058E">
            <w:rPr>
              <w:rFonts w:ascii="Calibri" w:hAnsi="Calibri"/>
              <w:color w:val="0000FF"/>
              <w:sz w:val="20"/>
              <w:szCs w:val="20"/>
            </w:rPr>
            <w:t>Adult Kidney Disease:  Hemodialysis Adequacy: Solute</w:t>
          </w:r>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5-02-27T00:00:00Z">
            <w:dateFormat w:val="M/d/yyyy"/>
            <w:lid w:val="en-US"/>
            <w:storeMappedDataAs w:val="dateTime"/>
            <w:calendar w:val="gregorian"/>
          </w:date>
        </w:sdtPr>
        <w:sdtEndPr>
          <w:rPr>
            <w:rStyle w:val="DefaultParagraphFont"/>
            <w:noProof/>
            <w:color w:val="auto"/>
            <w:u w:val="none"/>
          </w:rPr>
        </w:sdtEndPr>
        <w:sdtContent>
          <w:r w:rsidR="00067640">
            <w:rPr>
              <w:rStyle w:val="Style2"/>
            </w:rPr>
            <w:t>2/27/2015</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w:t>
            </w:r>
            <w:bookmarkStart w:id="0" w:name="_GoBack"/>
            <w:bookmarkEnd w:id="0"/>
            <w:r w:rsidR="008B652E" w:rsidRPr="003B1CC5">
              <w:t>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1" w:name="Note2"/>
            <w:bookmarkEnd w:id="1"/>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067640"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Pr>
              <w:rFonts w:ascii="MS Gothic" w:eastAsia="MS Gothic" w:hAnsi="MS Gothic" w:hint="eastAsia"/>
              <w:bCs/>
              <w:color w:val="0000FF"/>
              <w:u w:val="single"/>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p>
    <w:p w:rsidR="00236F87" w:rsidRPr="003B1CC5" w:rsidRDefault="00067640"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placeholder>
            <w:docPart w:val="962214A8263E430591B9ED4CADA7154B"/>
          </w:placeholder>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rsidR="00496AF8" w:rsidRPr="003B1CC5" w:rsidRDefault="00067640" w:rsidP="005857F8">
      <w:pPr>
        <w:ind w:left="720" w:hanging="432"/>
        <w:rPr>
          <w:bCs/>
        </w:rPr>
      </w:pPr>
      <w:sdt>
        <w:sdtPr>
          <w:rPr>
            <w:bCs/>
            <w:color w:val="0000FF"/>
          </w:rPr>
          <w:id w:val="1309518776"/>
          <w14:checkbox>
            <w14:checked w14:val="1"/>
            <w14:checkedState w14:val="2612" w14:font="MS Gothic"/>
            <w14:uncheckedState w14:val="2610" w14:font="MS Gothic"/>
          </w14:checkbox>
        </w:sdtPr>
        <w:sdtEndPr/>
        <w:sdtContent>
          <w:r>
            <w:rPr>
              <w:rFonts w:ascii="MS Gothic" w:eastAsia="MS Gothic" w:hAnsi="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dtPr>
        <w:sdtEndPr>
          <w:rPr>
            <w:rStyle w:val="DefaultParagraphFont"/>
            <w:rFonts w:cstheme="minorBidi"/>
            <w:bCs/>
            <w:color w:val="auto"/>
            <w:u w:val="none"/>
          </w:rPr>
        </w:sdtEndPr>
        <w:sdtContent>
          <w:sdt>
            <w:sdtPr>
              <w:rPr>
                <w:rStyle w:val="Style2"/>
                <w:rFonts w:cstheme="minorHAnsi"/>
              </w:rPr>
              <w:id w:val="-768232283"/>
              <w:placeholder>
                <w:docPart w:val="6373117BA6D04F7BBBDA081CAF78065C"/>
              </w:placeholder>
            </w:sdtPr>
            <w:sdtEndPr>
              <w:rPr>
                <w:rStyle w:val="DefaultParagraphFont"/>
                <w:rFonts w:cstheme="minorBidi"/>
                <w:color w:val="auto"/>
                <w:u w:val="none"/>
              </w:rPr>
            </w:sdtEndPr>
            <w:sdtContent>
              <w:r>
                <w:rPr>
                  <w:rStyle w:val="Style2"/>
                  <w:rFonts w:cstheme="minorHAnsi"/>
                </w:rPr>
                <w:t>Adequate dialysis dose</w:t>
              </w:r>
              <w:r>
                <w:rPr>
                  <w:rStyle w:val="Style2"/>
                  <w:rFonts w:cstheme="minorHAnsi"/>
                </w:rPr>
                <w:t xml:space="preserve"> </w:t>
              </w:r>
            </w:sdtContent>
          </w:sdt>
        </w:sdtContent>
      </w:sdt>
    </w:p>
    <w:p w:rsidR="00496AF8" w:rsidRPr="003B1CC5" w:rsidRDefault="00067640"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process</w:t>
          </w:r>
        </w:sdtContent>
      </w:sdt>
    </w:p>
    <w:p w:rsidR="00496AF8" w:rsidRPr="003B1CC5" w:rsidRDefault="00067640"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067640"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rsidR="00496AF8" w:rsidRPr="003B1CC5" w:rsidRDefault="00496AF8" w:rsidP="002E2177">
      <w:pPr>
        <w:ind w:left="0" w:firstLine="0"/>
        <w:rPr>
          <w:bCs/>
        </w:rPr>
      </w:pP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Default="002B06BD" w:rsidP="002B06BD">
      <w:pPr>
        <w:ind w:left="432" w:hanging="432"/>
        <w:rPr>
          <w:b/>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E928D6" w:rsidRPr="003B1CC5" w:rsidRDefault="00E928D6" w:rsidP="002B06BD">
      <w:pPr>
        <w:ind w:left="432" w:hanging="432"/>
        <w:rPr>
          <w:iCs/>
        </w:rPr>
      </w:pPr>
    </w:p>
    <w:p w:rsidR="00E928D6" w:rsidRPr="00CD35D2" w:rsidRDefault="00E928D6" w:rsidP="00E928D6">
      <w:pPr>
        <w:ind w:firstLine="0"/>
        <w:rPr>
          <w:rFonts w:ascii="Arial Narrow" w:hAnsi="Arial Narrow" w:cs="Arial"/>
          <w:b/>
        </w:rPr>
      </w:pPr>
      <w:r w:rsidRPr="00CD35D2">
        <w:rPr>
          <w:rFonts w:ascii="Arial Narrow" w:hAnsi="Arial Narrow" w:cs="Arial"/>
          <w:color w:val="0000FF"/>
        </w:rPr>
        <w:t>This measure captures the number of calendar months during which patients have</w:t>
      </w:r>
      <w:r>
        <w:rPr>
          <w:rFonts w:ascii="Arial Narrow" w:hAnsi="Arial Narrow" w:cs="Arial"/>
          <w:color w:val="0000FF"/>
        </w:rPr>
        <w:t xml:space="preserve"> a spKt/V &gt; or= 1.2, which is a </w:t>
      </w:r>
      <w:r w:rsidRPr="00CD35D2">
        <w:rPr>
          <w:rFonts w:ascii="Arial Narrow" w:hAnsi="Arial Narrow" w:cs="Arial"/>
          <w:color w:val="0000FF"/>
        </w:rPr>
        <w:t>measurement of the adequacy of hemodialysis, an intermediate clinical outcome.  Adequate dialysis dose is linked to improved health outcomes such as attaining highest quality and quantity of life after onset of illness, decreasing morbidity and mortality, and increasing treatment effectiveness.</w:t>
      </w:r>
    </w:p>
    <w:p w:rsidR="002B06BD" w:rsidRPr="003B1CC5" w:rsidRDefault="002B06BD" w:rsidP="002E2177">
      <w:pPr>
        <w:ind w:left="432" w:hanging="432"/>
        <w:rPr>
          <w:color w:val="0000FF"/>
        </w:rPr>
      </w:pPr>
    </w:p>
    <w:p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E928D6" w:rsidRDefault="00E928D6" w:rsidP="00E928D6">
      <w:pPr>
        <w:ind w:firstLine="0"/>
        <w:rPr>
          <w:rFonts w:ascii="Arial Narrow" w:hAnsi="Arial Narrow" w:cs="Arial"/>
          <w:color w:val="0000FF"/>
        </w:rPr>
      </w:pPr>
    </w:p>
    <w:p w:rsidR="00E928D6" w:rsidRPr="00CD35D2" w:rsidRDefault="00E928D6" w:rsidP="00E928D6">
      <w:pPr>
        <w:ind w:firstLine="0"/>
        <w:rPr>
          <w:rFonts w:ascii="Arial Narrow" w:hAnsi="Arial Narrow" w:cs="Arial"/>
          <w:color w:val="0000FF"/>
        </w:rPr>
      </w:pPr>
      <w:r>
        <w:rPr>
          <w:rFonts w:ascii="Arial Narrow" w:hAnsi="Arial Narrow" w:cs="Arial"/>
          <w:color w:val="0000FF"/>
        </w:rPr>
        <w:t>The guideline recommendation focuses on the same patient population as the measure, patients receiving hemodialysis three times per week.  The guideline states that the minimally adequate dose of HD given to this patient population should be an spKt/v (excluding [Residual Kidney Function] RKF) of 1.2 per dialysis. Therefore, the measure is written to capture the calendar months during which patients have a spKt/v &gt; or = 1.2, consistent with the guideline recommendations.</w:t>
      </w:r>
    </w:p>
    <w:p w:rsidR="00E928D6" w:rsidRDefault="00E928D6" w:rsidP="002E2177">
      <w:pPr>
        <w:ind w:left="0" w:firstLine="0"/>
        <w:rPr>
          <w:iCs/>
        </w:rPr>
      </w:pPr>
    </w:p>
    <w:p w:rsidR="00E928D6" w:rsidRPr="003B1CC5" w:rsidRDefault="00E928D6" w:rsidP="002E2177">
      <w:pPr>
        <w:ind w:left="0" w:firstLine="0"/>
        <w:rPr>
          <w:iCs/>
        </w:rPr>
      </w:pPr>
    </w:p>
    <w:p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2B06BD" w:rsidRPr="003B1CC5" w:rsidRDefault="00925F11" w:rsidP="002E2177">
      <w:pPr>
        <w:ind w:left="0" w:firstLine="0"/>
        <w:rPr>
          <w:b/>
          <w:iCs/>
          <w:caps/>
        </w:rPr>
      </w:pPr>
      <w:r w:rsidRPr="003B1CC5">
        <w:rPr>
          <w:b/>
          <w:iCs/>
          <w:caps/>
        </w:rPr>
        <w:t>_________________________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Pr="003B1CC5" w:rsidRDefault="002B06BD" w:rsidP="002E2177">
      <w:pPr>
        <w:ind w:left="0" w:firstLine="0"/>
        <w:rPr>
          <w:i/>
          <w:iCs/>
        </w:rPr>
      </w:pPr>
      <w:bookmarkStart w:id="6" w:name="Section1a3"/>
      <w:bookmarkEnd w:id="6"/>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rsidR="007C1887" w:rsidRPr="003B1CC5" w:rsidRDefault="007C1887" w:rsidP="002E2177">
      <w:pPr>
        <w:ind w:left="0" w:firstLine="0"/>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067640" w:rsidP="002E2177">
      <w:pPr>
        <w:ind w:left="0" w:firstLine="0"/>
      </w:pPr>
      <w:sdt>
        <w:sdtPr>
          <w:rPr>
            <w:bCs/>
            <w:color w:val="0000FF"/>
          </w:rPr>
          <w:id w:val="-468508862"/>
          <w14:checkbox>
            <w14:checked w14:val="1"/>
            <w14:checkedState w14:val="2612" w14:font="MS Gothic"/>
            <w14:uncheckedState w14:val="2610" w14:font="MS Gothic"/>
          </w14:checkbox>
        </w:sdtPr>
        <w:sdtEndPr/>
        <w:sdtContent>
          <w:r w:rsidR="00B467DD">
            <w:rPr>
              <w:rFonts w:ascii="MS Gothic" w:eastAsia="MS Gothic" w:hAnsi="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067640"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067640"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067640" w:rsidP="002E2177">
      <w:pPr>
        <w:ind w:left="0" w:firstLine="0"/>
      </w:pPr>
      <w:sdt>
        <w:sdtPr>
          <w:rPr>
            <w:bCs/>
            <w:color w:val="0000FF"/>
          </w:rPr>
          <w:id w:val="30227583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lastRenderedPageBreak/>
        <w:t>_________________________</w:t>
      </w:r>
      <w:bookmarkStart w:id="7" w:name="Section1a4"/>
      <w:bookmarkEnd w:id="7"/>
    </w:p>
    <w:p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6E7C74" w:rsidRDefault="006E7C74" w:rsidP="006E7C74">
      <w:pPr>
        <w:rPr>
          <w:rFonts w:ascii="Arial Narrow" w:hAnsi="Arial Narrow" w:cs="Arial"/>
          <w:color w:val="0000FF"/>
        </w:rPr>
      </w:pPr>
      <w:r>
        <w:rPr>
          <w:rFonts w:ascii="Arial Narrow" w:hAnsi="Arial Narrow" w:cs="Arial"/>
          <w:color w:val="0000FF"/>
        </w:rPr>
        <w:t>National Kidney Foundation. KDOQI Clinical Practice Guidelines and Clinical Practice Recommendations for 2006 Updates: Hemodialysis Adequacy, Peritoneal Dialysis Adequacy and Vascular Access. Am J Kidney Dis 48:S1-S322, 2006 (suppl 1)</w:t>
      </w:r>
    </w:p>
    <w:p w:rsidR="00D53405" w:rsidRDefault="00D53405" w:rsidP="002E2177">
      <w:pPr>
        <w:ind w:left="0" w:firstLine="0"/>
        <w:rPr>
          <w:rFonts w:cs="Arial"/>
          <w:sz w:val="20"/>
          <w:szCs w:val="20"/>
        </w:rPr>
      </w:pPr>
    </w:p>
    <w:p w:rsidR="006E7C74" w:rsidRPr="003B1CC5" w:rsidRDefault="00067640" w:rsidP="00090168">
      <w:pPr>
        <w:ind w:left="0" w:firstLine="360"/>
        <w:rPr>
          <w:rFonts w:cs="Arial"/>
          <w:sz w:val="20"/>
          <w:szCs w:val="20"/>
        </w:rPr>
      </w:pPr>
      <w:hyperlink r:id="rId15" w:anchor="sec10" w:history="1">
        <w:r w:rsidR="00090168" w:rsidRPr="001D1259">
          <w:rPr>
            <w:rStyle w:val="Hyperlink"/>
            <w:rFonts w:cs="Arial"/>
            <w:sz w:val="20"/>
            <w:szCs w:val="20"/>
          </w:rPr>
          <w:t>http://www.ajkd.org/article/S0272-6386%2806%2900554-3/fulltext#sec10</w:t>
        </w:r>
      </w:hyperlink>
      <w:r w:rsidR="00090168">
        <w:rPr>
          <w:rFonts w:cs="Arial"/>
          <w:sz w:val="20"/>
          <w:szCs w:val="20"/>
        </w:rPr>
        <w:t xml:space="preserve">  or </w:t>
      </w:r>
    </w:p>
    <w:p w:rsidR="006E7C74" w:rsidRDefault="00067640" w:rsidP="00E928D6">
      <w:pPr>
        <w:ind w:firstLine="0"/>
        <w:rPr>
          <w:color w:val="0000FF"/>
        </w:rPr>
      </w:pPr>
      <w:hyperlink r:id="rId16" w:history="1">
        <w:r w:rsidR="00E928D6" w:rsidRPr="001D1259">
          <w:rPr>
            <w:rStyle w:val="Hyperlink"/>
          </w:rPr>
          <w:t>http://www.kidney.org/sites/default/files/docs/12-50-0210_jag_dcp_guidelines-hd_oct06_sectiona_ofc.pdf</w:t>
        </w:r>
      </w:hyperlink>
    </w:p>
    <w:p w:rsidR="006E7C74" w:rsidRDefault="006E7C74" w:rsidP="002E2177">
      <w:pPr>
        <w:ind w:left="0" w:firstLine="0"/>
        <w:rPr>
          <w:color w:val="0000FF"/>
        </w:rPr>
      </w:pPr>
    </w:p>
    <w:p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784F09" w:rsidRDefault="00784F09" w:rsidP="00784F09">
      <w:pPr>
        <w:rPr>
          <w:rFonts w:ascii="Arial Narrow" w:hAnsi="Arial Narrow" w:cs="Arial"/>
          <w:bCs/>
          <w:color w:val="0000FF"/>
        </w:rPr>
      </w:pPr>
      <w:r>
        <w:rPr>
          <w:rFonts w:ascii="Arial Narrow" w:hAnsi="Arial Narrow" w:cs="Arial"/>
          <w:bCs/>
          <w:color w:val="0000FF"/>
        </w:rPr>
        <w:t>Recommendation 4.1:</w:t>
      </w:r>
    </w:p>
    <w:p w:rsidR="00784F09" w:rsidRPr="00CD35D2" w:rsidRDefault="00784F09" w:rsidP="00784F09">
      <w:pPr>
        <w:rPr>
          <w:rFonts w:ascii="Arial Narrow" w:hAnsi="Arial Narrow" w:cs="Arial"/>
          <w:bCs/>
        </w:rPr>
      </w:pPr>
      <w:r w:rsidRPr="00CD35D2">
        <w:rPr>
          <w:rFonts w:ascii="Arial Narrow" w:hAnsi="Arial Narrow" w:cs="Arial"/>
          <w:bCs/>
          <w:color w:val="0000FF"/>
        </w:rPr>
        <w:t xml:space="preserve">The minimally adequate dose of HD given 3 times per week to patients with Kr less than 2 mL/min/1.73m2 should be an spKt/V (excluding RKF) of 1.2 per dialysis.  For treatment times less than 5 hours, an alternative minimum dose is a URR of 65% (A). </w:t>
      </w:r>
    </w:p>
    <w:p w:rsidR="00496AF8" w:rsidRPr="003B1CC5" w:rsidRDefault="00496AF8" w:rsidP="002E2177">
      <w:pPr>
        <w:ind w:left="0" w:firstLine="0"/>
      </w:pPr>
    </w:p>
    <w:p w:rsidR="00496AF8" w:rsidRPr="003B1CC5" w:rsidRDefault="00496AF8" w:rsidP="002E2177">
      <w:pPr>
        <w:ind w:left="0" w:firstLine="0"/>
      </w:pPr>
    </w:p>
    <w:p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8A45F3" w:rsidRPr="003B1CC5" w:rsidRDefault="008A45F3" w:rsidP="00265702">
      <w:pPr>
        <w:ind w:left="0" w:firstLine="0"/>
      </w:pPr>
    </w:p>
    <w:p w:rsidR="008A45F3" w:rsidRDefault="00784F09" w:rsidP="00265702">
      <w:pPr>
        <w:ind w:left="0" w:firstLine="0"/>
      </w:pPr>
      <w:r>
        <w:t>Grade: A</w:t>
      </w:r>
    </w:p>
    <w:p w:rsidR="00784F09" w:rsidRDefault="00784F09" w:rsidP="00265702">
      <w:pPr>
        <w:ind w:left="0" w:firstLine="0"/>
      </w:pPr>
    </w:p>
    <w:p w:rsidR="00784F09" w:rsidRPr="00CD35D2" w:rsidRDefault="00784F09" w:rsidP="00784F09">
      <w:pPr>
        <w:rPr>
          <w:rFonts w:ascii="Arial Narrow" w:hAnsi="Arial Narrow" w:cs="Arial"/>
          <w:b/>
        </w:rPr>
      </w:pPr>
      <w:r>
        <w:rPr>
          <w:rFonts w:ascii="Arial Narrow" w:hAnsi="Arial Narrow" w:cs="Arial"/>
          <w:color w:val="0000FF"/>
        </w:rPr>
        <w:t>The strength of each guideline recommendation is based on the quality of the supporting evidence as well as additional considerations. Additional considerations, such as cost, feasibility, and incremental benefit were implicitly considered.</w:t>
      </w:r>
    </w:p>
    <w:p w:rsidR="00784F09" w:rsidRDefault="00784F09" w:rsidP="00784F09">
      <w:pPr>
        <w:rPr>
          <w:rFonts w:ascii="Arial Narrow" w:hAnsi="Arial Narrow" w:cs="Arial"/>
          <w:color w:val="0000FF"/>
        </w:rPr>
      </w:pPr>
    </w:p>
    <w:p w:rsidR="00784F09" w:rsidRDefault="00784F09" w:rsidP="00784F09">
      <w:pPr>
        <w:rPr>
          <w:rFonts w:ascii="Arial Narrow" w:hAnsi="Arial Narrow" w:cs="Arial"/>
          <w:color w:val="0000FF"/>
        </w:rPr>
      </w:pPr>
      <w:r>
        <w:rPr>
          <w:rFonts w:ascii="Arial Narrow" w:hAnsi="Arial Narrow" w:cs="Arial"/>
          <w:color w:val="0000FF"/>
        </w:rPr>
        <w:t>A</w:t>
      </w:r>
      <w:r>
        <w:rPr>
          <w:rFonts w:ascii="Arial Narrow" w:hAnsi="Arial Narrow" w:cs="Arial"/>
          <w:color w:val="0000FF"/>
        </w:rPr>
        <w:tab/>
        <w:t>It is strongly recommended that clinicians routinely follow the guideline for eligible patients. There is strong evidence that the practice improves health outcomes.</w:t>
      </w:r>
    </w:p>
    <w:p w:rsidR="00784F09" w:rsidRDefault="00784F09" w:rsidP="00784F09">
      <w:pPr>
        <w:rPr>
          <w:rFonts w:ascii="Arial Narrow" w:hAnsi="Arial Narrow" w:cs="Arial"/>
          <w:color w:val="0000FF"/>
        </w:rPr>
      </w:pPr>
      <w:r>
        <w:rPr>
          <w:rFonts w:ascii="Arial Narrow" w:hAnsi="Arial Narrow" w:cs="Arial"/>
          <w:color w:val="0000FF"/>
        </w:rPr>
        <w:t>B</w:t>
      </w:r>
      <w:r>
        <w:rPr>
          <w:rFonts w:ascii="Arial Narrow" w:hAnsi="Arial Narrow" w:cs="Arial"/>
          <w:color w:val="0000FF"/>
        </w:rPr>
        <w:tab/>
        <w:t>It is recommended that clinicians routinely follow the guideline for eligible patients. There is moderately strong evidence that the practice improves health outcomes.</w:t>
      </w:r>
    </w:p>
    <w:p w:rsidR="00784F09" w:rsidRDefault="00784F09" w:rsidP="00784F09">
      <w:pPr>
        <w:rPr>
          <w:rFonts w:ascii="Arial Narrow" w:hAnsi="Arial Narrow" w:cs="Arial"/>
          <w:color w:val="0000FF"/>
        </w:rPr>
      </w:pPr>
      <w:r>
        <w:rPr>
          <w:rFonts w:ascii="Arial Narrow" w:hAnsi="Arial Narrow" w:cs="Arial"/>
          <w:color w:val="0000FF"/>
        </w:rPr>
        <w:t>CPR</w:t>
      </w:r>
      <w:r>
        <w:rPr>
          <w:rFonts w:ascii="Arial Narrow" w:hAnsi="Arial Narrow" w:cs="Arial"/>
          <w:color w:val="0000FF"/>
        </w:rPr>
        <w:tab/>
        <w:t>It is recommended that clinicians consider following the guideline for eligible patients. This recommendation is based on either weak evidence or on the opinions of the Work Group and reviewers that the practice might improve health outcomes.</w:t>
      </w:r>
    </w:p>
    <w:p w:rsidR="00784F09" w:rsidRDefault="00784F09" w:rsidP="00784F09">
      <w:pPr>
        <w:rPr>
          <w:rFonts w:ascii="Arial Narrow" w:hAnsi="Arial Narrow" w:cs="Arial"/>
          <w:color w:val="0000FF"/>
        </w:rPr>
      </w:pPr>
    </w:p>
    <w:p w:rsidR="00784F09" w:rsidRDefault="00784F09" w:rsidP="00784F09">
      <w:pPr>
        <w:rPr>
          <w:rFonts w:ascii="Arial Narrow" w:hAnsi="Arial Narrow" w:cs="Arial"/>
          <w:color w:val="0000FF"/>
        </w:rPr>
      </w:pPr>
      <w:r>
        <w:rPr>
          <w:rFonts w:ascii="Arial Narrow" w:hAnsi="Arial Narrow" w:cs="Arial"/>
          <w:color w:val="0000FF"/>
        </w:rPr>
        <w:t>Health outcomes are health-related events, conditions, or symptoms that can be perceived by individuals to have an important effect on their lives. Improving health outcomes implies that benefits outweigh any adverse effects.</w:t>
      </w:r>
    </w:p>
    <w:p w:rsidR="00784F09" w:rsidRPr="003B1CC5" w:rsidRDefault="00784F09" w:rsidP="00265702">
      <w:pPr>
        <w:ind w:left="0" w:firstLine="0"/>
      </w:pPr>
    </w:p>
    <w:p w:rsidR="00265702" w:rsidRPr="003B1CC5"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A12762" w:rsidRDefault="00A12762" w:rsidP="00265702">
      <w:pPr>
        <w:ind w:left="0" w:firstLine="0"/>
        <w:rPr>
          <w:b/>
        </w:rPr>
      </w:pPr>
    </w:p>
    <w:p w:rsidR="00B72405" w:rsidRDefault="00B72405" w:rsidP="00B72405">
      <w:pPr>
        <w:rPr>
          <w:rFonts w:ascii="Arial Narrow" w:hAnsi="Arial Narrow" w:cs="Arial"/>
          <w:color w:val="0000FF"/>
        </w:rPr>
      </w:pPr>
      <w:r>
        <w:rPr>
          <w:rFonts w:ascii="Arial Narrow" w:hAnsi="Arial Narrow" w:cs="Arial"/>
          <w:color w:val="0000FF"/>
        </w:rPr>
        <w:t>A</w:t>
      </w:r>
      <w:r>
        <w:rPr>
          <w:rFonts w:ascii="Arial Narrow" w:hAnsi="Arial Narrow" w:cs="Arial"/>
          <w:color w:val="0000FF"/>
        </w:rPr>
        <w:tab/>
        <w:t>It is strongly recommended that clinicians routinely follow the guideline for eligible patients. There is strong evidence that the practice improves health outcomes.</w:t>
      </w:r>
    </w:p>
    <w:p w:rsidR="00B72405" w:rsidRDefault="00B72405" w:rsidP="00B72405">
      <w:pPr>
        <w:rPr>
          <w:rFonts w:ascii="Arial Narrow" w:hAnsi="Arial Narrow" w:cs="Arial"/>
          <w:color w:val="0000FF"/>
        </w:rPr>
      </w:pPr>
      <w:r>
        <w:rPr>
          <w:rFonts w:ascii="Arial Narrow" w:hAnsi="Arial Narrow" w:cs="Arial"/>
          <w:color w:val="0000FF"/>
        </w:rPr>
        <w:t>B</w:t>
      </w:r>
      <w:r>
        <w:rPr>
          <w:rFonts w:ascii="Arial Narrow" w:hAnsi="Arial Narrow" w:cs="Arial"/>
          <w:color w:val="0000FF"/>
        </w:rPr>
        <w:tab/>
        <w:t>It is recommended that clinicians routinely follow the guideline for eligible patients. There is moderately strong evidence that the practice improves health outcomes.</w:t>
      </w:r>
    </w:p>
    <w:p w:rsidR="00B72405" w:rsidRDefault="00B72405" w:rsidP="00B72405">
      <w:pPr>
        <w:rPr>
          <w:rFonts w:ascii="Arial Narrow" w:hAnsi="Arial Narrow" w:cs="Arial"/>
          <w:color w:val="0000FF"/>
        </w:rPr>
      </w:pPr>
      <w:r>
        <w:rPr>
          <w:rFonts w:ascii="Arial Narrow" w:hAnsi="Arial Narrow" w:cs="Arial"/>
          <w:color w:val="0000FF"/>
        </w:rPr>
        <w:t>CPR</w:t>
      </w:r>
      <w:r>
        <w:rPr>
          <w:rFonts w:ascii="Arial Narrow" w:hAnsi="Arial Narrow" w:cs="Arial"/>
          <w:color w:val="0000FF"/>
        </w:rPr>
        <w:tab/>
        <w:t>It is recommended that clinicians consider following the guideline for eligible patients. This recommendation is based on either weak evidence or on the opinions of the Work Group and reviewers that the practice might improve health outcomes.</w:t>
      </w:r>
    </w:p>
    <w:p w:rsidR="00B72405" w:rsidRPr="003B1CC5" w:rsidRDefault="00B72405" w:rsidP="00265702">
      <w:pPr>
        <w:ind w:left="0" w:firstLine="0"/>
        <w:rPr>
          <w:b/>
        </w:rPr>
      </w:pPr>
    </w:p>
    <w:p w:rsidR="00850C35" w:rsidRPr="003B1CC5" w:rsidRDefault="00850C35" w:rsidP="00265702">
      <w:pPr>
        <w:ind w:left="0" w:firstLine="0"/>
        <w:rPr>
          <w:b/>
        </w:rPr>
      </w:pPr>
    </w:p>
    <w:p w:rsidR="00A12762" w:rsidRPr="003B1CC5" w:rsidRDefault="00776F6D" w:rsidP="002E2177">
      <w:pPr>
        <w:ind w:left="432" w:hanging="432"/>
        <w:rPr>
          <w:b/>
          <w:color w:val="0000FF"/>
        </w:rPr>
      </w:pPr>
      <w:r w:rsidRPr="003B1CC5">
        <w:rPr>
          <w:b/>
          <w:color w:val="0000FF"/>
        </w:rPr>
        <w:lastRenderedPageBreak/>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736AEC" w:rsidRPr="003B1CC5" w:rsidRDefault="00736AEC" w:rsidP="002E2177">
      <w:pPr>
        <w:ind w:left="432" w:hanging="432"/>
        <w:rPr>
          <w:color w:val="0000FF"/>
        </w:rPr>
      </w:pPr>
    </w:p>
    <w:p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067640" w:rsidP="00FC32D3">
      <w:pPr>
        <w:ind w:left="720" w:hanging="432"/>
        <w:rPr>
          <w:b/>
        </w:rPr>
      </w:pPr>
      <w:sdt>
        <w:sdtPr>
          <w:rPr>
            <w:bCs/>
            <w:color w:val="0000FF"/>
          </w:rPr>
          <w:id w:val="-1346319738"/>
          <w14:checkbox>
            <w14:checked w14:val="1"/>
            <w14:checkedState w14:val="2612" w14:font="MS Gothic"/>
            <w14:uncheckedState w14:val="2610" w14:font="MS Gothic"/>
          </w14:checkbox>
        </w:sdtPr>
        <w:sdtEndPr/>
        <w:sdtContent>
          <w:r w:rsidR="00784F09">
            <w:rPr>
              <w:rFonts w:ascii="MS Gothic" w:eastAsia="MS Gothic" w:hAnsi="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rsidR="00736AEC" w:rsidRPr="003B1CC5" w:rsidRDefault="00067640"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736AEC" w:rsidRPr="003B1CC5" w:rsidRDefault="00736AEC" w:rsidP="00736AEC">
      <w:pPr>
        <w:rPr>
          <w:b/>
        </w:rPr>
      </w:pPr>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8" w:name="Section1a5"/>
      <w:bookmarkEnd w:id="8"/>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307FA5" w:rsidRPr="003B1CC5" w:rsidRDefault="00307FA5" w:rsidP="00307FA5">
      <w:pPr>
        <w:ind w:left="0" w:firstLine="0"/>
        <w:rPr>
          <w:rFonts w:cs="Arial"/>
          <w:sz w:val="20"/>
          <w:szCs w:val="20"/>
        </w:rPr>
      </w:pPr>
    </w:p>
    <w:p w:rsidR="00307FA5" w:rsidRPr="003B1CC5" w:rsidRDefault="00307FA5" w:rsidP="00307FA5">
      <w:pPr>
        <w:ind w:left="0" w:firstLine="0"/>
      </w:pPr>
    </w:p>
    <w:p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307FA5" w:rsidRPr="003B1CC5" w:rsidRDefault="00307FA5" w:rsidP="00307FA5">
      <w:pPr>
        <w:ind w:left="0" w:firstLine="0"/>
      </w:pPr>
    </w:p>
    <w:p w:rsidR="00307FA5" w:rsidRPr="003B1CC5" w:rsidRDefault="00307FA5" w:rsidP="00307FA5">
      <w:pPr>
        <w:ind w:left="0" w:firstLine="0"/>
      </w:pPr>
    </w:p>
    <w:p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8A45F3" w:rsidRPr="003B1CC5" w:rsidRDefault="008A45F3" w:rsidP="00307FA5">
      <w:pPr>
        <w:ind w:left="0" w:firstLine="0"/>
      </w:pPr>
    </w:p>
    <w:p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307FA5" w:rsidRPr="003B1CC5" w:rsidRDefault="00307FA5" w:rsidP="00307FA5">
      <w:pPr>
        <w:ind w:left="0" w:firstLine="0"/>
        <w:rPr>
          <w:b/>
          <w:color w:val="0000FF"/>
        </w:rPr>
      </w:pPr>
    </w:p>
    <w:p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736AEC" w:rsidRPr="003B1CC5" w:rsidRDefault="00736AEC" w:rsidP="002E2177">
      <w:pPr>
        <w:ind w:left="432" w:hanging="432"/>
        <w:rPr>
          <w:b/>
        </w:rPr>
      </w:pPr>
    </w:p>
    <w:p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9" w:name="Section1a6"/>
      <w:bookmarkEnd w:id="9"/>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EE5AF6" w:rsidRPr="003B1CC5" w:rsidRDefault="00EE5AF6" w:rsidP="00EE5AF6">
      <w:pPr>
        <w:ind w:left="0" w:firstLine="0"/>
      </w:pPr>
      <w:r w:rsidRPr="003B1CC5">
        <w:t xml:space="preserve"> </w:t>
      </w:r>
    </w:p>
    <w:p w:rsidR="00EE5AF6" w:rsidRPr="003B1CC5" w:rsidRDefault="00EE5AF6" w:rsidP="00EE5AF6">
      <w:pPr>
        <w:ind w:left="0" w:firstLine="0"/>
        <w:rPr>
          <w:rFonts w:cs="Arial"/>
          <w:sz w:val="20"/>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5D0FDB" w:rsidRPr="003B1CC5" w:rsidRDefault="005D0FDB" w:rsidP="00EE5AF6">
      <w:pPr>
        <w:ind w:left="0" w:firstLine="0"/>
      </w:pPr>
    </w:p>
    <w:p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rsidR="00C84623" w:rsidRPr="003B1CC5" w:rsidRDefault="00925F11" w:rsidP="00EE5AF6">
      <w:pPr>
        <w:ind w:left="0" w:firstLine="0"/>
        <w:rPr>
          <w:b/>
          <w:color w:val="0000FF"/>
        </w:rPr>
      </w:pPr>
      <w:r w:rsidRPr="003B1CC5">
        <w:rPr>
          <w:b/>
          <w:iCs/>
          <w:caps/>
        </w:rPr>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CB1E41" w:rsidRPr="003B1CC5" w:rsidRDefault="00CB1E41" w:rsidP="00EE5AF6">
      <w:pPr>
        <w:ind w:left="0" w:firstLine="0"/>
        <w:rPr>
          <w:b/>
          <w:color w:val="0000FF"/>
        </w:rPr>
      </w:pPr>
    </w:p>
    <w:p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rsidR="00090168" w:rsidRPr="00763E75" w:rsidRDefault="00090168" w:rsidP="00090168">
      <w:pPr>
        <w:rPr>
          <w:rFonts w:ascii="Arial Narrow" w:hAnsi="Arial Narrow" w:cs="Arial"/>
          <w:i/>
        </w:rPr>
      </w:pPr>
      <w:r>
        <w:rPr>
          <w:rFonts w:ascii="Arial Narrow" w:hAnsi="Arial Narrow" w:cs="Arial"/>
          <w:color w:val="0000FF"/>
        </w:rPr>
        <w:t xml:space="preserve">A total of 2,526 citations were screened, of which 319 were review articles and 14 were added by [NKF] Work Group members. There were 223 articles (191 studies in adults and 32 in children) that were potentially relevant. These articles were retrieved for full review. Of these, 87 adult articles were accepted for full data extraction by the Work Group members. Eight articles in children were formally data extracted by a pediatric nephrologist on the [NKF] Work Group. Articles in adults were randomly assigned to individual [NKF] Work Group members for data </w:t>
      </w:r>
      <w:r>
        <w:rPr>
          <w:rFonts w:ascii="Arial Narrow" w:hAnsi="Arial Narrow" w:cs="Arial"/>
          <w:color w:val="0000FF"/>
        </w:rPr>
        <w:lastRenderedPageBreak/>
        <w:t>extraction. Of these, 23 studies answered questions pertinent to topics chosen for systematic listing in Summary Tables [within the guideline].</w:t>
      </w:r>
    </w:p>
    <w:p w:rsidR="00090168" w:rsidRDefault="00090168" w:rsidP="00090168">
      <w:pPr>
        <w:rPr>
          <w:rFonts w:ascii="Arial Narrow" w:hAnsi="Arial Narrow" w:cs="Arial"/>
          <w:color w:val="0000FF"/>
        </w:rPr>
      </w:pPr>
    </w:p>
    <w:p w:rsidR="00EE5AF6" w:rsidRPr="003B1CC5" w:rsidRDefault="00EE5AF6" w:rsidP="00EE5AF6">
      <w:pPr>
        <w:ind w:left="0" w:firstLine="0"/>
      </w:pPr>
    </w:p>
    <w:p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rsidR="00095EC9" w:rsidRDefault="00095EC9" w:rsidP="00EA79C9">
      <w:pPr>
        <w:ind w:left="0" w:firstLine="0"/>
      </w:pPr>
    </w:p>
    <w:p w:rsidR="00B72405" w:rsidRPr="003B1CC5" w:rsidRDefault="00B72405" w:rsidP="00EA79C9">
      <w:pPr>
        <w:ind w:left="0" w:firstLine="0"/>
      </w:pPr>
      <w:r>
        <w:t xml:space="preserve"> Grade A</w:t>
      </w:r>
    </w:p>
    <w:p w:rsidR="00EA79C9" w:rsidRDefault="00095EC9" w:rsidP="00EA79C9">
      <w:pPr>
        <w:ind w:left="0" w:firstLine="0"/>
        <w:rPr>
          <w:b/>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B72405" w:rsidRPr="003B1CC5" w:rsidRDefault="00B72405" w:rsidP="00EA79C9">
      <w:pPr>
        <w:ind w:left="0" w:firstLine="0"/>
        <w:rPr>
          <w:color w:val="0000FF"/>
        </w:rPr>
      </w:pPr>
    </w:p>
    <w:p w:rsidR="00B72405" w:rsidRDefault="00B72405" w:rsidP="00B72405">
      <w:pPr>
        <w:rPr>
          <w:rFonts w:ascii="Arial Narrow" w:hAnsi="Arial Narrow" w:cs="Arial"/>
          <w:color w:val="0000FF"/>
        </w:rPr>
      </w:pPr>
      <w:bookmarkStart w:id="10" w:name="Section1a7"/>
      <w:bookmarkEnd w:id="10"/>
      <w:r>
        <w:rPr>
          <w:rFonts w:ascii="Arial Narrow" w:hAnsi="Arial Narrow" w:cs="Arial"/>
          <w:color w:val="0000FF"/>
        </w:rPr>
        <w:t>A</w:t>
      </w:r>
      <w:r>
        <w:rPr>
          <w:rFonts w:ascii="Arial Narrow" w:hAnsi="Arial Narrow" w:cs="Arial"/>
          <w:color w:val="0000FF"/>
        </w:rPr>
        <w:tab/>
        <w:t>It is strongly recommended that clinicians routinely follow the guideline for eligible patients. There is strong evidence that the practice improves health outcomes.</w:t>
      </w:r>
    </w:p>
    <w:p w:rsidR="00B72405" w:rsidRDefault="00B72405" w:rsidP="00B72405">
      <w:pPr>
        <w:rPr>
          <w:rFonts w:ascii="Arial Narrow" w:hAnsi="Arial Narrow" w:cs="Arial"/>
          <w:color w:val="0000FF"/>
        </w:rPr>
      </w:pPr>
      <w:r>
        <w:rPr>
          <w:rFonts w:ascii="Arial Narrow" w:hAnsi="Arial Narrow" w:cs="Arial"/>
          <w:color w:val="0000FF"/>
        </w:rPr>
        <w:t>B</w:t>
      </w:r>
      <w:r>
        <w:rPr>
          <w:rFonts w:ascii="Arial Narrow" w:hAnsi="Arial Narrow" w:cs="Arial"/>
          <w:color w:val="0000FF"/>
        </w:rPr>
        <w:tab/>
        <w:t>It is recommended that clinicians routinely follow the guideline for eligible patients. There is moderately strong evidence that the practice improves health outcomes.</w:t>
      </w:r>
    </w:p>
    <w:p w:rsidR="00B72405" w:rsidRDefault="00B72405" w:rsidP="00B72405">
      <w:pPr>
        <w:rPr>
          <w:rFonts w:ascii="Arial Narrow" w:hAnsi="Arial Narrow" w:cs="Arial"/>
          <w:color w:val="0000FF"/>
        </w:rPr>
      </w:pPr>
      <w:r>
        <w:rPr>
          <w:rFonts w:ascii="Arial Narrow" w:hAnsi="Arial Narrow" w:cs="Arial"/>
          <w:color w:val="0000FF"/>
        </w:rPr>
        <w:t>CPR</w:t>
      </w:r>
      <w:r>
        <w:rPr>
          <w:rFonts w:ascii="Arial Narrow" w:hAnsi="Arial Narrow" w:cs="Arial"/>
          <w:color w:val="0000FF"/>
        </w:rPr>
        <w:tab/>
        <w:t>It is recommended that clinicians consider following the guideline for eligible patients. This recommendation is based on either weak evidence or on the opinions of the Work Group and reviewers that the practice might improve health outcomes.</w:t>
      </w:r>
    </w:p>
    <w:p w:rsidR="00B72405" w:rsidRDefault="00B72405" w:rsidP="00B72405">
      <w:pPr>
        <w:rPr>
          <w:rFonts w:ascii="Arial Narrow" w:hAnsi="Arial Narrow" w:cs="Arial"/>
          <w:color w:val="0000FF"/>
        </w:rPr>
      </w:pPr>
    </w:p>
    <w:p w:rsidR="00496AF8" w:rsidRPr="003B1CC5" w:rsidRDefault="00496AF8"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dtPr>
        <w:sdtEndPr>
          <w:rPr>
            <w:rStyle w:val="DefaultParagraphFont"/>
            <w:color w:val="auto"/>
            <w:u w:val="none"/>
          </w:rPr>
        </w:sdtEndPr>
        <w:sdtContent>
          <w:r w:rsidR="002E54E0">
            <w:rPr>
              <w:rStyle w:val="Style2"/>
            </w:rPr>
            <w:t>1999-2005</w:t>
          </w:r>
        </w:sdtContent>
      </w:sdt>
    </w:p>
    <w:p w:rsidR="00496AF8" w:rsidRPr="003B1CC5" w:rsidRDefault="00496AF8" w:rsidP="002E2177">
      <w:pPr>
        <w:ind w:left="0" w:firstLine="0"/>
        <w:rPr>
          <w:noProof/>
        </w:rPr>
      </w:pPr>
    </w:p>
    <w:p w:rsidR="0039020B" w:rsidRPr="003B1CC5" w:rsidRDefault="0039020B" w:rsidP="002E2177">
      <w:pPr>
        <w:ind w:left="0" w:firstLine="0"/>
        <w:rPr>
          <w:b/>
          <w:noProof/>
        </w:rPr>
      </w:pPr>
    </w:p>
    <w:p w:rsidR="00496AF8" w:rsidRPr="003B1CC5" w:rsidRDefault="00C5180E" w:rsidP="002E2177">
      <w:pPr>
        <w:ind w:left="0" w:firstLine="0"/>
        <w:rPr>
          <w:b/>
        </w:rPr>
      </w:pPr>
      <w:r w:rsidRPr="003B1CC5">
        <w:rPr>
          <w:b/>
          <w:noProof/>
        </w:rPr>
        <w:t>QUANTITY AND QUALITY OF BODY OF EVIDENCE</w:t>
      </w:r>
    </w:p>
    <w:p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rsidR="00496AF8" w:rsidRDefault="00496AF8" w:rsidP="002E2177">
      <w:pPr>
        <w:ind w:left="0" w:firstLine="0"/>
      </w:pPr>
    </w:p>
    <w:p w:rsidR="00090168" w:rsidRPr="00763E75" w:rsidRDefault="00090168" w:rsidP="00090168">
      <w:pPr>
        <w:rPr>
          <w:rFonts w:ascii="Arial Narrow" w:hAnsi="Arial Narrow" w:cs="Arial"/>
          <w:i/>
        </w:rPr>
      </w:pPr>
      <w:r>
        <w:rPr>
          <w:rFonts w:ascii="Arial Narrow" w:hAnsi="Arial Narrow" w:cs="Arial"/>
          <w:color w:val="0000FF"/>
        </w:rPr>
        <w:t>A total of 2,526 citations were screened, of which 319 were review articles and 14 were added by [NKF] Work Group members. There were 223 articles (191 studies in adults and 32 in children) that were potentially relevant. These articles were retrieved for full review. Of these, 87 adult articles were accepted for full data extraction by the Work Group members. Eight articles in children were formally data extracted by a pediatric nephrologist on the [NKF] Work Group. Articles in adults were randomly assigned to individual [NKF] Work Group members for data extraction. Of these, 23 studies answered questions pertinent to topics chosen for systematic listing in Summary Tables [within the guideline].</w:t>
      </w:r>
    </w:p>
    <w:p w:rsidR="00090168" w:rsidRDefault="00090168" w:rsidP="00090168">
      <w:pPr>
        <w:rPr>
          <w:rFonts w:ascii="Arial Narrow" w:hAnsi="Arial Narrow" w:cs="Arial"/>
          <w:color w:val="0000FF"/>
        </w:rPr>
      </w:pPr>
    </w:p>
    <w:p w:rsidR="00090168" w:rsidRPr="003B1CC5" w:rsidRDefault="00090168" w:rsidP="002E2177">
      <w:pPr>
        <w:ind w:left="0" w:firstLine="0"/>
      </w:pPr>
    </w:p>
    <w:p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496AF8" w:rsidRPr="003B1CC5" w:rsidRDefault="00496AF8" w:rsidP="002E2177">
      <w:pPr>
        <w:ind w:left="0" w:firstLine="0"/>
      </w:pPr>
    </w:p>
    <w:p w:rsidR="00090168" w:rsidRPr="00192CCE" w:rsidRDefault="00090168" w:rsidP="00090168">
      <w:pPr>
        <w:rPr>
          <w:rFonts w:ascii="Arial Narrow" w:hAnsi="Arial Narrow" w:cs="Arial"/>
          <w:color w:val="0000FF"/>
        </w:rPr>
      </w:pPr>
      <w:r w:rsidRPr="008513BD">
        <w:rPr>
          <w:rFonts w:ascii="Arial Narrow" w:hAnsi="Arial Narrow" w:cs="Arial"/>
          <w:color w:val="0000FF"/>
        </w:rPr>
        <w:t xml:space="preserve">The present adequacy guideline for a minimally adequate dose remains unchanged from the previous (2000) guidelines. In deciding whether this guideline needed to be changed, the committee considered 3 lines of evidence. The first was results of the primary analysis of the NIH HEMO Study, published in 2002. The committee also had access to as-treated results of the HEMO Study, which were published at the time the draft guidelines were released in November 2005.98 This report was judged to be of some importance because it identified a dose-targeting bias in the analysis of delivered therapy versus mortality in cross-sectional data sets, which potentially impacts on the weight of evidence derived from such data sets. The second was a series of articles suggesting that dosing of dialysis should not be based on URR or its derivative, Kt/V (which essentially is volume of blood cleared divided by the modeled urea volume, V), but on the volume of blood cleared (Kt) only. </w:t>
      </w:r>
      <w:r w:rsidRPr="008513BD">
        <w:rPr>
          <w:rFonts w:ascii="Arial Narrow" w:hAnsi="Arial Narrow" w:cs="Arial"/>
          <w:color w:val="0000FF"/>
        </w:rPr>
        <w:lastRenderedPageBreak/>
        <w:t>The third was a series of analyses of delivered dose (ie, [Urea Reduction Ratio] URR) versus mortality based on either the USRDS-Medicare data set or the Fresenius Medical Care subset of these data.</w:t>
      </w:r>
    </w:p>
    <w:p w:rsidR="00090168" w:rsidRPr="008513BD" w:rsidRDefault="00090168" w:rsidP="00090168">
      <w:pPr>
        <w:rPr>
          <w:rFonts w:ascii="Arial Narrow" w:hAnsi="Arial Narrow" w:cs="Arial"/>
          <w:color w:val="0000FF"/>
        </w:rPr>
      </w:pPr>
    </w:p>
    <w:p w:rsidR="00090168" w:rsidRPr="008513BD" w:rsidRDefault="00090168" w:rsidP="00090168">
      <w:pPr>
        <w:rPr>
          <w:rFonts w:ascii="Arial Narrow" w:hAnsi="Arial Narrow" w:cs="Arial"/>
          <w:color w:val="0000FF"/>
        </w:rPr>
      </w:pPr>
      <w:r w:rsidRPr="008513BD">
        <w:rPr>
          <w:rFonts w:ascii="Arial Narrow" w:hAnsi="Arial Narrow" w:cs="Arial"/>
          <w:color w:val="0000FF"/>
        </w:rPr>
        <w:t>HEMO Clinical Study: Primary (Randomized) Results</w:t>
      </w:r>
    </w:p>
    <w:p w:rsidR="00090168" w:rsidRPr="008513BD" w:rsidRDefault="00090168" w:rsidP="00090168">
      <w:pPr>
        <w:rPr>
          <w:rFonts w:ascii="Arial Narrow" w:hAnsi="Arial Narrow" w:cs="Arial"/>
          <w:color w:val="0000FF"/>
        </w:rPr>
      </w:pPr>
      <w:r w:rsidRPr="008513BD">
        <w:rPr>
          <w:rFonts w:ascii="Arial Narrow" w:hAnsi="Arial Narrow" w:cs="Arial"/>
          <w:color w:val="0000FF"/>
        </w:rPr>
        <w:t>Primary results of the HEMO Study, which randomized patients to a delivered eKt/V of 1.16 versus 1.53, equivalent to URR values of about 63% versus 75% or spKt/V values of about 1.3 versus 1.7, revealed little evidence to support increasing the dose of dialysis beyond the current (2000) KDOQI recommendations, respectively. The lack of benefit, without even a trend that was close to statistical significance, appeared not only in the primary outcome of mortality, but also in a variety of main secondary composite outcomes relating to various causes of hospitalization combined with mortality. Furthermore, analysis of minor secondary composite outcomes dealing with nutritional measures—including changes in weight and serum albumin levels,</w:t>
      </w:r>
      <w:r w:rsidR="00B72405">
        <w:rPr>
          <w:rFonts w:ascii="Arial Narrow" w:hAnsi="Arial Narrow" w:cs="Arial"/>
          <w:color w:val="0000FF"/>
        </w:rPr>
        <w:t xml:space="preserve"> </w:t>
      </w:r>
      <w:r w:rsidRPr="008513BD">
        <w:rPr>
          <w:rFonts w:ascii="Arial Narrow" w:hAnsi="Arial Narrow" w:cs="Arial"/>
          <w:color w:val="0000FF"/>
        </w:rPr>
        <w:t>as well as QOL measures—also failed to support a beneficial effect of increasing the dose of dialysis. Of all trials evaluated, the HEMO Study was by far the largest, and its randomized design and measurement of hard outcomes were given an enormous weight in determining whether the 2000 KDOQI HD Adequacy Guidelines needed to be changed. The Work Group realized that the recently published European guidelines recommended substantially higher minimal doses of HD based on an eKt/V measure, corresponding to spKt/V minimum targets of about 1.4 to 1.5.12</w:t>
      </w:r>
    </w:p>
    <w:p w:rsidR="00090168" w:rsidRPr="008513BD" w:rsidRDefault="00090168" w:rsidP="00090168">
      <w:pPr>
        <w:rPr>
          <w:rFonts w:ascii="Arial Narrow" w:hAnsi="Arial Narrow" w:cs="Arial"/>
          <w:color w:val="0000FF"/>
        </w:rPr>
      </w:pPr>
    </w:p>
    <w:p w:rsidR="00090168" w:rsidRPr="008513BD" w:rsidRDefault="00090168" w:rsidP="00090168">
      <w:pPr>
        <w:rPr>
          <w:rFonts w:ascii="Arial Narrow" w:hAnsi="Arial Narrow" w:cs="Arial"/>
          <w:color w:val="0000FF"/>
        </w:rPr>
      </w:pPr>
      <w:r w:rsidRPr="008513BD">
        <w:rPr>
          <w:rFonts w:ascii="Arial Narrow" w:hAnsi="Arial Narrow" w:cs="Arial"/>
          <w:color w:val="0000FF"/>
        </w:rPr>
        <w:t>HEMO Clinical Study: As-Treated Results</w:t>
      </w:r>
    </w:p>
    <w:p w:rsidR="00090168" w:rsidRPr="008513BD" w:rsidRDefault="00090168" w:rsidP="00090168">
      <w:pPr>
        <w:rPr>
          <w:rFonts w:ascii="Arial Narrow" w:hAnsi="Arial Narrow" w:cs="Arial"/>
          <w:color w:val="0000FF"/>
        </w:rPr>
      </w:pPr>
      <w:r w:rsidRPr="008513BD">
        <w:rPr>
          <w:rFonts w:ascii="Arial Narrow" w:hAnsi="Arial Narrow" w:cs="Arial"/>
          <w:color w:val="0000FF"/>
        </w:rPr>
        <w:t>The HEMO dose-versus-mortality question also was assessed within each treatment arm, measuring the effects of actual delivered dose over time versus mortality. This study identified a dose-targeting bias and suggested that patients in a cross-sectional analysis receiving less dialysis are also at greater risk for death. This increased death risk was of a high magnitude and was incompatible with a biological effect of dose. Although conditions of the 2 HEMO Study arms were not representative of how dialysis is prescribed in the field, documentation of such a strong potential dose-targeting bias (which may be operative in cross-sectional studies, albeit to a lesser degree) convinced the Work Group members to place less weight on dose-versus-mortality relationships derived from observational studies despite the large numbers of patients included in such studies.</w:t>
      </w:r>
    </w:p>
    <w:p w:rsidR="00090168" w:rsidRPr="008513BD" w:rsidRDefault="00090168" w:rsidP="00090168">
      <w:pPr>
        <w:rPr>
          <w:rFonts w:ascii="Arial Narrow" w:hAnsi="Arial Narrow" w:cs="Arial"/>
          <w:color w:val="0000FF"/>
        </w:rPr>
      </w:pPr>
    </w:p>
    <w:p w:rsidR="00090168" w:rsidRPr="008513BD" w:rsidRDefault="00090168" w:rsidP="00090168">
      <w:pPr>
        <w:rPr>
          <w:rFonts w:ascii="Arial Narrow" w:hAnsi="Arial Narrow" w:cs="Arial"/>
          <w:color w:val="0000FF"/>
        </w:rPr>
      </w:pPr>
      <w:r w:rsidRPr="008513BD">
        <w:rPr>
          <w:rFonts w:ascii="Arial Narrow" w:hAnsi="Arial Narrow" w:cs="Arial"/>
          <w:color w:val="0000FF"/>
        </w:rPr>
        <w:t>Studies Advocating Alternate Measures of Urea-Based Adequacy</w:t>
      </w:r>
    </w:p>
    <w:p w:rsidR="00090168" w:rsidRPr="008513BD" w:rsidRDefault="00090168" w:rsidP="00090168">
      <w:pPr>
        <w:rPr>
          <w:rFonts w:ascii="Arial Narrow" w:hAnsi="Arial Narrow" w:cs="Arial"/>
          <w:color w:val="0000FF"/>
        </w:rPr>
      </w:pPr>
      <w:r w:rsidRPr="008513BD">
        <w:rPr>
          <w:rFonts w:ascii="Arial Narrow" w:hAnsi="Arial Narrow" w:cs="Arial"/>
          <w:color w:val="0000FF"/>
        </w:rPr>
        <w:t>These studies are discussed in more detail in CPG 2, Methods for Measuring and Expressing the HD Dose. Since the 2000 KDOQI HD Adequacy Guidelines were published, 1 group of investigators in particular, using data derived from Fresenius Medical Care North America patients in the United States, argued that dose of dialysis should not be factored by modeled V [volume]. The arguments against using [Urea Reduction Ratio] URR or its derivative Kt/V fall into 2 general categories: (1) doing so may result in relative underdialysis of women and small patients of both sexes, and (2) because modeled V is itself a predictor of mortality, use of dialysis dose factored by V may confound dialysis dose-versus-mortality relationships found in cross-sectional studies in complex and not always predictable ways. A secondary analysis of the intent-to-treat results of the HEMO Study suggested that the higher dose of dialysis may result in better survival in women, who also tended to be smaller than the men in that particular trial. The Work Group decided, based on suggestive evidence, that more dialysis (beyond 2000 KDOQI levels) may be better for women and, perhaps, smaller patients, but that the level of evidence did not reach a point at which the existing guideline should be changed. Hence, 2 CPRs were derived suggesting that more dialysis in women and/or in smaller patients might be beneficial. Despite the theoretical arguments, as well as attempts to address confounding effects of V in cross-sectional data sets, the committee believed that, at present, the data are not compelling enough to depart from the 2000 recommendation to follow small-molecule clearance using Kt/V.</w:t>
      </w:r>
    </w:p>
    <w:p w:rsidR="00090168" w:rsidRPr="008513BD" w:rsidRDefault="00090168" w:rsidP="00090168">
      <w:pPr>
        <w:rPr>
          <w:rFonts w:ascii="Arial Narrow" w:hAnsi="Arial Narrow" w:cs="Arial"/>
          <w:color w:val="0000FF"/>
        </w:rPr>
      </w:pPr>
    </w:p>
    <w:p w:rsidR="00090168" w:rsidRPr="008513BD" w:rsidRDefault="00090168" w:rsidP="00090168">
      <w:pPr>
        <w:rPr>
          <w:rFonts w:ascii="Arial Narrow" w:hAnsi="Arial Narrow" w:cs="Arial"/>
          <w:color w:val="0000FF"/>
        </w:rPr>
      </w:pPr>
    </w:p>
    <w:p w:rsidR="00090168" w:rsidRPr="008513BD" w:rsidRDefault="00090168" w:rsidP="00090168">
      <w:pPr>
        <w:rPr>
          <w:rFonts w:ascii="Arial Narrow" w:hAnsi="Arial Narrow" w:cs="Arial"/>
          <w:color w:val="0000FF"/>
        </w:rPr>
      </w:pPr>
      <w:r w:rsidRPr="008513BD">
        <w:rPr>
          <w:rFonts w:ascii="Arial Narrow" w:hAnsi="Arial Narrow" w:cs="Arial"/>
          <w:color w:val="0000FF"/>
        </w:rPr>
        <w:t>National Kidney Foundation. KDOQI Clinical Practice Guidelines and Clinical Practice Recommendations for 2006 Updates: Hemodialysis Adequacy, Peritoneal Dialysis Adequacy and Vascular Access. Am J Kidney Dis 48:S1-S322, 2006 (suppl 1)</w:t>
      </w:r>
    </w:p>
    <w:p w:rsidR="00D14F0B" w:rsidRPr="003B1CC5" w:rsidRDefault="00D14F0B" w:rsidP="002E2177">
      <w:pPr>
        <w:ind w:left="0" w:firstLine="0"/>
      </w:pPr>
    </w:p>
    <w:p w:rsidR="00496AF8" w:rsidRPr="003B1CC5" w:rsidRDefault="00C5180E" w:rsidP="002E2177">
      <w:pPr>
        <w:ind w:left="0" w:firstLine="0"/>
        <w:rPr>
          <w:b/>
        </w:rPr>
      </w:pPr>
      <w:r w:rsidRPr="003B1CC5">
        <w:rPr>
          <w:b/>
        </w:rPr>
        <w:t>ESTIMATES OF BENEFIT AND CONSISTENCY ACROSS STUDIES IN BODY OF EVIDENCE</w:t>
      </w:r>
    </w:p>
    <w:p w:rsidR="00496AF8" w:rsidRPr="003B1CC5" w:rsidRDefault="001B772D" w:rsidP="002E2177">
      <w:pPr>
        <w:ind w:left="432" w:hanging="432"/>
      </w:pPr>
      <w:r w:rsidRPr="003B1CC5">
        <w:rPr>
          <w:b/>
          <w:color w:val="0000FF"/>
        </w:rPr>
        <w:lastRenderedPageBreak/>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496AF8" w:rsidRPr="003B1CC5" w:rsidRDefault="00496AF8" w:rsidP="002E2177">
      <w:pPr>
        <w:ind w:left="0" w:firstLine="0"/>
      </w:pPr>
    </w:p>
    <w:p w:rsidR="00DC59DC" w:rsidRPr="00CD35D2" w:rsidRDefault="00DC59DC" w:rsidP="00DC59DC">
      <w:pPr>
        <w:rPr>
          <w:rFonts w:ascii="Arial Narrow" w:hAnsi="Arial Narrow" w:cs="Arial"/>
          <w:bCs/>
          <w:color w:val="0000FF"/>
        </w:rPr>
      </w:pPr>
      <w:r>
        <w:rPr>
          <w:rFonts w:ascii="Arial Narrow" w:hAnsi="Arial Narrow" w:cs="Arial"/>
          <w:bCs/>
          <w:color w:val="0000FF"/>
        </w:rPr>
        <w:t>The [NKF] Work Group focused more intently on the target dose and its relationship with the minimum dose which, in light of HEMO Study findings, remains 1.2 Kt/V units per dialysis for patients dialyzed 3 times per week. Data from the HEMO Study also revealed a coefficient of variation within patients of approximately 0.1 Kt/V units; therefore, the previous target of 1.3 was considered too low. To grant 95% confidence that the dose will not decrease to less than 1.2 per dialysis, the target dose was increased to 1.4 per dialysis. This is in keeping with current practice and is consistent with the target spKt/V of approximately 1.4 set by the European Standards Group.12 The Work Group favored high-flux membranes. The HEMO Study did not provide definitive answers, but data suggested that dialysis vintage and flux are related and CVD might be affected favorably by the use of high-flux dialysis. The issue of sex also was addressed by the [NKF] Work Group, which believed that dialysis doses and targets should remain the same in women compared with men. However, in light of suggestive findings from the HEMO Study and observational studies, clinicians should be aware of a possible increased responsiveness to dialysis in females compared with males.</w:t>
      </w:r>
    </w:p>
    <w:p w:rsidR="00DC59DC" w:rsidRDefault="00DC59DC" w:rsidP="00DC59DC">
      <w:pPr>
        <w:rPr>
          <w:rFonts w:ascii="Arial Narrow" w:hAnsi="Arial Narrow" w:cs="Arial"/>
          <w:bCs/>
          <w:color w:val="0000FF"/>
        </w:rPr>
      </w:pPr>
    </w:p>
    <w:p w:rsidR="009B5BEA" w:rsidRPr="003B1CC5" w:rsidRDefault="009B5BEA" w:rsidP="002E2177">
      <w:pPr>
        <w:ind w:left="0" w:firstLine="0"/>
      </w:pPr>
    </w:p>
    <w:p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rsidR="00DC59DC" w:rsidRDefault="00DC59DC" w:rsidP="00DC59DC">
      <w:pPr>
        <w:rPr>
          <w:rFonts w:ascii="Arial Narrow" w:hAnsi="Arial Narrow" w:cs="Arial"/>
          <w:bCs/>
          <w:color w:val="0000FF"/>
        </w:rPr>
      </w:pPr>
      <w:r>
        <w:rPr>
          <w:rFonts w:ascii="Arial Narrow" w:hAnsi="Arial Narrow" w:cs="Arial"/>
          <w:bCs/>
          <w:color w:val="0000FF"/>
        </w:rPr>
        <w:t>Concern was raised by the Work Group about malnourished patients with respect to both the initiation and adequacy of HD. Initiation is confounded by errors in calculation of glomerular filtration rate (GFR) for patients with diminishing muscle mass, and adequacy is confounded by the effect of malnutrition on patients´ water volume (V), the denominator of the integrated urea clearance expression (Kt/V). Estimation equations for calculating GFR before starting dialysis therapy are based on serum creatinine level, but are adjusted for sex, size, race, and other factors that tend to alter the relationship between concentration and clearance. Most of these factors either increase or decrease the generation of creatinine, but the patient´s state of nutrition—which is well known to affect creatinine generation—is not a variable in this equation. The consequent error in malnourished patients would tend to underestimate GFR and thus endanger the patient from the ill consequences of the delayed initiation of dialysis therapy. In addition, if the patient is malnourished, dialysis probably is better started early.</w:t>
      </w:r>
    </w:p>
    <w:p w:rsidR="00DC59DC" w:rsidRDefault="00DC59DC" w:rsidP="00DC59DC">
      <w:pPr>
        <w:rPr>
          <w:rFonts w:ascii="Arial Narrow" w:hAnsi="Arial Narrow" w:cs="Arial"/>
          <w:bCs/>
          <w:color w:val="0000FF"/>
        </w:rPr>
      </w:pPr>
    </w:p>
    <w:p w:rsidR="00DC59DC" w:rsidRDefault="00DC59DC" w:rsidP="00DC59DC">
      <w:pPr>
        <w:rPr>
          <w:rFonts w:ascii="Arial Narrow" w:hAnsi="Arial Narrow" w:cs="Arial"/>
          <w:bCs/>
          <w:color w:val="0000FF"/>
        </w:rPr>
      </w:pPr>
      <w:r>
        <w:rPr>
          <w:rFonts w:ascii="Arial Narrow" w:hAnsi="Arial Narrow" w:cs="Arial"/>
          <w:bCs/>
          <w:color w:val="0000FF"/>
        </w:rPr>
        <w:t>After a patient starts dialysis therapy, loss of weight because of malnutrition will decrease V, increasing the Kt/V, potentially to values higher than the desired target range. Reducing the dialysis dose (Kt/V) in such patients may lead to potential harm from inadequate dialysis. The Work Group addressed this problem in Clinical Practice Recommendation (CPR) 4.6, which calls for an increase in Kt/V when signs of malnutrition are present. The magnitude of the increase is left to the clinician, who might take into consideration the absolute level of Kt/V and cause of the malnutrition. If Kt/V is already much greater than the minimum, an additional increase probably would not benefit the patient. Similarly, if malnutrition is caused by a condition other than uremia, increasing the dose may have no effect. This issue will require revisiting in the future, hopefully with more available hard data.</w:t>
      </w:r>
    </w:p>
    <w:p w:rsidR="00DC59DC" w:rsidRDefault="00DC59DC" w:rsidP="00DC59DC">
      <w:pPr>
        <w:rPr>
          <w:rFonts w:ascii="Arial Narrow" w:hAnsi="Arial Narrow" w:cs="Arial"/>
          <w:bCs/>
          <w:color w:val="0000FF"/>
        </w:rPr>
      </w:pPr>
    </w:p>
    <w:p w:rsidR="00496AF8" w:rsidRPr="003B1CC5" w:rsidRDefault="00496AF8" w:rsidP="002E2177">
      <w:pPr>
        <w:ind w:left="0" w:firstLine="0"/>
      </w:pPr>
    </w:p>
    <w:p w:rsidR="00496AF8" w:rsidRPr="003B1CC5" w:rsidRDefault="00C5180E" w:rsidP="002E2177">
      <w:pPr>
        <w:ind w:left="0" w:firstLine="0"/>
        <w:rPr>
          <w:b/>
          <w:noProof/>
        </w:rPr>
      </w:pPr>
      <w:r w:rsidRPr="003B1CC5">
        <w:rPr>
          <w:b/>
          <w:noProof/>
        </w:rPr>
        <w:t>UPDATE TO THE SYSTEMATIC REVIEW(S) OF THE BODY OF EVIDENCE</w:t>
      </w:r>
    </w:p>
    <w:p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837121" w:rsidRPr="003B1CC5" w:rsidRDefault="00DC59DC" w:rsidP="002E2177">
      <w:pPr>
        <w:ind w:left="0" w:firstLine="0"/>
        <w:rPr>
          <w:b/>
          <w:color w:val="0070C0"/>
        </w:rPr>
      </w:pPr>
      <w:r>
        <w:rPr>
          <w:b/>
          <w:color w:val="0070C0"/>
        </w:rPr>
        <w:t>N/a</w:t>
      </w:r>
    </w:p>
    <w:p w:rsidR="0094689F" w:rsidRPr="003B1CC5" w:rsidRDefault="00925F11" w:rsidP="002E2177">
      <w:pPr>
        <w:ind w:left="0" w:firstLine="0"/>
        <w:rPr>
          <w:b/>
          <w:color w:val="0070C0"/>
        </w:rPr>
      </w:pPr>
      <w:r w:rsidRPr="003B1CC5">
        <w:rPr>
          <w:b/>
          <w:iCs/>
          <w:caps/>
        </w:rPr>
        <w:t>_________________________</w:t>
      </w:r>
    </w:p>
    <w:p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837121" w:rsidRPr="003B1CC5" w:rsidRDefault="00837121" w:rsidP="002E2177">
      <w:pPr>
        <w:ind w:left="0" w:firstLine="0"/>
      </w:pPr>
    </w:p>
    <w:p w:rsidR="00837121" w:rsidRPr="003B1CC5" w:rsidRDefault="00837121" w:rsidP="002E2177">
      <w:pPr>
        <w:ind w:left="0" w:firstLine="0"/>
      </w:pPr>
      <w:r w:rsidRPr="003B1CC5">
        <w:rPr>
          <w:b/>
          <w:color w:val="0000FF"/>
        </w:rPr>
        <w:lastRenderedPageBreak/>
        <w:t>1a.8.1</w:t>
      </w:r>
      <w:r w:rsidRPr="003B1CC5">
        <w:rPr>
          <w:color w:val="0070C0"/>
        </w:rPr>
        <w:t xml:space="preserve"> </w:t>
      </w:r>
      <w:r w:rsidRPr="003B1CC5">
        <w:rPr>
          <w:b/>
        </w:rPr>
        <w:t>What process was used to identify the evidence?</w:t>
      </w:r>
    </w:p>
    <w:p w:rsidR="00837121" w:rsidRPr="003B1CC5" w:rsidRDefault="00837121" w:rsidP="002E2177">
      <w:pPr>
        <w:ind w:left="0" w:firstLine="0"/>
      </w:pPr>
    </w:p>
    <w:p w:rsidR="00837121" w:rsidRPr="001B772D" w:rsidRDefault="00837121" w:rsidP="002E2177">
      <w:pPr>
        <w:ind w:left="0" w:firstLine="0"/>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sectPr w:rsidR="00837121" w:rsidRPr="001B772D">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687" w:rsidRDefault="00440687" w:rsidP="007E37A5">
      <w:r>
        <w:separator/>
      </w:r>
    </w:p>
  </w:endnote>
  <w:endnote w:type="continuationSeparator" w:id="0">
    <w:p w:rsidR="00440687" w:rsidRDefault="0044068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067640">
      <w:rPr>
        <w:noProof/>
      </w:rPr>
      <w:t>3</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687" w:rsidRDefault="00440687" w:rsidP="007E37A5">
      <w:r>
        <w:separator/>
      </w:r>
    </w:p>
  </w:footnote>
  <w:footnote w:type="continuationSeparator" w:id="0">
    <w:p w:rsidR="00440687" w:rsidRDefault="00440687"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67640"/>
    <w:rsid w:val="00073079"/>
    <w:rsid w:val="0007593F"/>
    <w:rsid w:val="00090168"/>
    <w:rsid w:val="00095EC9"/>
    <w:rsid w:val="00096A37"/>
    <w:rsid w:val="000A0810"/>
    <w:rsid w:val="000B627F"/>
    <w:rsid w:val="000D649E"/>
    <w:rsid w:val="000D6D06"/>
    <w:rsid w:val="00114848"/>
    <w:rsid w:val="00120934"/>
    <w:rsid w:val="00132070"/>
    <w:rsid w:val="00141875"/>
    <w:rsid w:val="0014347E"/>
    <w:rsid w:val="00154438"/>
    <w:rsid w:val="001551F6"/>
    <w:rsid w:val="0015535B"/>
    <w:rsid w:val="00162036"/>
    <w:rsid w:val="001632DD"/>
    <w:rsid w:val="00176E60"/>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54E0"/>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E039E"/>
    <w:rsid w:val="00422917"/>
    <w:rsid w:val="00440687"/>
    <w:rsid w:val="0044131D"/>
    <w:rsid w:val="00441ADA"/>
    <w:rsid w:val="00457E46"/>
    <w:rsid w:val="00496AF8"/>
    <w:rsid w:val="004A575D"/>
    <w:rsid w:val="004B65C6"/>
    <w:rsid w:val="004D1DC7"/>
    <w:rsid w:val="004F7D7E"/>
    <w:rsid w:val="00500B0C"/>
    <w:rsid w:val="00537150"/>
    <w:rsid w:val="00540984"/>
    <w:rsid w:val="00543851"/>
    <w:rsid w:val="0055559D"/>
    <w:rsid w:val="005569AE"/>
    <w:rsid w:val="005857F8"/>
    <w:rsid w:val="005B0D18"/>
    <w:rsid w:val="005B12C3"/>
    <w:rsid w:val="005B409D"/>
    <w:rsid w:val="005D0FDB"/>
    <w:rsid w:val="005D25E9"/>
    <w:rsid w:val="005D6D59"/>
    <w:rsid w:val="00617390"/>
    <w:rsid w:val="00623420"/>
    <w:rsid w:val="00634768"/>
    <w:rsid w:val="0063596F"/>
    <w:rsid w:val="006709EB"/>
    <w:rsid w:val="00672824"/>
    <w:rsid w:val="0068184A"/>
    <w:rsid w:val="006B5C51"/>
    <w:rsid w:val="006C7F30"/>
    <w:rsid w:val="006E6FDD"/>
    <w:rsid w:val="006E7C74"/>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84F09"/>
    <w:rsid w:val="007C0297"/>
    <w:rsid w:val="007C1887"/>
    <w:rsid w:val="007D4775"/>
    <w:rsid w:val="007D5DC6"/>
    <w:rsid w:val="007E37A5"/>
    <w:rsid w:val="007F49D8"/>
    <w:rsid w:val="00805940"/>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F1DC6"/>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91A47"/>
    <w:rsid w:val="00A95D2B"/>
    <w:rsid w:val="00AA5587"/>
    <w:rsid w:val="00AC1E53"/>
    <w:rsid w:val="00AD79C8"/>
    <w:rsid w:val="00AE6CE0"/>
    <w:rsid w:val="00B058A6"/>
    <w:rsid w:val="00B117D0"/>
    <w:rsid w:val="00B13998"/>
    <w:rsid w:val="00B439DD"/>
    <w:rsid w:val="00B467DD"/>
    <w:rsid w:val="00B52E0F"/>
    <w:rsid w:val="00B72405"/>
    <w:rsid w:val="00B74629"/>
    <w:rsid w:val="00B91F58"/>
    <w:rsid w:val="00BA579E"/>
    <w:rsid w:val="00BE2295"/>
    <w:rsid w:val="00BE6373"/>
    <w:rsid w:val="00BF533A"/>
    <w:rsid w:val="00C46677"/>
    <w:rsid w:val="00C5180E"/>
    <w:rsid w:val="00C54E40"/>
    <w:rsid w:val="00C55F56"/>
    <w:rsid w:val="00C57BA4"/>
    <w:rsid w:val="00C613EB"/>
    <w:rsid w:val="00C84623"/>
    <w:rsid w:val="00CB06C9"/>
    <w:rsid w:val="00CB1E41"/>
    <w:rsid w:val="00CB271C"/>
    <w:rsid w:val="00CE4F96"/>
    <w:rsid w:val="00CF0AB1"/>
    <w:rsid w:val="00CF4B9B"/>
    <w:rsid w:val="00CF55E6"/>
    <w:rsid w:val="00CF772F"/>
    <w:rsid w:val="00D048DB"/>
    <w:rsid w:val="00D14F0B"/>
    <w:rsid w:val="00D178CA"/>
    <w:rsid w:val="00D3311C"/>
    <w:rsid w:val="00D53405"/>
    <w:rsid w:val="00D5457B"/>
    <w:rsid w:val="00D72995"/>
    <w:rsid w:val="00DA7FA2"/>
    <w:rsid w:val="00DC2D8D"/>
    <w:rsid w:val="00DC59DC"/>
    <w:rsid w:val="00DE1F5D"/>
    <w:rsid w:val="00DE50D8"/>
    <w:rsid w:val="00DF278A"/>
    <w:rsid w:val="00E1664B"/>
    <w:rsid w:val="00E30D12"/>
    <w:rsid w:val="00E3394E"/>
    <w:rsid w:val="00E35241"/>
    <w:rsid w:val="00E41417"/>
    <w:rsid w:val="00E536D3"/>
    <w:rsid w:val="00E57BE2"/>
    <w:rsid w:val="00E62A95"/>
    <w:rsid w:val="00E746A2"/>
    <w:rsid w:val="00E90D06"/>
    <w:rsid w:val="00E928D6"/>
    <w:rsid w:val="00E97E59"/>
    <w:rsid w:val="00EA79C9"/>
    <w:rsid w:val="00EB66AC"/>
    <w:rsid w:val="00EC2247"/>
    <w:rsid w:val="00EE1F87"/>
    <w:rsid w:val="00EE3931"/>
    <w:rsid w:val="00EE5AF6"/>
    <w:rsid w:val="00EF2CEF"/>
    <w:rsid w:val="00F1092D"/>
    <w:rsid w:val="00F42C20"/>
    <w:rsid w:val="00F431D8"/>
    <w:rsid w:val="00F67706"/>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kidney.org/sites/default/files/docs/12-50-0210_jag_dcp_guidelines-hd_oct06_sectiona_ofc.pdf"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5" Type="http://schemas.openxmlformats.org/officeDocument/2006/relationships/settings" Target="settings.xml"/><Relationship Id="rId15" Type="http://schemas.openxmlformats.org/officeDocument/2006/relationships/hyperlink" Target="http://www.ajkd.org/article/S0272-6386%2806%2900554-3/fulltext" TargetMode="External"/><Relationship Id="rId10" Type="http://schemas.openxmlformats.org/officeDocument/2006/relationships/hyperlink" Target="http://www.uspreventiveservicestaskforce.org/uspstf/grades.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962214A8263E430591B9ED4CADA7154B"/>
        <w:category>
          <w:name w:val="General"/>
          <w:gallery w:val="placeholder"/>
        </w:category>
        <w:types>
          <w:type w:val="bbPlcHdr"/>
        </w:types>
        <w:behaviors>
          <w:behavior w:val="content"/>
        </w:behaviors>
        <w:guid w:val="{6E3CE5A7-29EC-4E89-8AC1-E9F841A8DE65}"/>
      </w:docPartPr>
      <w:docPartBody>
        <w:p w:rsidR="00815D3B" w:rsidRDefault="005F21F3" w:rsidP="005F21F3">
          <w:pPr>
            <w:pStyle w:val="962214A8263E430591B9ED4CADA7154B"/>
          </w:pPr>
          <w:r w:rsidRPr="003B1CC5">
            <w:rPr>
              <w:color w:val="A6A6A6" w:themeColor="background1" w:themeShade="A6"/>
            </w:rPr>
            <w:t>Click here to n</w:t>
          </w:r>
          <w:r w:rsidRPr="003B1CC5">
            <w:rPr>
              <w:rStyle w:val="PlaceholderText"/>
              <w:rFonts w:cstheme="minorHAnsi"/>
              <w:color w:val="A6A6A6" w:themeColor="background1" w:themeShade="A6"/>
            </w:rPr>
            <w:t xml:space="preserve">ame the </w:t>
          </w:r>
          <w:r>
            <w:rPr>
              <w:rStyle w:val="PlaceholderText"/>
              <w:rFonts w:cstheme="minorHAnsi"/>
              <w:color w:val="A6A6A6" w:themeColor="background1" w:themeShade="A6"/>
            </w:rPr>
            <w:t>PRO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B5F47"/>
    <w:rsid w:val="003A1E4B"/>
    <w:rsid w:val="00455EB5"/>
    <w:rsid w:val="00461C1C"/>
    <w:rsid w:val="004E2027"/>
    <w:rsid w:val="00585CDE"/>
    <w:rsid w:val="005F21F3"/>
    <w:rsid w:val="00815D3B"/>
    <w:rsid w:val="008F6A9B"/>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85CDE"/>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6373117BA6D04F7BBBDA081CAF78065C">
    <w:name w:val="6373117BA6D04F7BBBDA081CAF78065C"/>
    <w:rsid w:val="00585CD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85CDE"/>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6373117BA6D04F7BBBDA081CAF78065C">
    <w:name w:val="6373117BA6D04F7BBBDA081CAF78065C"/>
    <w:rsid w:val="00585CD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12683-5DC9-498E-83F4-BF6344FBC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3831</Words>
  <Characters>21838</Characters>
  <Application>Microsoft Office Word</Application>
  <DocSecurity>4</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25618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Amy Beckrich</cp:lastModifiedBy>
  <cp:revision>2</cp:revision>
  <cp:lastPrinted>2015-03-11T18:57:00Z</cp:lastPrinted>
  <dcterms:created xsi:type="dcterms:W3CDTF">2015-04-20T14:17:00Z</dcterms:created>
  <dcterms:modified xsi:type="dcterms:W3CDTF">2015-04-20T14:17:00Z</dcterms:modified>
</cp:coreProperties>
</file>