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howingPlcHdr/>
        </w:sdtPr>
        <w:sdtEndPr>
          <w:rPr>
            <w:rStyle w:val="DefaultParagraphFont"/>
            <w:rFonts w:cstheme="minorHAnsi"/>
            <w:b/>
            <w:noProof/>
            <w:color w:val="auto"/>
          </w:rPr>
        </w:sdtEndPr>
        <w:sdtContent>
          <w:r w:rsidRPr="00870134">
            <w:rPr>
              <w:rStyle w:val="PlaceholderText"/>
            </w:rPr>
            <w:t xml:space="preserve">Click here to enter </w:t>
          </w:r>
          <w:r>
            <w:rPr>
              <w:rStyle w:val="PlaceholderText"/>
            </w:rPr>
            <w:t>NQF number</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howingPlcHdr/>
        </w:sdtPr>
        <w:sdtEndPr>
          <w:rPr>
            <w:rStyle w:val="DefaultParagraphFont"/>
            <w:noProof/>
            <w:color w:val="auto"/>
          </w:rPr>
        </w:sdtEndPr>
        <w:sdtContent>
          <w:r w:rsidRPr="00A25024">
            <w:rPr>
              <w:rStyle w:val="PlaceholderText"/>
              <w:rFonts w:cstheme="minorHAnsi"/>
              <w:color w:val="A6A6A6" w:themeColor="background1" w:themeShade="A6"/>
            </w:rPr>
            <w:t>Click here to enter measure title</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showingPlcHdr/>
          <w:date>
            <w:dateFormat w:val="M/d/yyyy"/>
            <w:lid w:val="en-US"/>
            <w:storeMappedDataAs w:val="dateTime"/>
            <w:calendar w:val="gregorian"/>
          </w:date>
        </w:sdtPr>
        <w:sdtEndPr>
          <w:rPr>
            <w:rStyle w:val="DefaultParagraphFont"/>
            <w:noProof/>
            <w:color w:val="auto"/>
            <w:u w:val="none"/>
          </w:rPr>
        </w:sdtEndPr>
        <w:sdtContent>
          <w:r w:rsidRPr="00A25024">
            <w:rPr>
              <w:rStyle w:val="PlaceholderText"/>
              <w:rFonts w:cstheme="minorHAnsi"/>
              <w:color w:val="A6A6A6" w:themeColor="background1" w:themeShade="A6"/>
            </w:rPr>
            <w:t>Click here to enter a date</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BA145D"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BA145D"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BA145D"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BA145D"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BA145D" w:rsidP="00CD364B">
            <w:pPr>
              <w:autoSpaceDE w:val="0"/>
              <w:autoSpaceDN w:val="0"/>
              <w:adjustRightInd w:val="0"/>
              <w:rPr>
                <w:rFonts w:cstheme="minorHAnsi"/>
                <w:bCs/>
              </w:rPr>
            </w:pPr>
            <w:sdt>
              <w:sdtPr>
                <w:rPr>
                  <w:rFonts w:cstheme="minorHAnsi"/>
                  <w:bCs/>
                  <w:color w:val="0000FF"/>
                </w:rPr>
                <w:id w:val="158171978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BA145D"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BA145D"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BA145D"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BA145D"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BA145D"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BA145D" w:rsidP="00DB3627">
            <w:pPr>
              <w:autoSpaceDE w:val="0"/>
              <w:autoSpaceDN w:val="0"/>
              <w:adjustRightInd w:val="0"/>
              <w:rPr>
                <w:rFonts w:cstheme="minorHAnsi"/>
                <w:bCs/>
              </w:rPr>
            </w:pPr>
            <w:sdt>
              <w:sdtPr>
                <w:rPr>
                  <w:rFonts w:cstheme="minorHAnsi"/>
                  <w:bCs/>
                  <w:color w:val="0000FF"/>
                </w:rPr>
                <w:id w:val="751091068"/>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BA145D" w:rsidP="00DB3627">
            <w:pPr>
              <w:autoSpaceDE w:val="0"/>
              <w:autoSpaceDN w:val="0"/>
              <w:adjustRightInd w:val="0"/>
              <w:rPr>
                <w:rFonts w:cstheme="minorHAnsi"/>
                <w:bCs/>
              </w:rPr>
            </w:pPr>
            <w:sdt>
              <w:sdtPr>
                <w:rPr>
                  <w:rFonts w:cstheme="minorHAnsi"/>
                  <w:bCs/>
                  <w:color w:val="0000FF"/>
                </w:rPr>
                <w:id w:val="547026371"/>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BA145D"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BA145D"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BA145D"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BA145D"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BA145D"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BA145D"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text/>
        </w:sdtPr>
        <w:sdtEndPr>
          <w:rPr>
            <w:rStyle w:val="DefaultParagraphFont"/>
            <w:rFonts w:cstheme="minorHAnsi"/>
            <w:color w:val="auto"/>
          </w:rPr>
        </w:sdtEndPr>
        <w:sdtContent>
          <w:r w:rsidR="00AB6509">
            <w:rPr>
              <w:rStyle w:val="Style1"/>
            </w:rPr>
            <w:t>2007-2008</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BA145D" w:rsidP="00D61410">
            <w:pPr>
              <w:autoSpaceDE w:val="0"/>
              <w:autoSpaceDN w:val="0"/>
              <w:adjustRightInd w:val="0"/>
              <w:rPr>
                <w:rFonts w:cstheme="minorHAnsi"/>
                <w:bCs/>
              </w:rPr>
            </w:pPr>
            <w:sdt>
              <w:sdtPr>
                <w:rPr>
                  <w:rFonts w:cstheme="minorHAnsi"/>
                  <w:bCs/>
                  <w:color w:val="0000FF"/>
                </w:rPr>
                <w:id w:val="447514278"/>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BA145D" w:rsidP="00D61410">
            <w:pPr>
              <w:autoSpaceDE w:val="0"/>
              <w:autoSpaceDN w:val="0"/>
              <w:adjustRightInd w:val="0"/>
              <w:rPr>
                <w:rFonts w:cstheme="minorHAnsi"/>
                <w:bCs/>
              </w:rPr>
            </w:pPr>
            <w:sdt>
              <w:sdtPr>
                <w:rPr>
                  <w:rFonts w:cstheme="minorHAnsi"/>
                  <w:bCs/>
                  <w:color w:val="0000FF"/>
                </w:rPr>
                <w:id w:val="1571624283"/>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BA145D" w:rsidP="00D61410">
            <w:pPr>
              <w:autoSpaceDE w:val="0"/>
              <w:autoSpaceDN w:val="0"/>
              <w:adjustRightInd w:val="0"/>
              <w:rPr>
                <w:rFonts w:cstheme="minorHAnsi"/>
                <w:bCs/>
              </w:rPr>
            </w:pPr>
            <w:sdt>
              <w:sdtPr>
                <w:rPr>
                  <w:rFonts w:cstheme="minorHAnsi"/>
                  <w:bCs/>
                  <w:color w:val="0000FF"/>
                </w:rPr>
                <w:id w:val="-834455086"/>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BA145D" w:rsidP="00D61410">
            <w:pPr>
              <w:autoSpaceDE w:val="0"/>
              <w:autoSpaceDN w:val="0"/>
              <w:adjustRightInd w:val="0"/>
              <w:rPr>
                <w:rFonts w:cstheme="minorHAnsi"/>
                <w:bCs/>
              </w:rPr>
            </w:pPr>
            <w:sdt>
              <w:sdtPr>
                <w:rPr>
                  <w:rFonts w:cstheme="minorHAnsi"/>
                  <w:bCs/>
                  <w:color w:val="0000FF"/>
                </w:rPr>
                <w:id w:val="-412627602"/>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BA145D"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BA145D"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BA145D"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BA145D"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BA145D"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BA145D"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AB6509" w:rsidRPr="00CD35D2" w:rsidRDefault="002B5016" w:rsidP="00AB6509">
      <w:pPr>
        <w:spacing w:after="0" w:line="240" w:lineRule="auto"/>
        <w:rPr>
          <w:rFonts w:ascii="Arial Narrow" w:hAnsi="Arial Narrow" w:cs="Arial"/>
          <w:color w:val="0000FF"/>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r w:rsidR="004348CC" w:rsidRPr="00A25024">
        <w:rPr>
          <w:rFonts w:cstheme="minorHAnsi"/>
          <w:bCs/>
        </w:rPr>
        <w:br/>
      </w:r>
      <w:r w:rsidR="00AB6509" w:rsidRPr="00CD35D2">
        <w:rPr>
          <w:rFonts w:ascii="Arial Narrow" w:hAnsi="Arial Narrow" w:cs="Arial"/>
          <w:color w:val="0000FF"/>
        </w:rPr>
        <w:t>Four nephrology practice sites representing various types, locations and sizes were identified to participate in testing the measures</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The number of physicians per site ranged from 5-62 physicians</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 xml:space="preserve">The sites were located in four different regions: Midwestern, Western, Eastern, and Southern </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Patient visit volume ranged from 240-2,800 ESRD patients seen per month</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Sample size per physician organization ranged from 24-30 (as shown below) for a total of 169 ESRD patients on Peritoneal Dialysis (PD), or Hemodialysis (HD)</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lastRenderedPageBreak/>
        <w:t>o</w:t>
      </w:r>
      <w:r w:rsidRPr="00CD35D2">
        <w:rPr>
          <w:rFonts w:ascii="Arial Narrow" w:hAnsi="Arial Narrow" w:cs="Arial"/>
          <w:color w:val="0000FF"/>
        </w:rPr>
        <w:tab/>
        <w:t>Site 1: 27 ESRD patients (3 PD patients, 24 HD patients)</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2 :40 ESRD patients (10 PD patients, 30 HD patients)</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3 :42 ESRD patients (19 PD patients, 23 HD patients)</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4 : 60 ESRD patients (30 PD patients, 30 HD patients)</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Sample selection: Data were collected from the medical records of the first up to 35 ESRD patients on each type of dialysis seen at each site after July 1, 2007.</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Data abstraction was completed for multiple patient visits per patient for a total of  2012 patient visits. </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Data abstraction was performed in 2008.</w:t>
      </w:r>
    </w:p>
    <w:p w:rsidR="002E78A0" w:rsidRDefault="002E78A0" w:rsidP="00AB6509">
      <w:pPr>
        <w:autoSpaceDE w:val="0"/>
        <w:autoSpaceDN w:val="0"/>
        <w:adjustRightInd w:val="0"/>
        <w:spacing w:after="0" w:line="240" w:lineRule="auto"/>
        <w:rPr>
          <w:rFonts w:cstheme="minorHAnsi"/>
          <w:bCs/>
        </w:rPr>
      </w:pPr>
    </w:p>
    <w:p w:rsidR="002B5016" w:rsidRPr="00A25024" w:rsidRDefault="002B5016" w:rsidP="00AB6509">
      <w:pPr>
        <w:autoSpaceDE w:val="0"/>
        <w:autoSpaceDN w:val="0"/>
        <w:adjustRightInd w:val="0"/>
        <w:spacing w:after="0" w:line="240" w:lineRule="auto"/>
        <w:rPr>
          <w:rFonts w:cstheme="minorHAnsi"/>
          <w:bCs/>
        </w:rPr>
      </w:pPr>
    </w:p>
    <w:p w:rsidR="00AB6509" w:rsidRDefault="002B5016" w:rsidP="00AB6509">
      <w:pPr>
        <w:spacing w:after="0" w:line="240" w:lineRule="auto"/>
        <w:rPr>
          <w:rFonts w:ascii="Arial Narrow" w:hAnsi="Arial Narrow" w:cs="Arial"/>
          <w:b/>
          <w:color w:val="0000FF"/>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7422FD" w:rsidRPr="00A25024">
        <w:rPr>
          <w:rFonts w:cstheme="minorHAnsi"/>
          <w:bCs/>
        </w:rPr>
        <w:br/>
      </w:r>
      <w:r w:rsidR="00AB6509" w:rsidRPr="004847B5">
        <w:rPr>
          <w:rFonts w:ascii="Arial Narrow" w:hAnsi="Arial Narrow" w:cs="Arial"/>
          <w:b/>
          <w:color w:val="0000FF"/>
        </w:rPr>
        <w:t>Number of Records Sampled</w:t>
      </w:r>
    </w:p>
    <w:p w:rsidR="00AB6509" w:rsidRPr="00E95C1B" w:rsidRDefault="00AB6509" w:rsidP="00AB6509">
      <w:pPr>
        <w:spacing w:after="0" w:line="240" w:lineRule="auto"/>
        <w:rPr>
          <w:rFonts w:ascii="Arial Narrow" w:hAnsi="Arial Narrow" w:cs="Arial"/>
          <w:b/>
          <w:color w:val="0000FF"/>
        </w:rPr>
      </w:pPr>
      <w:r w:rsidRPr="004847B5">
        <w:rPr>
          <w:rFonts w:ascii="Arial Narrow" w:hAnsi="Arial Narrow" w:cs="Arial"/>
          <w:color w:val="0000FF"/>
        </w:rPr>
        <w:t xml:space="preserve">30 records for CKD and 30 records for ESRD were sampled at each of the 4 practice sites. </w:t>
      </w:r>
    </w:p>
    <w:p w:rsidR="00AB6509" w:rsidRPr="004847B5" w:rsidRDefault="00AB6509" w:rsidP="00AB6509">
      <w:pPr>
        <w:autoSpaceDE w:val="0"/>
        <w:autoSpaceDN w:val="0"/>
        <w:adjustRightInd w:val="0"/>
        <w:spacing w:after="0" w:line="240" w:lineRule="auto"/>
        <w:rPr>
          <w:rFonts w:ascii="Arial Narrow" w:hAnsi="Arial Narrow" w:cs="Arial"/>
          <w:color w:val="0000FF"/>
        </w:rPr>
      </w:pPr>
      <w:r w:rsidRPr="004847B5">
        <w:rPr>
          <w:rFonts w:ascii="Arial Narrow" w:hAnsi="Arial Narrow" w:cs="Arial"/>
          <w:color w:val="0000FF"/>
        </w:rPr>
        <w:t>Samples of 112 CKD patients and 169 ESRD patients (62 with PD and 107 with HD), provides ample power with 5% statistical significance, power of 0.80 to 0.90, substantial agreement (kappa = 0.8) versus moderate agreement (kappa = 0.4), and trait prevalence of 0.5 to 0.75.</w:t>
      </w:r>
    </w:p>
    <w:p w:rsidR="00AB6509" w:rsidRPr="004847B5" w:rsidRDefault="00AB6509" w:rsidP="00AB6509">
      <w:pPr>
        <w:autoSpaceDE w:val="0"/>
        <w:autoSpaceDN w:val="0"/>
        <w:adjustRightInd w:val="0"/>
        <w:rPr>
          <w:rFonts w:ascii="Arial Narrow" w:hAnsi="Arial Narrow" w:cs="Arial"/>
          <w:color w:val="0000FF"/>
        </w:rPr>
      </w:pPr>
      <w:r w:rsidRPr="004847B5">
        <w:rPr>
          <w:rFonts w:ascii="Arial Narrow" w:hAnsi="Arial Narrow" w:cs="Arial"/>
          <w:color w:val="0000FF"/>
        </w:rPr>
        <w:t>(See Donner and Eliasziw,1992; and Sims and Wright, 2005.)</w:t>
      </w:r>
    </w:p>
    <w:p w:rsidR="00AB6509" w:rsidRPr="004847B5" w:rsidRDefault="00AB6509" w:rsidP="00AB6509">
      <w:pPr>
        <w:autoSpaceDE w:val="0"/>
        <w:autoSpaceDN w:val="0"/>
        <w:adjustRightInd w:val="0"/>
        <w:spacing w:after="0" w:line="240" w:lineRule="auto"/>
        <w:rPr>
          <w:rFonts w:ascii="Arial Narrow" w:hAnsi="Arial Narrow" w:cs="Arial"/>
          <w:color w:val="0000FF"/>
        </w:rPr>
      </w:pPr>
      <w:r w:rsidRPr="004847B5">
        <w:rPr>
          <w:rFonts w:ascii="Arial Narrow" w:hAnsi="Arial Narrow" w:cs="Arial"/>
          <w:color w:val="0000FF"/>
        </w:rPr>
        <w:t xml:space="preserve">Donner A. </w:t>
      </w:r>
      <w:proofErr w:type="spellStart"/>
      <w:r w:rsidRPr="004847B5">
        <w:rPr>
          <w:rFonts w:ascii="Arial Narrow" w:hAnsi="Arial Narrow" w:cs="Arial"/>
          <w:color w:val="0000FF"/>
        </w:rPr>
        <w:t>Eliasziw</w:t>
      </w:r>
      <w:proofErr w:type="spellEnd"/>
      <w:r w:rsidRPr="004847B5">
        <w:rPr>
          <w:rFonts w:ascii="Arial Narrow" w:hAnsi="Arial Narrow" w:cs="Arial"/>
          <w:color w:val="0000FF"/>
        </w:rPr>
        <w:t xml:space="preserve"> M.  A goodness-of-fit approach to inference procedures for the kappa statistic: confidence interval construction, significance-testing and sample size estimation. Statistics in Medicine.1992;11(11):1511-9.</w:t>
      </w:r>
    </w:p>
    <w:p w:rsidR="00AB6509" w:rsidRPr="00E95C1B" w:rsidRDefault="00AB6509" w:rsidP="00AB6509">
      <w:pPr>
        <w:autoSpaceDE w:val="0"/>
        <w:autoSpaceDN w:val="0"/>
        <w:adjustRightInd w:val="0"/>
        <w:spacing w:after="0" w:line="240" w:lineRule="auto"/>
        <w:rPr>
          <w:rFonts w:ascii="Arial Narrow" w:hAnsi="Arial Narrow" w:cs="Arial"/>
          <w:color w:val="0000FF"/>
        </w:rPr>
      </w:pPr>
      <w:r w:rsidRPr="004847B5">
        <w:rPr>
          <w:rFonts w:ascii="Arial Narrow" w:hAnsi="Arial Narrow" w:cs="Arial"/>
          <w:color w:val="0000FF"/>
        </w:rPr>
        <w:t>Sims J, Wright CC. "Kappa Statistics in Reliability Studies: Use, Interpretation, and Sample Size Requirements. Physical Therapy.2005;85:257-268</w:t>
      </w:r>
      <w:r w:rsidRPr="004847B5">
        <w:rPr>
          <w:rFonts w:ascii="Arial Narrow" w:hAnsi="Arial Narrow" w:cs="Tahoma"/>
          <w:color w:val="0000FF"/>
        </w:rPr>
        <w:t>.</w:t>
      </w:r>
    </w:p>
    <w:p w:rsidR="00AB6509" w:rsidRPr="004847B5" w:rsidRDefault="00AB6509" w:rsidP="00AB6509">
      <w:pPr>
        <w:spacing w:after="0" w:line="240" w:lineRule="auto"/>
        <w:rPr>
          <w:rFonts w:ascii="Arial Narrow" w:hAnsi="Arial Narrow" w:cs="Arial"/>
          <w:b/>
          <w:color w:val="0000FF"/>
        </w:rPr>
      </w:pPr>
      <w:r>
        <w:rPr>
          <w:rFonts w:ascii="Arial Narrow" w:hAnsi="Arial Narrow" w:cs="Arial"/>
          <w:b/>
          <w:color w:val="0000FF"/>
        </w:rPr>
        <w:br/>
      </w:r>
      <w:r w:rsidRPr="004847B5">
        <w:rPr>
          <w:rFonts w:ascii="Arial Narrow" w:hAnsi="Arial Narrow" w:cs="Arial"/>
          <w:b/>
          <w:color w:val="0000FF"/>
        </w:rPr>
        <w:t>Sampling Method</w:t>
      </w:r>
    </w:p>
    <w:p w:rsidR="00AB6509" w:rsidRPr="004847B5" w:rsidRDefault="00AB6509" w:rsidP="00AB6509">
      <w:pPr>
        <w:numPr>
          <w:ilvl w:val="0"/>
          <w:numId w:val="27"/>
        </w:numPr>
        <w:spacing w:after="0" w:line="240" w:lineRule="auto"/>
        <w:rPr>
          <w:rFonts w:ascii="Arial Narrow" w:hAnsi="Arial Narrow" w:cs="Arial"/>
          <w:color w:val="0000FF"/>
        </w:rPr>
      </w:pPr>
      <w:r w:rsidRPr="004847B5">
        <w:rPr>
          <w:rFonts w:ascii="Arial Narrow" w:hAnsi="Arial Narrow" w:cs="Arial"/>
          <w:color w:val="0000FF"/>
        </w:rPr>
        <w:t xml:space="preserve">To arrive at a sample of 30 records per condition/per site, we will over-sample for 35 records.  </w:t>
      </w:r>
    </w:p>
    <w:p w:rsidR="00AB6509" w:rsidRPr="004847B5" w:rsidRDefault="00AB6509" w:rsidP="00AB6509">
      <w:pPr>
        <w:numPr>
          <w:ilvl w:val="0"/>
          <w:numId w:val="27"/>
        </w:numPr>
        <w:spacing w:after="0" w:line="240" w:lineRule="auto"/>
        <w:rPr>
          <w:rFonts w:ascii="Arial Narrow" w:hAnsi="Arial Narrow" w:cs="Arial"/>
          <w:color w:val="0000FF"/>
        </w:rPr>
      </w:pPr>
      <w:r w:rsidRPr="004847B5">
        <w:rPr>
          <w:rFonts w:ascii="Arial Narrow" w:hAnsi="Arial Narrow" w:cs="Arial"/>
          <w:color w:val="0000FF"/>
        </w:rPr>
        <w:t>For practices participating in CMS’ Physician Quality Reporting Initiative (PQRI), the sample will be drawn from a population of patients for whom: 1) a CPT II code was submitted on a claim in 2008, AND 2) the patients had at least 2 office visits with the nephrologist in the 2007 calendar year.</w:t>
      </w:r>
    </w:p>
    <w:p w:rsidR="00AB6509" w:rsidRPr="004847B5" w:rsidRDefault="00AB6509" w:rsidP="00AB6509">
      <w:pPr>
        <w:numPr>
          <w:ilvl w:val="0"/>
          <w:numId w:val="27"/>
        </w:numPr>
        <w:spacing w:after="0" w:line="240" w:lineRule="auto"/>
        <w:rPr>
          <w:rFonts w:ascii="Arial Narrow" w:hAnsi="Arial Narrow" w:cs="Arial"/>
          <w:color w:val="0000FF"/>
        </w:rPr>
      </w:pPr>
      <w:r w:rsidRPr="004847B5">
        <w:rPr>
          <w:rFonts w:ascii="Arial Narrow" w:hAnsi="Arial Narrow" w:cs="Arial"/>
          <w:color w:val="0000FF"/>
        </w:rPr>
        <w:t>For sites that are not participating in PQRI, the sample with be drawn from a patient population in which patients had at least 2 office visits with the nephrologist in the 2007 calendar year.</w:t>
      </w:r>
    </w:p>
    <w:p w:rsidR="00AB6509" w:rsidRPr="004847B5" w:rsidRDefault="00AB6509" w:rsidP="00AB6509">
      <w:pPr>
        <w:numPr>
          <w:ilvl w:val="0"/>
          <w:numId w:val="27"/>
        </w:numPr>
        <w:spacing w:after="0" w:line="240" w:lineRule="auto"/>
        <w:rPr>
          <w:rFonts w:ascii="Arial Narrow" w:hAnsi="Arial Narrow" w:cs="Arial"/>
          <w:color w:val="0000FF"/>
        </w:rPr>
      </w:pPr>
      <w:r w:rsidRPr="004847B5">
        <w:rPr>
          <w:rFonts w:ascii="Arial Narrow" w:hAnsi="Arial Narrow" w:cs="Arial"/>
          <w:color w:val="0000FF"/>
        </w:rPr>
        <w:t>IFMC will provide one of the following sampling methodologies to the practice sites:</w:t>
      </w:r>
    </w:p>
    <w:p w:rsidR="00AB6509" w:rsidRPr="004847B5" w:rsidRDefault="00AB6509" w:rsidP="00AB6509">
      <w:pPr>
        <w:numPr>
          <w:ilvl w:val="1"/>
          <w:numId w:val="27"/>
        </w:numPr>
        <w:spacing w:after="0" w:line="240" w:lineRule="auto"/>
        <w:rPr>
          <w:rFonts w:ascii="Arial Narrow" w:hAnsi="Arial Narrow" w:cs="Arial"/>
          <w:color w:val="0000FF"/>
        </w:rPr>
      </w:pPr>
      <w:r w:rsidRPr="004847B5">
        <w:rPr>
          <w:rFonts w:ascii="Arial Narrow" w:hAnsi="Arial Narrow" w:cs="Arial"/>
          <w:color w:val="0000FF"/>
        </w:rPr>
        <w:t>Identify records for 35 patients (with CKD or ESRD) whose Social Security number ends in a specific number, i.e., 2 and 4</w:t>
      </w:r>
    </w:p>
    <w:p w:rsidR="00AB6509" w:rsidRPr="004847B5" w:rsidRDefault="00AB6509" w:rsidP="00AB6509">
      <w:pPr>
        <w:spacing w:after="0" w:line="240" w:lineRule="auto"/>
        <w:ind w:left="1440"/>
        <w:rPr>
          <w:rFonts w:ascii="Arial Narrow" w:hAnsi="Arial Narrow" w:cs="Arial"/>
          <w:b/>
          <w:color w:val="0000FF"/>
        </w:rPr>
      </w:pPr>
      <w:r w:rsidRPr="004847B5">
        <w:rPr>
          <w:rFonts w:ascii="Arial Narrow" w:hAnsi="Arial Narrow" w:cs="Arial"/>
          <w:b/>
          <w:color w:val="0000FF"/>
        </w:rPr>
        <w:t>OR</w:t>
      </w:r>
    </w:p>
    <w:p w:rsidR="00AB6509" w:rsidRPr="000362E7" w:rsidRDefault="00AB6509" w:rsidP="00AB6509">
      <w:pPr>
        <w:numPr>
          <w:ilvl w:val="1"/>
          <w:numId w:val="27"/>
        </w:numPr>
        <w:spacing w:after="0" w:line="240" w:lineRule="auto"/>
        <w:rPr>
          <w:rFonts w:ascii="Arial Narrow" w:hAnsi="Arial Narrow" w:cs="Arial"/>
          <w:color w:val="0000FF"/>
        </w:rPr>
      </w:pPr>
      <w:r w:rsidRPr="004847B5">
        <w:rPr>
          <w:rFonts w:ascii="Arial Narrow" w:hAnsi="Arial Narrow" w:cs="Arial"/>
          <w:color w:val="0000FF"/>
        </w:rPr>
        <w:t>Identify records for the first 35 patients seen during the first month of the timeframe used for testing (this method would help assure that the sampled patients would potentially have 12 months of data for review).</w:t>
      </w:r>
    </w:p>
    <w:p w:rsidR="007422FD" w:rsidRDefault="007422FD" w:rsidP="00DB3627">
      <w:pPr>
        <w:autoSpaceDE w:val="0"/>
        <w:autoSpaceDN w:val="0"/>
        <w:adjustRightInd w:val="0"/>
        <w:spacing w:after="0" w:line="240" w:lineRule="auto"/>
        <w:rPr>
          <w:rFonts w:cstheme="minorHAnsi"/>
          <w:bCs/>
        </w:rPr>
      </w:pP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Data abstracted from patient records were used to calculate inter-rater reliability for the measure.</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Patients were randomly selected from visits for chronic kidney disease</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Data analysis included:</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Percent agreement</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Kappa statistic to adjust for chance agreement </w:t>
      </w:r>
    </w:p>
    <w:p w:rsidR="00AB6509" w:rsidRPr="00C9469F" w:rsidRDefault="00AB6509" w:rsidP="00AB6509">
      <w:pPr>
        <w:spacing w:after="0" w:line="240" w:lineRule="auto"/>
        <w:rPr>
          <w:rFonts w:ascii="Arial Narrow" w:hAnsi="Arial Narrow" w:cs="Arial"/>
          <w:color w:val="0000FF"/>
        </w:rPr>
      </w:pPr>
    </w:p>
    <w:p w:rsidR="00AB6509" w:rsidRPr="00C9469F" w:rsidRDefault="00AB6509" w:rsidP="00AB6509">
      <w:pPr>
        <w:spacing w:after="0" w:line="240" w:lineRule="auto"/>
        <w:rPr>
          <w:rFonts w:ascii="Arial Narrow" w:hAnsi="Arial Narrow" w:cs="Arial"/>
          <w:color w:val="0000FF"/>
        </w:rPr>
      </w:pPr>
      <w:r w:rsidRPr="00C9469F">
        <w:rPr>
          <w:noProof/>
          <w:color w:val="0000FF"/>
        </w:rPr>
        <w:drawing>
          <wp:inline distT="0" distB="0" distL="0" distR="0" wp14:anchorId="4547B953" wp14:editId="6B9D7805">
            <wp:extent cx="1562100" cy="447675"/>
            <wp:effectExtent l="0" t="0" r="0" b="9525"/>
            <wp:docPr id="1" name="irc_mi" descr="http://upload.wikimedia.org/math/2/d/b/2dbc0665e308fabc49e2118c3869a6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math/2/d/b/2dbc0665e308fabc49e2118c3869a6e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2100" cy="447675"/>
                    </a:xfrm>
                    <a:prstGeom prst="rect">
                      <a:avLst/>
                    </a:prstGeom>
                    <a:noFill/>
                    <a:ln>
                      <a:noFill/>
                    </a:ln>
                  </pic:spPr>
                </pic:pic>
              </a:graphicData>
            </a:graphic>
          </wp:inline>
        </w:drawing>
      </w:r>
    </w:p>
    <w:p w:rsidR="00AB6509" w:rsidRPr="00C9469F" w:rsidRDefault="00AB6509" w:rsidP="00AB6509">
      <w:pPr>
        <w:spacing w:after="0" w:line="240" w:lineRule="auto"/>
        <w:rPr>
          <w:rFonts w:ascii="Arial Narrow" w:hAnsi="Arial Narrow" w:cs="Arial"/>
          <w:color w:val="0000FF"/>
        </w:rPr>
      </w:pPr>
    </w:p>
    <w:p w:rsidR="008C54A9" w:rsidRPr="00AB6509" w:rsidRDefault="00AB6509" w:rsidP="00AB6509">
      <w:pPr>
        <w:spacing w:after="0" w:line="240" w:lineRule="auto"/>
        <w:rPr>
          <w:rFonts w:ascii="Arial Narrow" w:hAnsi="Arial Narrow" w:cs="Arial"/>
          <w:color w:val="0000FF"/>
        </w:rPr>
      </w:pPr>
      <w:r w:rsidRPr="00C9469F">
        <w:rPr>
          <w:rStyle w:val="tgc"/>
          <w:rFonts w:ascii="Arial Narrow" w:hAnsi="Arial Narrow"/>
          <w:color w:val="0000FF"/>
        </w:rPr>
        <w:t xml:space="preserve">Cohen's </w:t>
      </w:r>
      <w:r w:rsidRPr="00C9469F">
        <w:rPr>
          <w:rStyle w:val="tgc"/>
          <w:rFonts w:ascii="Arial Narrow" w:hAnsi="Arial Narrow"/>
          <w:bCs/>
          <w:color w:val="0000FF"/>
        </w:rPr>
        <w:t>kappa</w:t>
      </w:r>
      <w:r w:rsidRPr="00C9469F">
        <w:rPr>
          <w:rStyle w:val="tgc"/>
          <w:rFonts w:ascii="Arial Narrow" w:hAnsi="Arial Narrow"/>
          <w:color w:val="0000FF"/>
        </w:rPr>
        <w:t xml:space="preserve"> coefficient is a statistical measure of inter-rater agreement or inter-annotator agreement for qualitative (categorical) items. It is generally thought to be a more robust measure than simple percent agreement calculation since κ takes into account the agreement occurring by chance</w:t>
      </w:r>
      <w:r>
        <w:rPr>
          <w:rFonts w:ascii="Arial Narrow" w:hAnsi="Arial Narrow" w:cs="Arial"/>
          <w:color w:val="0000FF"/>
        </w:rPr>
        <w:t>.</w:t>
      </w:r>
      <w:r>
        <w:rPr>
          <w:rFonts w:ascii="Arial Narrow" w:hAnsi="Arial Narrow" w:cs="Arial"/>
          <w:color w:val="0000FF"/>
        </w:rPr>
        <w:br/>
      </w:r>
    </w:p>
    <w:p w:rsidR="00AB6509" w:rsidRPr="00CD35D2" w:rsidRDefault="00092566" w:rsidP="00AB6509">
      <w:pPr>
        <w:rPr>
          <w:rFonts w:ascii="Arial Narrow" w:hAnsi="Arial Narrow" w:cs="Arial"/>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r w:rsidR="0048008A" w:rsidRPr="00A25024">
        <w:rPr>
          <w:rFonts w:cstheme="minorHAnsi"/>
          <w:bCs/>
        </w:rPr>
        <w:br/>
      </w:r>
      <w:r w:rsidR="00AB6509" w:rsidRPr="00CD35D2">
        <w:rPr>
          <w:rFonts w:ascii="Arial Narrow" w:hAnsi="Arial Narrow" w:cs="Arial"/>
          <w:color w:val="0000FF"/>
        </w:rPr>
        <w:t>Plan of Care for Anemia Measure (N, % Agreement, Kappa ( 95% Confidence Interval))</w:t>
      </w:r>
    </w:p>
    <w:p w:rsidR="00AB6509" w:rsidRPr="00CD35D2" w:rsidRDefault="00AB6509" w:rsidP="00AB6509">
      <w:pPr>
        <w:rPr>
          <w:rFonts w:ascii="Arial Narrow" w:hAnsi="Arial Narrow" w:cs="Arial"/>
          <w:color w:val="0000FF"/>
        </w:rPr>
      </w:pPr>
      <w:r w:rsidRPr="00CD35D2">
        <w:rPr>
          <w:rFonts w:ascii="Arial Narrow" w:hAnsi="Arial Narrow" w:cs="Arial"/>
          <w:color w:val="0000FF"/>
        </w:rPr>
        <w:t>2012, 99.45% Agreemen</w:t>
      </w:r>
      <w:r>
        <w:rPr>
          <w:rFonts w:ascii="Arial Narrow" w:hAnsi="Arial Narrow" w:cs="Arial"/>
          <w:color w:val="0000FF"/>
        </w:rPr>
        <w:t>t, Kappa 0.9860 (0.9778-0.9943)</w:t>
      </w:r>
    </w:p>
    <w:p w:rsidR="00AB6509" w:rsidRPr="00A25024" w:rsidRDefault="00092566" w:rsidP="00AB6509">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r w:rsidR="00AB6509" w:rsidRPr="00CD35D2">
        <w:rPr>
          <w:rFonts w:ascii="Arial Narrow" w:hAnsi="Arial Narrow" w:cs="Arial"/>
          <w:color w:val="0000FF"/>
        </w:rPr>
        <w:t>This measure is highly reliable, as shown in results from the inter-abstractor analysis (above).</w:t>
      </w:r>
    </w:p>
    <w:p w:rsidR="007422FD" w:rsidRPr="00A25024" w:rsidRDefault="007422FD" w:rsidP="00DB3627">
      <w:pPr>
        <w:autoSpaceDE w:val="0"/>
        <w:autoSpaceDN w:val="0"/>
        <w:adjustRightInd w:val="0"/>
        <w:spacing w:after="0" w:line="240" w:lineRule="auto"/>
        <w:rPr>
          <w:rFonts w:cstheme="minorHAnsi"/>
          <w:bCs/>
        </w:rPr>
      </w:pP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BA145D"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BA145D"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AB6509">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AB6509" w:rsidRPr="00CD35D2" w:rsidRDefault="00092566" w:rsidP="00AB6509">
      <w:pPr>
        <w:spacing w:after="0" w:line="240" w:lineRule="auto"/>
        <w:rPr>
          <w:rFonts w:ascii="Arial Narrow" w:hAnsi="Arial Narrow" w:cs="Arial"/>
          <w:b/>
          <w:color w:val="555555"/>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 xml:space="preserve">nother measure as expected; what statistical analysis </w:t>
      </w:r>
      <w:r w:rsidR="0022691B">
        <w:rPr>
          <w:rFonts w:cstheme="minorHAnsi"/>
          <w:bCs/>
          <w:i/>
        </w:rPr>
        <w:lastRenderedPageBreak/>
        <w:t>was used</w:t>
      </w:r>
      <w:r w:rsidR="00696262" w:rsidRPr="00A25024">
        <w:rPr>
          <w:rFonts w:cstheme="minorHAnsi"/>
          <w:bCs/>
          <w:i/>
        </w:rPr>
        <w:t>)</w:t>
      </w:r>
      <w:r w:rsidR="00833325" w:rsidRPr="00A25024">
        <w:rPr>
          <w:rFonts w:cstheme="minorHAnsi"/>
          <w:bCs/>
        </w:rPr>
        <w:br/>
      </w:r>
      <w:r w:rsidR="00AB6509" w:rsidRPr="00CD35D2">
        <w:rPr>
          <w:rFonts w:ascii="Arial Narrow" w:hAnsi="Arial Narrow" w:cs="Arial"/>
          <w:color w:val="0000FF"/>
        </w:rPr>
        <w:t>An expert panel was used to assess face</w:t>
      </w:r>
      <w:r w:rsidR="00AB6509">
        <w:rPr>
          <w:rFonts w:ascii="Arial Narrow" w:hAnsi="Arial Narrow" w:cs="Arial"/>
          <w:color w:val="0000FF"/>
        </w:rPr>
        <w:t xml:space="preserve"> validity of the measure. This </w:t>
      </w:r>
      <w:r w:rsidR="00AB6509" w:rsidRPr="00CD35D2">
        <w:rPr>
          <w:rFonts w:ascii="Arial Narrow" w:hAnsi="Arial Narrow" w:cs="Arial"/>
          <w:color w:val="0000FF"/>
        </w:rPr>
        <w:t xml:space="preserve">panel consisted of 21 members, with representation from the following specialties:  nephrology, pediatric nephrology, endocrinology, nursing, methodology, internal medicine, preventive medicine and family medicine. </w:t>
      </w:r>
    </w:p>
    <w:p w:rsidR="00AB6509" w:rsidRPr="00CD35D2" w:rsidRDefault="00AB6509" w:rsidP="00AB6509">
      <w:pPr>
        <w:spacing w:after="0" w:line="240" w:lineRule="auto"/>
        <w:rPr>
          <w:rFonts w:ascii="Arial Narrow" w:hAnsi="Arial Narrow" w:cs="Arial"/>
          <w:color w:val="0000FF"/>
        </w:rPr>
      </w:pP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Louis H. Diamond, </w:t>
      </w:r>
      <w:proofErr w:type="spellStart"/>
      <w:r w:rsidRPr="00CD35D2">
        <w:rPr>
          <w:rFonts w:ascii="Arial Narrow" w:hAnsi="Arial Narrow" w:cs="Arial"/>
          <w:color w:val="0000FF"/>
        </w:rPr>
        <w:t>MBChB</w:t>
      </w:r>
      <w:proofErr w:type="spellEnd"/>
      <w:r w:rsidRPr="00CD35D2">
        <w:rPr>
          <w:rFonts w:ascii="Arial Narrow" w:hAnsi="Arial Narrow" w:cs="Arial"/>
          <w:color w:val="0000FF"/>
        </w:rPr>
        <w:t>, FCP (SA), FACP, FHIMSS (Work Group Co-Chair) (Nephrology, Methodology) President, Quality Healthcare Consultants, Rockville, MD</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Barbara Fivush, MD (Work Group Co-Chair) (Nephrology - Pediatrics) Professor of Pediatrics, Division Chief of Pediatric Nephrology, Johns Hopkins University, Baltimore, MD </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Paul M. Palevsky, MD, FACP, FCCD, FASN (Work Group Co-Chair) (Nephrology - Adult) Professor of Medicine, University of Pittsburgh School of Medicine, Chief, Renal Section, VA Pittsburgh Healthcare System, Pittsburgh, PA </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Eileen D. Brewer, MD (Nephrology - Pediatrics) Professor and Head, Pediatric Renal Section, Baylor College of Medicine Chief, Renal Service, Texas Children´s Hospital, Houston, TX </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John W. Foreman, MD (Nephrology - Pediatrics) Department of Pediatrics, Professor of Pediatrics, Duke University, Durham, NC</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Richard S. Goldman, MD (Nephrology - Adult, Methodology) Nephrology and Internal Medicine, Albuquerque, NM </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Stuart L. Goldstein, MD (Nephrology - Pediatrics) Director, Center for Acute Care Nephrology, Cincinnati Children’s Hospital Medical Center; Medical Director, </w:t>
      </w:r>
      <w:proofErr w:type="spellStart"/>
      <w:r w:rsidRPr="00CD35D2">
        <w:rPr>
          <w:rFonts w:ascii="Arial Narrow" w:hAnsi="Arial Narrow" w:cs="Arial"/>
          <w:color w:val="0000FF"/>
        </w:rPr>
        <w:t>Pheresis</w:t>
      </w:r>
      <w:proofErr w:type="spellEnd"/>
      <w:r w:rsidRPr="00CD35D2">
        <w:rPr>
          <w:rFonts w:ascii="Arial Narrow" w:hAnsi="Arial Narrow" w:cs="Arial"/>
          <w:color w:val="0000FF"/>
        </w:rPr>
        <w:t xml:space="preserve"> Service, Professor of Pediatrics, University of Cincinnati College of Medicine, Cincinnati, OH</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John Hartman, MD (Nephrology - Adult) CEO, </w:t>
      </w:r>
      <w:proofErr w:type="spellStart"/>
      <w:r w:rsidRPr="00CD35D2">
        <w:rPr>
          <w:rFonts w:ascii="Arial Narrow" w:hAnsi="Arial Narrow" w:cs="Arial"/>
          <w:color w:val="0000FF"/>
        </w:rPr>
        <w:t>Visonex</w:t>
      </w:r>
      <w:proofErr w:type="spellEnd"/>
      <w:r w:rsidRPr="00CD35D2">
        <w:rPr>
          <w:rFonts w:ascii="Arial Narrow" w:hAnsi="Arial Narrow" w:cs="Arial"/>
          <w:color w:val="0000FF"/>
        </w:rPr>
        <w:t>, LLC, Treasurer, Wisconsin Medical Society, Green Bay, WI</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Richard Hellman, MD, FACP, FACE (Endocrinology, Methodology) Clinical Professor of Medicine, University of Missouri-Kansas City School of Medicine, Private Practice, Diabetes &amp; Endocrinology, North Kansas City, MO</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Jean L. Holley, MD, FACP (Nephrology - Adult) Clinical Professor of Medicine, University of Illinois, Urban-Champaign and Carle Physician Group, Urbana, IL</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Edward R. Jones, MD (Nephrology - Adult) Self-Employed, Delaware Valley Nephrology Associates, Philadelphia, PA</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Karen M. </w:t>
      </w:r>
      <w:proofErr w:type="spellStart"/>
      <w:r w:rsidRPr="00CD35D2">
        <w:rPr>
          <w:rFonts w:ascii="Arial Narrow" w:hAnsi="Arial Narrow" w:cs="Arial"/>
          <w:color w:val="0000FF"/>
        </w:rPr>
        <w:t>Kolbusz</w:t>
      </w:r>
      <w:proofErr w:type="spellEnd"/>
      <w:r w:rsidRPr="00CD35D2">
        <w:rPr>
          <w:rFonts w:ascii="Arial Narrow" w:hAnsi="Arial Narrow" w:cs="Arial"/>
          <w:color w:val="0000FF"/>
        </w:rPr>
        <w:t>, RN, BSN, MBA, (Nursing, Joint Commission Liaison) Associate Project Director, The Joint Commission, Oakbrook Terrace, IL</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Craig B. </w:t>
      </w:r>
      <w:proofErr w:type="spellStart"/>
      <w:r w:rsidRPr="00CD35D2">
        <w:rPr>
          <w:rFonts w:ascii="Arial Narrow" w:hAnsi="Arial Narrow" w:cs="Arial"/>
          <w:color w:val="0000FF"/>
        </w:rPr>
        <w:t>Langman</w:t>
      </w:r>
      <w:proofErr w:type="spellEnd"/>
      <w:r w:rsidRPr="00CD35D2">
        <w:rPr>
          <w:rFonts w:ascii="Arial Narrow" w:hAnsi="Arial Narrow" w:cs="Arial"/>
          <w:color w:val="0000FF"/>
        </w:rPr>
        <w:t xml:space="preserve">, MD (Nephrology - Pediatrics) The Isaac A. </w:t>
      </w:r>
      <w:proofErr w:type="spellStart"/>
      <w:r w:rsidRPr="00CD35D2">
        <w:rPr>
          <w:rFonts w:ascii="Arial Narrow" w:hAnsi="Arial Narrow" w:cs="Arial"/>
          <w:color w:val="0000FF"/>
        </w:rPr>
        <w:t>Abt</w:t>
      </w:r>
      <w:proofErr w:type="spellEnd"/>
      <w:r w:rsidRPr="00CD35D2">
        <w:rPr>
          <w:rFonts w:ascii="Arial Narrow" w:hAnsi="Arial Narrow" w:cs="Arial"/>
          <w:color w:val="0000FF"/>
        </w:rPr>
        <w:t xml:space="preserve"> MD Professor of Kidney Diseases and Head, Kidney Diseases, Feinberg School of Medicine, Northwestern University, and Children´s Memorial Hospital, Chicago, IL</w:t>
      </w:r>
    </w:p>
    <w:p w:rsidR="00AB6509" w:rsidRPr="00CD35D2" w:rsidRDefault="00AB6509" w:rsidP="00AB6509">
      <w:pPr>
        <w:spacing w:after="0" w:line="240" w:lineRule="auto"/>
        <w:rPr>
          <w:rFonts w:ascii="Arial Narrow" w:hAnsi="Arial Narrow" w:cs="Arial"/>
          <w:color w:val="0000FF"/>
        </w:rPr>
      </w:pPr>
      <w:proofErr w:type="spellStart"/>
      <w:r w:rsidRPr="00CD35D2">
        <w:rPr>
          <w:rFonts w:ascii="Arial Narrow" w:hAnsi="Arial Narrow" w:cs="Arial"/>
          <w:color w:val="0000FF"/>
        </w:rPr>
        <w:t>Rajnish</w:t>
      </w:r>
      <w:proofErr w:type="spellEnd"/>
      <w:r w:rsidRPr="00CD35D2">
        <w:rPr>
          <w:rFonts w:ascii="Arial Narrow" w:hAnsi="Arial Narrow" w:cs="Arial"/>
          <w:color w:val="0000FF"/>
        </w:rPr>
        <w:t xml:space="preserve"> </w:t>
      </w:r>
      <w:proofErr w:type="spellStart"/>
      <w:r w:rsidRPr="00CD35D2">
        <w:rPr>
          <w:rFonts w:ascii="Arial Narrow" w:hAnsi="Arial Narrow" w:cs="Arial"/>
          <w:color w:val="0000FF"/>
        </w:rPr>
        <w:t>Mehrotra</w:t>
      </w:r>
      <w:proofErr w:type="spellEnd"/>
      <w:r w:rsidRPr="00CD35D2">
        <w:rPr>
          <w:rFonts w:ascii="Arial Narrow" w:hAnsi="Arial Narrow" w:cs="Arial"/>
          <w:color w:val="0000FF"/>
        </w:rPr>
        <w:t xml:space="preserve">, MD (Nephrology - Adult) Professor of Medicine at David Geffen School of Medicine at UCLA and Associate Chief, </w:t>
      </w:r>
      <w:proofErr w:type="spellStart"/>
      <w:r w:rsidRPr="00CD35D2">
        <w:rPr>
          <w:rFonts w:ascii="Arial Narrow" w:hAnsi="Arial Narrow" w:cs="Arial"/>
          <w:color w:val="0000FF"/>
        </w:rPr>
        <w:t>Div</w:t>
      </w:r>
      <w:proofErr w:type="spellEnd"/>
      <w:r w:rsidRPr="00CD35D2">
        <w:rPr>
          <w:rFonts w:ascii="Arial Narrow" w:hAnsi="Arial Narrow" w:cs="Arial"/>
          <w:color w:val="0000FF"/>
        </w:rPr>
        <w:t xml:space="preserve"> of Nephrology and Hypertension, Harbor-UCLA Medical Center, Torrance, CA</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Alvin H. Moss, MD (Nephrology - Adult) Professor of Medicine, West Virginia University, Morgantown, WV</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Sharon A. Perlman, MD (Nephrology - Pediatrics) USF Pediatric Nephrology, All Children´s Hospital, St. Petersburg, FL </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Paul D. Rockswold, MD, MPH (Preventive Medicine and Family Medicine) Physician Epidemiologist, Head of Health Analysis, Navy and Marine Corps Public Health Center, Suffolk, VA </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Candace C. Walworth, MD (Nephrology - Adult) Nephrology and Internal Medicine, Lewiston, ME</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Bradley </w:t>
      </w:r>
      <w:proofErr w:type="spellStart"/>
      <w:r w:rsidRPr="00CD35D2">
        <w:rPr>
          <w:rFonts w:ascii="Arial Narrow" w:hAnsi="Arial Narrow" w:cs="Arial"/>
          <w:color w:val="0000FF"/>
        </w:rPr>
        <w:t>Warady</w:t>
      </w:r>
      <w:proofErr w:type="spellEnd"/>
      <w:r w:rsidRPr="00CD35D2">
        <w:rPr>
          <w:rFonts w:ascii="Arial Narrow" w:hAnsi="Arial Narrow" w:cs="Arial"/>
          <w:color w:val="0000FF"/>
        </w:rPr>
        <w:t>, MD (Nephrology - Pediatrics) Chief, Pediatric Nephrology, Children´s Mercy Hospitals and Clinics, Kansas City, MO</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Steven J. </w:t>
      </w:r>
      <w:proofErr w:type="spellStart"/>
      <w:r w:rsidRPr="00CD35D2">
        <w:rPr>
          <w:rFonts w:ascii="Arial Narrow" w:hAnsi="Arial Narrow" w:cs="Arial"/>
          <w:color w:val="0000FF"/>
        </w:rPr>
        <w:t>Wassner</w:t>
      </w:r>
      <w:proofErr w:type="spellEnd"/>
      <w:r w:rsidRPr="00CD35D2">
        <w:rPr>
          <w:rFonts w:ascii="Arial Narrow" w:hAnsi="Arial Narrow" w:cs="Arial"/>
          <w:color w:val="0000FF"/>
        </w:rPr>
        <w:t xml:space="preserve">, MD, FAAP (Nephrology - Pediatrics) Professor of Pediatrics, Vice-Chair for Education, Chief, Division of Nephrology &amp; Hypertension, Hershey, PA </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Jerry Yee, MD (Nephrology - Adult) Division Head, Nephrology and Hypertension, Henry Ford Hospital, Detroit, MI</w:t>
      </w:r>
    </w:p>
    <w:p w:rsidR="00AB6509" w:rsidRDefault="00AB6509" w:rsidP="00AB6509">
      <w:pPr>
        <w:autoSpaceDE w:val="0"/>
        <w:autoSpaceDN w:val="0"/>
        <w:adjustRightInd w:val="0"/>
        <w:spacing w:after="0" w:line="240" w:lineRule="auto"/>
        <w:rPr>
          <w:rFonts w:cstheme="minorHAnsi"/>
          <w:bCs/>
        </w:rPr>
      </w:pPr>
    </w:p>
    <w:p w:rsidR="00AB6509" w:rsidRPr="000362E7" w:rsidRDefault="00AB6509" w:rsidP="00AB6509">
      <w:pPr>
        <w:rPr>
          <w:rFonts w:ascii="Arial Narrow" w:hAnsi="Arial Narrow" w:cs="Arial"/>
          <w:b/>
          <w:bCs/>
        </w:rPr>
      </w:pPr>
      <w:r w:rsidRPr="00CD35D2">
        <w:rPr>
          <w:rFonts w:ascii="Arial Narrow" w:hAnsi="Arial Narrow" w:cs="Arial"/>
          <w:color w:val="0000FF"/>
        </w:rPr>
        <w:t>Face validity of the measure score as an indicator of quality was systematically assessed as follows:</w:t>
      </w:r>
    </w:p>
    <w:p w:rsidR="00AB6509" w:rsidRPr="00CD35D2" w:rsidRDefault="00AB6509" w:rsidP="00AB6509">
      <w:pPr>
        <w:rPr>
          <w:rFonts w:ascii="Arial Narrow" w:hAnsi="Arial Narrow" w:cs="Arial"/>
          <w:color w:val="0000FF"/>
        </w:rPr>
      </w:pPr>
      <w:r w:rsidRPr="00CD35D2">
        <w:rPr>
          <w:rFonts w:ascii="Arial Narrow" w:hAnsi="Arial Narrow" w:cs="Arial"/>
          <w:color w:val="0000FF"/>
        </w:rPr>
        <w:t>After the measure was fully specified, the expert panel (workgroup membership) was asked to rate their agreement with t</w:t>
      </w:r>
      <w:r>
        <w:rPr>
          <w:rFonts w:ascii="Arial Narrow" w:hAnsi="Arial Narrow" w:cs="Arial"/>
          <w:color w:val="0000FF"/>
        </w:rPr>
        <w:t>he following statement:</w:t>
      </w:r>
    </w:p>
    <w:p w:rsidR="00AB6509" w:rsidRPr="00CD35D2" w:rsidRDefault="00AB6509" w:rsidP="00AB6509">
      <w:pPr>
        <w:rPr>
          <w:rFonts w:ascii="Arial Narrow" w:hAnsi="Arial Narrow" w:cs="Arial"/>
          <w:color w:val="0000FF"/>
        </w:rPr>
      </w:pPr>
      <w:r w:rsidRPr="00CD35D2">
        <w:rPr>
          <w:rFonts w:ascii="Arial Narrow" w:hAnsi="Arial Narrow" w:cs="Arial"/>
          <w:color w:val="0000FF"/>
        </w:rPr>
        <w:lastRenderedPageBreak/>
        <w:t>Please rate your agreement with the following statement for each measure- the scores obtained from the measure as specified will accurately differen</w:t>
      </w:r>
      <w:r>
        <w:rPr>
          <w:rFonts w:ascii="Arial Narrow" w:hAnsi="Arial Narrow" w:cs="Arial"/>
          <w:color w:val="0000FF"/>
        </w:rPr>
        <w:t>tiate quality across providers.</w:t>
      </w:r>
    </w:p>
    <w:p w:rsidR="00833325" w:rsidRPr="00A25024" w:rsidRDefault="00AB6509" w:rsidP="00AB6509">
      <w:pPr>
        <w:autoSpaceDE w:val="0"/>
        <w:autoSpaceDN w:val="0"/>
        <w:adjustRightInd w:val="0"/>
        <w:spacing w:after="0" w:line="240" w:lineRule="auto"/>
        <w:rPr>
          <w:rFonts w:cstheme="minorHAnsi"/>
          <w:bCs/>
        </w:rPr>
      </w:pPr>
      <w:r w:rsidRPr="00CD35D2">
        <w:rPr>
          <w:rFonts w:ascii="Arial Narrow" w:hAnsi="Arial Narrow" w:cs="Arial"/>
          <w:color w:val="0000FF"/>
        </w:rPr>
        <w:t>Scale 1-5, where 1=Strongly Disagree; 3=Neither Disagr</w:t>
      </w:r>
      <w:r>
        <w:rPr>
          <w:rFonts w:ascii="Arial Narrow" w:hAnsi="Arial Narrow" w:cs="Arial"/>
          <w:color w:val="0000FF"/>
        </w:rPr>
        <w:t>ee nor Agree; 5=Strongly Agree</w:t>
      </w:r>
    </w:p>
    <w:p w:rsidR="00833325" w:rsidRPr="00A25024" w:rsidRDefault="00833325" w:rsidP="00DB3627">
      <w:pPr>
        <w:autoSpaceDE w:val="0"/>
        <w:autoSpaceDN w:val="0"/>
        <w:adjustRightInd w:val="0"/>
        <w:spacing w:after="0" w:line="240" w:lineRule="auto"/>
        <w:rPr>
          <w:rFonts w:cstheme="minorHAnsi"/>
          <w:bCs/>
        </w:rPr>
      </w:pPr>
    </w:p>
    <w:p w:rsidR="00AB6509" w:rsidRPr="00CD35D2" w:rsidRDefault="00092566" w:rsidP="00AB6509">
      <w:pPr>
        <w:spacing w:after="0" w:line="240" w:lineRule="auto"/>
        <w:rPr>
          <w:rFonts w:ascii="Arial Narrow" w:hAnsi="Arial Narrow" w:cs="Arial"/>
          <w:color w:val="0000FF"/>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833325" w:rsidRPr="00A25024">
        <w:rPr>
          <w:rFonts w:cstheme="minorHAnsi"/>
          <w:bCs/>
        </w:rPr>
        <w:br/>
      </w:r>
      <w:r w:rsidR="00AB6509" w:rsidRPr="00CD35D2">
        <w:rPr>
          <w:rFonts w:ascii="Arial Narrow" w:hAnsi="Arial Narrow" w:cs="Arial"/>
          <w:color w:val="0000FF"/>
        </w:rPr>
        <w:t xml:space="preserve">The results of the expert panel rating of the validity statement were as follows:  </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N =19; Mean rating = 4.37</w:t>
      </w:r>
    </w:p>
    <w:p w:rsidR="00AB6509" w:rsidRPr="00CD35D2" w:rsidRDefault="00AB6509" w:rsidP="00AB6509">
      <w:pPr>
        <w:spacing w:after="0" w:line="240" w:lineRule="auto"/>
        <w:rPr>
          <w:rFonts w:ascii="Arial Narrow" w:hAnsi="Arial Narrow" w:cs="Arial"/>
          <w:color w:val="0000FF"/>
        </w:rPr>
      </w:pP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Frequency Distribution of Ratings</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1 - 1 (Disagree)</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 xml:space="preserve">2 - 0 </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3 - 1 (Neither Disagree nor Agree)</w:t>
      </w:r>
    </w:p>
    <w:p w:rsidR="00AB6509" w:rsidRPr="00CD35D2" w:rsidRDefault="00AB6509" w:rsidP="00AB6509">
      <w:pPr>
        <w:spacing w:after="0" w:line="240" w:lineRule="auto"/>
        <w:rPr>
          <w:rFonts w:ascii="Arial Narrow" w:hAnsi="Arial Narrow" w:cs="Arial"/>
          <w:color w:val="0000FF"/>
        </w:rPr>
      </w:pPr>
      <w:r w:rsidRPr="00CD35D2">
        <w:rPr>
          <w:rFonts w:ascii="Arial Narrow" w:hAnsi="Arial Narrow" w:cs="Arial"/>
          <w:color w:val="0000FF"/>
        </w:rPr>
        <w:t>4 - 6</w:t>
      </w:r>
    </w:p>
    <w:p w:rsidR="007422FD" w:rsidRDefault="00AB6509" w:rsidP="00AB6509">
      <w:pPr>
        <w:autoSpaceDE w:val="0"/>
        <w:autoSpaceDN w:val="0"/>
        <w:adjustRightInd w:val="0"/>
        <w:spacing w:after="0" w:line="240" w:lineRule="auto"/>
        <w:rPr>
          <w:rFonts w:ascii="Arial Narrow" w:hAnsi="Arial Narrow" w:cs="Arial"/>
          <w:color w:val="0000FF"/>
        </w:rPr>
      </w:pPr>
      <w:r w:rsidRPr="00CD35D2">
        <w:rPr>
          <w:rFonts w:ascii="Arial Narrow" w:hAnsi="Arial Narrow" w:cs="Arial"/>
          <w:color w:val="0000FF"/>
        </w:rPr>
        <w:t>5 - 11 (Agree)</w:t>
      </w:r>
    </w:p>
    <w:p w:rsidR="00AB6509" w:rsidRPr="00092566" w:rsidRDefault="00AB6509" w:rsidP="00AB6509">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r w:rsidR="00BA145D" w:rsidRPr="00CD35D2">
        <w:rPr>
          <w:rFonts w:ascii="Arial Narrow" w:hAnsi="Arial Narrow" w:cs="Arial"/>
          <w:color w:val="0000FF"/>
        </w:rPr>
        <w:t xml:space="preserve">Face validity of the measure score as an indicator of quality </w:t>
      </w:r>
      <w:r w:rsidR="00BA145D">
        <w:rPr>
          <w:rFonts w:ascii="Arial Narrow" w:hAnsi="Arial Narrow" w:cs="Arial"/>
          <w:color w:val="0000FF"/>
        </w:rPr>
        <w:t>was consistent.</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BA145D">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BA145D" w:rsidP="00DB3627">
      <w:pPr>
        <w:autoSpaceDE w:val="0"/>
        <w:autoSpaceDN w:val="0"/>
        <w:adjustRightInd w:val="0"/>
        <w:spacing w:after="0" w:line="240" w:lineRule="auto"/>
        <w:rPr>
          <w:rFonts w:cstheme="minorHAnsi"/>
          <w:b/>
          <w:bCs/>
        </w:rPr>
      </w:pPr>
      <w:r w:rsidRPr="00CD35D2">
        <w:rPr>
          <w:rFonts w:ascii="Arial Narrow" w:hAnsi="Arial Narrow" w:cs="Arial"/>
          <w:color w:val="0000FF"/>
        </w:rPr>
        <w:t>At the time of testing, this measure did not have exclusions.</w:t>
      </w: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833325" w:rsidRPr="00A25024" w:rsidRDefault="00833325" w:rsidP="00DB3627">
      <w:pPr>
        <w:autoSpaceDE w:val="0"/>
        <w:autoSpaceDN w:val="0"/>
        <w:adjustRightInd w:val="0"/>
        <w:spacing w:after="0" w:line="240" w:lineRule="auto"/>
        <w:rPr>
          <w:rFonts w:cstheme="minorHAnsi"/>
          <w:bCs/>
        </w:rPr>
      </w:pPr>
    </w:p>
    <w:p w:rsidR="007422FD"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rsidR="00092566" w:rsidRPr="00092566" w:rsidRDefault="00092566" w:rsidP="00092566">
      <w:pPr>
        <w:autoSpaceDE w:val="0"/>
        <w:autoSpaceDN w:val="0"/>
        <w:adjustRightInd w:val="0"/>
        <w:spacing w:after="0" w:line="240" w:lineRule="auto"/>
        <w:rPr>
          <w:rFonts w:cstheme="minorHAnsi"/>
          <w:bCs/>
        </w:rPr>
      </w:pP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BA145D"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BA145D"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BA145D"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BA145D"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1"/>
            <w14:checkedState w14:val="2612" w14:font="MS Gothic"/>
            <w14:uncheckedState w14:val="2610" w14:font="MS Gothic"/>
          </w14:checkbox>
        </w:sdtPr>
        <w:sdtEndPr/>
        <w:sdtContent>
          <w:r>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Fonts w:ascii="Arial Narrow" w:eastAsia="Times New Roman" w:hAnsi="Arial Narrow" w:cs="Arial"/>
            <w:color w:val="0000FF"/>
          </w:rPr>
          <w:id w:val="-1471512333"/>
          <w:text/>
        </w:sdtPr>
        <w:sdtContent>
          <w:r w:rsidRPr="00BA145D">
            <w:rPr>
              <w:rFonts w:ascii="Arial Narrow" w:eastAsia="Times New Roman" w:hAnsi="Arial Narrow" w:cs="Arial"/>
              <w:color w:val="0000FF"/>
            </w:rPr>
            <w:t>We account for risk adjustment by inclusion of the exceptions for this measure.</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lastRenderedPageBreak/>
        <w:t xml:space="preserve">2b4.2. </w:t>
      </w:r>
      <w:r w:rsidR="008871A9">
        <w:rPr>
          <w:rFonts w:cstheme="minorHAnsi"/>
          <w:b/>
          <w:bCs/>
        </w:rPr>
        <w:t xml:space="preserve">If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p>
    <w:p w:rsidR="00092566" w:rsidRPr="00A25024" w:rsidRDefault="00092566" w:rsidP="00092566">
      <w:pPr>
        <w:pStyle w:val="ListParagraph"/>
        <w:autoSpaceDE w:val="0"/>
        <w:autoSpaceDN w:val="0"/>
        <w:adjustRightInd w:val="0"/>
        <w:spacing w:after="0" w:line="240" w:lineRule="auto"/>
        <w:ind w:left="360"/>
        <w:rPr>
          <w:rFonts w:cstheme="minorHAnsi"/>
          <w:bCs/>
        </w:rPr>
      </w:pPr>
    </w:p>
    <w:p w:rsidR="00BA145D" w:rsidRPr="004847B5" w:rsidRDefault="00092566" w:rsidP="00BA145D">
      <w:pPr>
        <w:rPr>
          <w:rFonts w:ascii="Arial Narrow" w:hAnsi="Arial Narrow" w:cs="Arial"/>
          <w:b/>
          <w:bCs/>
        </w:rPr>
      </w:pPr>
      <w:r>
        <w:rPr>
          <w:rFonts w:cstheme="minorHAnsi"/>
          <w:b/>
          <w:bCs/>
        </w:rPr>
        <w:t xml:space="preserve">2b4.3. </w:t>
      </w:r>
      <w:r w:rsidR="00927027">
        <w:rPr>
          <w:rFonts w:cstheme="minorHAnsi"/>
          <w:b/>
          <w:bCs/>
        </w:rPr>
        <w:t>Describe</w:t>
      </w:r>
      <w:r w:rsidRPr="00A25024">
        <w:rPr>
          <w:rFonts w:cstheme="minorHAnsi"/>
          <w:b/>
          <w:bCs/>
        </w:rPr>
        <w:t xml:space="preserve"> the conceptual/clinical </w:t>
      </w:r>
      <w:r w:rsidRPr="00A25024">
        <w:rPr>
          <w:rFonts w:cstheme="minorHAnsi"/>
          <w:b/>
          <w:bCs/>
          <w:u w:val="single"/>
        </w:rPr>
        <w:t>and</w:t>
      </w:r>
      <w:r w:rsidRPr="00A25024">
        <w:rPr>
          <w:rFonts w:cstheme="minorHAnsi"/>
          <w:b/>
          <w:bCs/>
        </w:rPr>
        <w:t xml:space="preserve"> statistical methods and criteria used to select </w:t>
      </w:r>
      <w:r w:rsidR="005363F1">
        <w:rPr>
          <w:rFonts w:cstheme="minorHAnsi"/>
          <w:b/>
          <w:bCs/>
        </w:rPr>
        <w:t xml:space="preserve">patient </w:t>
      </w:r>
      <w:r w:rsidRPr="00A25024">
        <w:rPr>
          <w:rFonts w:cstheme="minorHAnsi"/>
          <w:b/>
          <w:bCs/>
        </w:rPr>
        <w:t>factors used in the statistical risk model or for stratification by risk</w:t>
      </w:r>
      <w:r w:rsidR="00927027">
        <w:rPr>
          <w:rFonts w:cstheme="minorHAnsi"/>
          <w:b/>
          <w:bCs/>
        </w:rPr>
        <w:t xml:space="preserve"> </w:t>
      </w:r>
      <w:r w:rsidRPr="00A25024">
        <w:rPr>
          <w:rFonts w:cstheme="minorHAnsi"/>
          <w:bCs/>
        </w:rPr>
        <w:t>(</w:t>
      </w:r>
      <w:r w:rsidRPr="00A25024">
        <w:rPr>
          <w:rFonts w:cstheme="minorHAnsi"/>
          <w:bCs/>
          <w:i/>
        </w:rPr>
        <w:t xml:space="preserve">e.g., potential factors identified in </w:t>
      </w:r>
      <w:r w:rsidR="005363F1">
        <w:rPr>
          <w:rFonts w:cstheme="minorHAnsi"/>
          <w:bCs/>
          <w:i/>
        </w:rPr>
        <w:t xml:space="preserve">the </w:t>
      </w:r>
      <w:r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r w:rsidRPr="00A25024">
        <w:rPr>
          <w:rFonts w:cstheme="minorHAnsi"/>
          <w:bCs/>
        </w:rPr>
        <w:t>)</w:t>
      </w:r>
      <w:r w:rsidRPr="00A25024">
        <w:rPr>
          <w:rFonts w:cstheme="minorHAnsi"/>
          <w:bCs/>
        </w:rPr>
        <w:br/>
      </w:r>
      <w:r w:rsidR="00BA145D" w:rsidRPr="00CD35D2">
        <w:rPr>
          <w:rFonts w:ascii="Arial Narrow" w:hAnsi="Arial Narrow" w:cs="Arial"/>
          <w:color w:val="0000FF"/>
        </w:rPr>
        <w:t xml:space="preserve">We account for risk adjustment by inclusion of the exceptions for this measure. These exceptions </w:t>
      </w:r>
      <w:r w:rsidR="00BA145D">
        <w:rPr>
          <w:rFonts w:ascii="Arial Narrow" w:hAnsi="Arial Narrow" w:cs="Arial"/>
          <w:color w:val="0000FF"/>
        </w:rPr>
        <w:t xml:space="preserve">were added after the measure was tested </w:t>
      </w:r>
      <w:r w:rsidR="00BA145D" w:rsidRPr="00CD35D2">
        <w:rPr>
          <w:rFonts w:ascii="Arial Narrow" w:hAnsi="Arial Narrow" w:cs="Arial"/>
          <w:color w:val="0000FF"/>
        </w:rPr>
        <w:t xml:space="preserve">and were not included in existing testing data. </w:t>
      </w:r>
    </w:p>
    <w:p w:rsidR="00092566" w:rsidRDefault="00092566" w:rsidP="00001D73">
      <w:pPr>
        <w:autoSpaceDE w:val="0"/>
        <w:autoSpaceDN w:val="0"/>
        <w:adjustRightInd w:val="0"/>
        <w:spacing w:after="0" w:line="240" w:lineRule="auto"/>
        <w:rPr>
          <w:rFonts w:cstheme="minorHAnsi"/>
          <w:b/>
          <w:bCs/>
        </w:rPr>
      </w:pPr>
      <w:r>
        <w:rPr>
          <w:rFonts w:cstheme="minorHAnsi"/>
          <w:b/>
          <w:bCs/>
        </w:rPr>
        <w:t xml:space="preserve">2b4.4. </w:t>
      </w:r>
      <w:r w:rsidRPr="00A25024">
        <w:rPr>
          <w:rFonts w:cstheme="minorHAnsi"/>
          <w:b/>
          <w:bCs/>
        </w:rPr>
        <w:t>What were the statistical results of the analyses used to select risk factors?</w:t>
      </w:r>
      <w:r w:rsidR="00001D73">
        <w:rPr>
          <w:rFonts w:cstheme="minorHAnsi"/>
          <w:b/>
          <w:bCs/>
        </w:rPr>
        <w:br/>
      </w:r>
    </w:p>
    <w:p w:rsidR="00001D73" w:rsidRPr="00001D73" w:rsidRDefault="00001D73" w:rsidP="00001D73">
      <w:pPr>
        <w:autoSpaceDE w:val="0"/>
        <w:autoSpaceDN w:val="0"/>
        <w:adjustRightInd w:val="0"/>
        <w:spacing w:after="0" w:line="240" w:lineRule="auto"/>
        <w:rPr>
          <w:rFonts w:cstheme="minorHAnsi"/>
          <w:b/>
          <w:bCs/>
        </w:rPr>
      </w:pPr>
    </w:p>
    <w:p w:rsidR="00092566" w:rsidRPr="00A25024" w:rsidRDefault="00E1508F" w:rsidP="00092566">
      <w:pPr>
        <w:autoSpaceDE w:val="0"/>
        <w:autoSpaceDN w:val="0"/>
        <w:adjustRightInd w:val="0"/>
        <w:spacing w:after="0" w:line="240" w:lineRule="auto"/>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092566" w:rsidRPr="00A25024" w:rsidRDefault="00092566" w:rsidP="00092566">
      <w:pPr>
        <w:autoSpaceDE w:val="0"/>
        <w:autoSpaceDN w:val="0"/>
        <w:adjustRightInd w:val="0"/>
        <w:spacing w:after="0" w:line="240" w:lineRule="auto"/>
        <w:rPr>
          <w:rFonts w:cstheme="minorHAnsi"/>
          <w:bCs/>
        </w:rPr>
      </w:pP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01D73" w:rsidRPr="00001D73" w:rsidRDefault="00743E46" w:rsidP="00092566">
      <w:pPr>
        <w:autoSpaceDE w:val="0"/>
        <w:autoSpaceDN w:val="0"/>
        <w:adjustRightInd w:val="0"/>
        <w:spacing w:after="0" w:line="240" w:lineRule="auto"/>
        <w:rPr>
          <w:rFonts w:cstheme="minorHAnsi"/>
          <w:b/>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rsidR="00001D73" w:rsidRDefault="00743E46" w:rsidP="00092566">
      <w:pPr>
        <w:autoSpaceDE w:val="0"/>
        <w:autoSpaceDN w:val="0"/>
        <w:adjustRightInd w:val="0"/>
        <w:spacing w:after="0" w:line="240" w:lineRule="auto"/>
        <w:rPr>
          <w:rFonts w:cstheme="minorHAnsi"/>
          <w:b/>
          <w:bCs/>
        </w:rPr>
      </w:pP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rsidR="00743E46" w:rsidRDefault="00743E46" w:rsidP="00092566">
      <w:pPr>
        <w:autoSpaceDE w:val="0"/>
        <w:autoSpaceDN w:val="0"/>
        <w:adjustRightInd w:val="0"/>
        <w:spacing w:after="0" w:line="240" w:lineRule="auto"/>
        <w:rPr>
          <w:rFonts w:cstheme="minorHAnsi"/>
          <w:b/>
        </w:rPr>
      </w:pP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r w:rsidR="00092566" w:rsidRPr="00A25024">
        <w:rPr>
          <w:rFonts w:cstheme="minorHAnsi"/>
        </w:rPr>
        <w:br/>
      </w:r>
    </w:p>
    <w:p w:rsidR="00092566" w:rsidRPr="00A25024" w:rsidRDefault="00743E46" w:rsidP="00092566">
      <w:pPr>
        <w:autoSpaceDE w:val="0"/>
        <w:autoSpaceDN w:val="0"/>
        <w:adjustRightInd w:val="0"/>
        <w:spacing w:after="0" w:line="240" w:lineRule="auto"/>
        <w:rPr>
          <w:rFonts w:cstheme="minorHAnsi"/>
          <w:bCs/>
        </w:rPr>
      </w:pP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092566" w:rsidP="00092566">
      <w:pPr>
        <w:pStyle w:val="ListParagraph"/>
        <w:rPr>
          <w:rFonts w:cstheme="minorHAnsi"/>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2b4.10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r w:rsidR="00092566" w:rsidRPr="00A25024">
        <w:rPr>
          <w:rFonts w:cstheme="minorHAnsi"/>
          <w:bCs/>
        </w:rPr>
        <w:br/>
      </w:r>
    </w:p>
    <w:p w:rsidR="00092566" w:rsidRPr="00A25024" w:rsidRDefault="00092566" w:rsidP="00092566">
      <w:pPr>
        <w:spacing w:after="0" w:line="240" w:lineRule="auto"/>
        <w:rPr>
          <w:rFonts w:cstheme="minorHAnsi"/>
        </w:rPr>
      </w:pP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BA145D" w:rsidRPr="00CD35D2" w:rsidRDefault="00D61410" w:rsidP="00BA145D">
      <w:pPr>
        <w:spacing w:after="0" w:line="240" w:lineRule="auto"/>
        <w:rPr>
          <w:rFonts w:ascii="Arial Narrow" w:hAnsi="Arial Narrow" w:cs="Arial"/>
          <w:b/>
          <w:bCs/>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rPr>
        <w:lastRenderedPageBreak/>
        <w:t>(</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r w:rsidRPr="00A25024">
        <w:rPr>
          <w:rFonts w:cstheme="minorHAnsi"/>
          <w:bCs/>
        </w:rPr>
        <w:br/>
        <w:t xml:space="preserve"> </w:t>
      </w:r>
      <w:r w:rsidR="00BA145D" w:rsidRPr="00CD35D2">
        <w:rPr>
          <w:rFonts w:ascii="Arial Narrow" w:hAnsi="Arial Narrow" w:cs="Arial"/>
          <w:color w:val="0000FF"/>
        </w:rPr>
        <w:t>PCPI Testing Project:</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Four nephrology practice sites representing various types, locations and sizes were identified to participate in testing the measures.</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The number of physicians per site ranged from 5-62 physicians.</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The sites were located in four different regions: Midwestern, Western, Eastern, and Southern.</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Patient visit volume ranged from 240-2,800 ESRD patients seen per month.</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size per physician organization ranged from 24-30 (as shown below) for a total of 169 ESRD patients on Peritoneal Dialysis (PD), or Hemodialysis (HD).</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1: 27 ESRD patients (3 PD patients, 24 HD patients)</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2 :40 ESRD patients (10 PD patients, 30 HD patients)</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3 :42 ESRD patients (19 PD patients, 23 HD patients)</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o</w:t>
      </w:r>
      <w:r w:rsidRPr="00CD35D2">
        <w:rPr>
          <w:rFonts w:ascii="Arial Narrow" w:hAnsi="Arial Narrow" w:cs="Arial"/>
          <w:color w:val="0000FF"/>
        </w:rPr>
        <w:tab/>
        <w:t>Site 4 : 60 ESRD patients (30 PD patients, 30 HD patients)</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up to 35 ESRD patients on each type of dialysis seen at each site after July 1, 2007.</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Data abstraction was completed for multiple patient visits per patient for a total of  2012 patient visits. </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Data abstraction was performed in 2008.</w:t>
      </w:r>
    </w:p>
    <w:p w:rsidR="00BA145D" w:rsidRPr="00CD35D2" w:rsidRDefault="00BA145D" w:rsidP="00BA145D">
      <w:pPr>
        <w:spacing w:after="0" w:line="240" w:lineRule="auto"/>
        <w:rPr>
          <w:rFonts w:ascii="Arial Narrow" w:hAnsi="Arial Narrow" w:cs="Arial"/>
          <w:color w:val="0000FF"/>
        </w:rPr>
      </w:pP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CMS Physician Quality Reporting Initiative 2008:</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“Plan of Care for ESRD Patients with Anemia” (Measure #80)</w:t>
      </w:r>
    </w:p>
    <w:p w:rsidR="00BA145D" w:rsidRPr="00CD35D2" w:rsidRDefault="00BA145D" w:rsidP="00BA145D">
      <w:pPr>
        <w:spacing w:after="0" w:line="240" w:lineRule="auto"/>
        <w:rPr>
          <w:rFonts w:ascii="Arial Narrow" w:hAnsi="Arial Narrow" w:cs="Arial"/>
          <w:color w:val="0000FF"/>
        </w:rPr>
      </w:pP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 xml:space="preserve">There were 179,197 eligible instances reported in the clinical performance denominator for the 2008 program. The mean clinical performance rate was 90.55% with 676 eligible professionals submitting information for the measure. </w:t>
      </w:r>
    </w:p>
    <w:p w:rsidR="00D61410" w:rsidRPr="00BA145D" w:rsidRDefault="00BA145D" w:rsidP="00BA145D">
      <w:pPr>
        <w:spacing w:after="0" w:line="240" w:lineRule="auto"/>
        <w:rPr>
          <w:rFonts w:ascii="Arial Narrow" w:hAnsi="Arial Narrow" w:cs="Arial"/>
          <w:b/>
          <w:bCs/>
        </w:rPr>
      </w:pPr>
      <w:r w:rsidRPr="00CD35D2">
        <w:rPr>
          <w:rFonts w:ascii="Arial Narrow" w:hAnsi="Arial Narrow" w:cs="Arial"/>
          <w:color w:val="0000FF"/>
        </w:rPr>
        <w:t xml:space="preserve">The inter-quartile range (IQR) was calculated, which provides a measure of the dispersion of performance. </w:t>
      </w:r>
    </w:p>
    <w:p w:rsidR="00D61410" w:rsidRPr="00A25024" w:rsidRDefault="00D61410" w:rsidP="00D61410">
      <w:pPr>
        <w:autoSpaceDE w:val="0"/>
        <w:autoSpaceDN w:val="0"/>
        <w:adjustRightInd w:val="0"/>
        <w:spacing w:after="0" w:line="240" w:lineRule="auto"/>
        <w:rPr>
          <w:rFonts w:cstheme="minorHAnsi"/>
          <w:bCs/>
        </w:rPr>
      </w:pPr>
    </w:p>
    <w:p w:rsidR="00BA145D" w:rsidRPr="00CD35D2" w:rsidRDefault="00D61410" w:rsidP="00BA145D">
      <w:pPr>
        <w:spacing w:after="0" w:line="240" w:lineRule="auto"/>
        <w:rPr>
          <w:rFonts w:ascii="Arial Narrow" w:hAnsi="Arial Narrow" w:cs="Arial"/>
        </w:rPr>
      </w:pPr>
      <w:r>
        <w:rPr>
          <w:rFonts w:cstheme="minorHAnsi"/>
          <w:b/>
          <w:bCs/>
        </w:rPr>
        <w:t xml:space="preserve">2b5.2. </w:t>
      </w:r>
      <w:r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Pr="00A25024">
        <w:rPr>
          <w:rFonts w:cstheme="minorHAnsi"/>
          <w:b/>
          <w:bCs/>
        </w:rPr>
        <w:t>differences in performance measure scores across measured entities?</w:t>
      </w:r>
      <w:r w:rsidRPr="00A25024">
        <w:rPr>
          <w:rFonts w:cstheme="minorHAnsi"/>
          <w:bCs/>
        </w:rPr>
        <w:t xml:space="preserve"> (</w:t>
      </w:r>
      <w:r>
        <w:rPr>
          <w:rFonts w:cstheme="minorHAnsi"/>
          <w:bCs/>
        </w:rPr>
        <w:t xml:space="preserve">e.g., </w:t>
      </w:r>
      <w:r w:rsidRPr="00A25024">
        <w:rPr>
          <w:rFonts w:cstheme="minorHAnsi"/>
          <w:bCs/>
          <w:i/>
        </w:rPr>
        <w:t xml:space="preserve">number and percentage </w:t>
      </w:r>
      <w:r w:rsidR="001E69DC">
        <w:rPr>
          <w:rFonts w:cstheme="minorHAnsi"/>
          <w:bCs/>
          <w:i/>
        </w:rPr>
        <w:t xml:space="preserve">of entities with scores </w:t>
      </w:r>
      <w:r>
        <w:rPr>
          <w:rFonts w:cstheme="minorHAnsi"/>
          <w:bCs/>
          <w:i/>
        </w:rPr>
        <w:t xml:space="preserve">that were </w:t>
      </w:r>
      <w:r w:rsidRPr="00A25024">
        <w:rPr>
          <w:rFonts w:cstheme="minorHAnsi"/>
          <w:bCs/>
          <w:i/>
        </w:rPr>
        <w:t xml:space="preserve">statistically </w:t>
      </w:r>
      <w:r>
        <w:rPr>
          <w:rFonts w:cstheme="minorHAnsi"/>
          <w:bCs/>
          <w:i/>
        </w:rPr>
        <w:t xml:space="preserve">significantly </w:t>
      </w:r>
      <w:r w:rsidRPr="00A25024">
        <w:rPr>
          <w:rFonts w:cstheme="minorHAnsi"/>
          <w:bCs/>
          <w:i/>
        </w:rPr>
        <w:t xml:space="preserve">different from mean </w:t>
      </w:r>
      <w:r w:rsidR="001E69DC">
        <w:rPr>
          <w:rFonts w:cstheme="minorHAnsi"/>
          <w:bCs/>
          <w:i/>
        </w:rPr>
        <w:t>or some benchmark, different from expected; how was meaningful difference defined</w:t>
      </w:r>
      <w:r w:rsidRPr="00A25024">
        <w:rPr>
          <w:rFonts w:cstheme="minorHAnsi"/>
          <w:bCs/>
        </w:rPr>
        <w:t>)</w:t>
      </w:r>
      <w:r w:rsidRPr="00A25024">
        <w:rPr>
          <w:rFonts w:cstheme="minorHAnsi"/>
          <w:bCs/>
        </w:rPr>
        <w:br/>
      </w:r>
      <w:r w:rsidR="00BA145D" w:rsidRPr="00CD35D2">
        <w:rPr>
          <w:rFonts w:ascii="Arial Narrow" w:hAnsi="Arial Narrow" w:cs="Arial"/>
          <w:color w:val="0000FF"/>
        </w:rPr>
        <w:t>PCPI Testing Project Results:</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Scores on this measure: N = 2012 Mean = 74 % Range = 61%-94%</w:t>
      </w:r>
    </w:p>
    <w:p w:rsidR="00BA145D" w:rsidRPr="00CD35D2" w:rsidRDefault="00BA145D" w:rsidP="00BA145D">
      <w:pPr>
        <w:spacing w:after="0" w:line="240" w:lineRule="auto"/>
        <w:rPr>
          <w:rFonts w:ascii="Arial Narrow" w:hAnsi="Arial Narrow" w:cs="Arial"/>
          <w:color w:val="0000FF"/>
        </w:rPr>
      </w:pP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CMS Physician Quality Reporting Initiative:</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 xml:space="preserve">This measure was used in the CMS Physician Quality Reporting Initiative, in the claims option and the registry option (2008). </w:t>
      </w:r>
    </w:p>
    <w:p w:rsidR="00BA145D" w:rsidRPr="00CD35D2" w:rsidRDefault="00BA145D" w:rsidP="00BA145D">
      <w:pPr>
        <w:spacing w:after="0" w:line="240" w:lineRule="auto"/>
        <w:rPr>
          <w:rFonts w:ascii="Arial Narrow" w:hAnsi="Arial Narrow" w:cs="Arial"/>
          <w:color w:val="0000FF"/>
        </w:rPr>
      </w:pP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 xml:space="preserve">There is a gap in care as shown by this 2008 data; 36.51% of patients reported on did not receive the optimal care.(1) </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10th percentile: 10.42%</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25th percentile: 38.17%</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50th percentile: 66.23%</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75th percentile: 84.04%</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90th percentile: 94.93%</w:t>
      </w:r>
    </w:p>
    <w:p w:rsidR="00BA145D" w:rsidRPr="00CD35D2" w:rsidRDefault="00BA145D" w:rsidP="00BA145D">
      <w:pPr>
        <w:spacing w:after="0" w:line="240" w:lineRule="auto"/>
        <w:rPr>
          <w:rFonts w:ascii="Arial Narrow" w:hAnsi="Arial Narrow" w:cs="Arial"/>
          <w:color w:val="0000FF"/>
        </w:rPr>
      </w:pP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The inter-quartile range (IQR) provides a measure of the dispersion of performance.  The IQR is 45.9, and indicates that 50% of physicians have performance on this measure ranging from 38.17% and 84.04%.  A quarter of reporting physicians have performance on this measure which is greater than 84.04%, while a quarter have performance on this measure less than 38.17%.(1)</w:t>
      </w:r>
    </w:p>
    <w:p w:rsidR="00BA145D" w:rsidRPr="00CD35D2" w:rsidRDefault="00BA145D" w:rsidP="00BA145D">
      <w:pPr>
        <w:spacing w:after="0" w:line="240" w:lineRule="auto"/>
        <w:rPr>
          <w:rFonts w:ascii="Arial Narrow" w:hAnsi="Arial Narrow" w:cs="Arial"/>
          <w:color w:val="0000FF"/>
        </w:rPr>
      </w:pPr>
    </w:p>
    <w:p w:rsidR="00D61410" w:rsidRDefault="00BA145D" w:rsidP="00BA145D">
      <w:pPr>
        <w:autoSpaceDE w:val="0"/>
        <w:autoSpaceDN w:val="0"/>
        <w:adjustRightInd w:val="0"/>
        <w:spacing w:after="0" w:line="240" w:lineRule="auto"/>
        <w:rPr>
          <w:rFonts w:cstheme="minorHAnsi"/>
          <w:bCs/>
        </w:rPr>
      </w:pPr>
      <w:r w:rsidRPr="00CD35D2">
        <w:rPr>
          <w:rFonts w:ascii="Arial Narrow" w:hAnsi="Arial Narrow" w:cs="Arial"/>
          <w:color w:val="0000FF"/>
        </w:rPr>
        <w:t>1. Confidential CMS PQRI 2008 Performance Information by Measure.  Jan-Sept TAP file.</w:t>
      </w:r>
    </w:p>
    <w:p w:rsidR="00D61410" w:rsidRPr="00927027" w:rsidRDefault="00D61410" w:rsidP="00D61410">
      <w:pPr>
        <w:autoSpaceDE w:val="0"/>
        <w:autoSpaceDN w:val="0"/>
        <w:adjustRightInd w:val="0"/>
        <w:spacing w:after="0" w:line="240" w:lineRule="auto"/>
        <w:rPr>
          <w:rFonts w:cstheme="minorHAnsi"/>
          <w:bCs/>
        </w:rPr>
      </w:pPr>
    </w:p>
    <w:p w:rsidR="00BA145D" w:rsidRPr="00A25024" w:rsidRDefault="00D61410" w:rsidP="00BA145D">
      <w:pPr>
        <w:autoSpaceDE w:val="0"/>
        <w:autoSpaceDN w:val="0"/>
        <w:adjustRightInd w:val="0"/>
        <w:spacing w:after="0" w:line="240" w:lineRule="auto"/>
        <w:rPr>
          <w:rFonts w:cstheme="minorHAnsi"/>
          <w:bCs/>
        </w:rPr>
      </w:pPr>
      <w:r>
        <w:rPr>
          <w:rFonts w:cstheme="minorHAnsi"/>
          <w:b/>
          <w:bCs/>
        </w:rPr>
        <w:t xml:space="preserve">2b5.3. </w:t>
      </w:r>
      <w:r w:rsidRPr="00A25024">
        <w:rPr>
          <w:rFonts w:cstheme="minorHAnsi"/>
          <w:b/>
          <w:bCs/>
        </w:rPr>
        <w:t>What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Pr="00A25024">
        <w:rPr>
          <w:rFonts w:cstheme="minorHAnsi"/>
          <w:bCs/>
        </w:rPr>
        <w:br/>
      </w:r>
      <w:r w:rsidR="00BA145D" w:rsidRPr="00CD35D2">
        <w:rPr>
          <w:rFonts w:ascii="Arial Narrow" w:hAnsi="Arial Narrow" w:cs="Arial"/>
          <w:color w:val="0000FF"/>
        </w:rPr>
        <w:t>The IQR is 45.9, and indicates that 50% of physicians have performance on this measure ranging from 38.17% and 84.04</w:t>
      </w:r>
      <w:r w:rsidR="00BA145D">
        <w:rPr>
          <w:rFonts w:ascii="Arial Narrow" w:hAnsi="Arial Narrow" w:cs="Arial"/>
          <w:color w:val="0000FF"/>
        </w:rPr>
        <w:t>%, indicating a range of performance.</w:t>
      </w:r>
    </w:p>
    <w:p w:rsidR="00D61410" w:rsidRPr="00A25024" w:rsidRDefault="00D61410" w:rsidP="00D61410">
      <w:pPr>
        <w:autoSpaceDE w:val="0"/>
        <w:autoSpaceDN w:val="0"/>
        <w:adjustRightInd w:val="0"/>
        <w:spacing w:after="0" w:line="240" w:lineRule="auto"/>
        <w:rPr>
          <w:rFonts w:cstheme="minorHAnsi"/>
          <w:bCs/>
        </w:rPr>
      </w:pP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BA145D" w:rsidRPr="00CD35D2" w:rsidRDefault="00E1508F" w:rsidP="00BA145D">
      <w:pPr>
        <w:spacing w:after="0" w:line="240" w:lineRule="auto"/>
        <w:rPr>
          <w:rFonts w:ascii="Arial Narrow" w:hAnsi="Arial Narrow" w:cs="Arial"/>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sidR="00BA145D" w:rsidRPr="00CD35D2">
        <w:rPr>
          <w:rFonts w:ascii="Arial Narrow" w:hAnsi="Arial Narrow" w:cs="Arial"/>
          <w:color w:val="0000FF"/>
        </w:rPr>
        <w:t>PCPI Testing Project:</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Two nephrology practice sites representing various types, locations and sizes which participated in the CMS PQRI Project in 2007 were identified to participate in testing the measures</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size across the two physician offices as 314 patient visits</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Sample selection: Data were collected from the medical records of the first up to 35 ESRD patients on each type of dialysis seen at each site after July 1, 2007.</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Data abstraction was performed in 2008 </w:t>
      </w:r>
    </w:p>
    <w:p w:rsidR="00BA145D" w:rsidRDefault="00BA145D" w:rsidP="00BA145D">
      <w:pPr>
        <w:spacing w:after="0" w:line="240" w:lineRule="auto"/>
        <w:rPr>
          <w:rFonts w:ascii="Arial Narrow" w:hAnsi="Arial Narrow" w:cs="Arial"/>
          <w:color w:val="0000FF"/>
        </w:rPr>
      </w:pPr>
    </w:p>
    <w:p w:rsidR="00BA145D" w:rsidRPr="00CD35D2" w:rsidRDefault="00BA145D" w:rsidP="00BA145D">
      <w:pPr>
        <w:spacing w:after="0" w:line="240" w:lineRule="auto"/>
        <w:rPr>
          <w:rFonts w:ascii="Arial Narrow" w:hAnsi="Arial Narrow" w:cs="Arial"/>
          <w:b/>
          <w:bCs/>
        </w:rPr>
      </w:pPr>
      <w:r w:rsidRPr="00CD35D2">
        <w:rPr>
          <w:rFonts w:ascii="Arial Narrow" w:hAnsi="Arial Narrow" w:cs="Arial"/>
          <w:color w:val="0000FF"/>
        </w:rPr>
        <w:t>Data abstracted from patient records were used to calculate parallel-forms reliability for the measure.</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Patients were randomly selected from visits for ESRD</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Data analysis included:</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Percent agreement</w:t>
      </w:r>
    </w:p>
    <w:p w:rsidR="00BA145D" w:rsidRPr="00CD35D2" w:rsidRDefault="00BA145D" w:rsidP="00BA145D">
      <w:pPr>
        <w:spacing w:after="0" w:line="240" w:lineRule="auto"/>
        <w:rPr>
          <w:rFonts w:ascii="Arial Narrow" w:hAnsi="Arial Narrow" w:cs="Arial"/>
          <w:color w:val="0000FF"/>
        </w:rPr>
      </w:pPr>
      <w:r w:rsidRPr="00CD35D2">
        <w:rPr>
          <w:rFonts w:ascii="Arial Narrow" w:hAnsi="Arial Narrow" w:cs="Arial"/>
          <w:color w:val="0000FF"/>
        </w:rPr>
        <w:t>•</w:t>
      </w:r>
      <w:r w:rsidRPr="00CD35D2">
        <w:rPr>
          <w:rFonts w:ascii="Arial Narrow" w:hAnsi="Arial Narrow" w:cs="Arial"/>
          <w:color w:val="0000FF"/>
        </w:rPr>
        <w:tab/>
        <w:t xml:space="preserve">Kappa statistic to adjust for chance agreement </w:t>
      </w:r>
    </w:p>
    <w:p w:rsidR="000F06B5" w:rsidRPr="00A25024" w:rsidRDefault="000F06B5" w:rsidP="00DB3627">
      <w:pPr>
        <w:autoSpaceDE w:val="0"/>
        <w:autoSpaceDN w:val="0"/>
        <w:adjustRightInd w:val="0"/>
        <w:spacing w:after="0" w:line="240" w:lineRule="auto"/>
        <w:rPr>
          <w:rFonts w:cstheme="minorHAnsi"/>
          <w:bCs/>
        </w:rPr>
      </w:pPr>
    </w:p>
    <w:p w:rsidR="000F06B5" w:rsidRPr="00A25024" w:rsidRDefault="000F06B5" w:rsidP="00DB3627">
      <w:pPr>
        <w:pStyle w:val="ListParagraph"/>
        <w:autoSpaceDE w:val="0"/>
        <w:autoSpaceDN w:val="0"/>
        <w:adjustRightInd w:val="0"/>
        <w:spacing w:after="0" w:line="240" w:lineRule="auto"/>
        <w:ind w:left="0"/>
        <w:rPr>
          <w:rFonts w:cstheme="minorHAnsi"/>
          <w:bCs/>
        </w:rPr>
      </w:pPr>
    </w:p>
    <w:p w:rsidR="00A35F8F" w:rsidRDefault="00E1508F" w:rsidP="00E1508F">
      <w:pPr>
        <w:autoSpaceDE w:val="0"/>
        <w:autoSpaceDN w:val="0"/>
        <w:adjustRightInd w:val="0"/>
        <w:spacing w:after="0" w:line="240" w:lineRule="auto"/>
        <w:rPr>
          <w:rFonts w:cstheme="minorHAnsi"/>
          <w:bCs/>
        </w:rPr>
      </w:pP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rsidR="00BA145D" w:rsidRPr="00CD35D2" w:rsidRDefault="00BA145D" w:rsidP="00BA145D">
      <w:pPr>
        <w:rPr>
          <w:rFonts w:ascii="Arial Narrow" w:hAnsi="Arial Narrow" w:cs="Arial"/>
        </w:rPr>
      </w:pPr>
      <w:r w:rsidRPr="00CD35D2">
        <w:rPr>
          <w:rFonts w:ascii="Arial Narrow" w:hAnsi="Arial Narrow" w:cs="Arial"/>
          <w:color w:val="0000FF"/>
        </w:rPr>
        <w:t>Plan of Care for Anemia Measure (N, % Agreement)</w:t>
      </w:r>
    </w:p>
    <w:p w:rsidR="00BA145D" w:rsidRPr="00CD35D2" w:rsidRDefault="00BA145D" w:rsidP="00BA145D">
      <w:pPr>
        <w:rPr>
          <w:rFonts w:ascii="Arial Narrow" w:hAnsi="Arial Narrow" w:cs="Arial"/>
          <w:color w:val="0000FF"/>
        </w:rPr>
      </w:pPr>
      <w:r w:rsidRPr="00CD35D2">
        <w:rPr>
          <w:rFonts w:ascii="Arial Narrow" w:hAnsi="Arial Narrow" w:cs="Arial"/>
          <w:color w:val="0000FF"/>
        </w:rPr>
        <w:t>314, 58.3% Agreement</w:t>
      </w:r>
    </w:p>
    <w:p w:rsidR="00BA145D" w:rsidRPr="00CD35D2" w:rsidRDefault="00E1508F" w:rsidP="00BA145D">
      <w:pPr>
        <w:rPr>
          <w:rFonts w:ascii="Arial Narrow" w:hAnsi="Arial Narrow" w:cs="Arial"/>
          <w:color w:val="0000FF"/>
        </w:rPr>
      </w:pP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r w:rsidR="00A35F8F" w:rsidRPr="00DB3627">
        <w:rPr>
          <w:rFonts w:cstheme="minorHAnsi"/>
          <w:bCs/>
        </w:rPr>
        <w:br/>
      </w:r>
    </w:p>
    <w:p w:rsidR="00BA145D" w:rsidRPr="00E1508F" w:rsidRDefault="00BA145D" w:rsidP="00BA145D">
      <w:pPr>
        <w:autoSpaceDE w:val="0"/>
        <w:autoSpaceDN w:val="0"/>
        <w:adjustRightInd w:val="0"/>
        <w:spacing w:after="0" w:line="240" w:lineRule="auto"/>
        <w:rPr>
          <w:rFonts w:cstheme="minorHAnsi"/>
          <w:bCs/>
        </w:rPr>
      </w:pPr>
      <w:r w:rsidRPr="00CD35D2">
        <w:rPr>
          <w:rFonts w:ascii="Arial Narrow" w:hAnsi="Arial Narrow" w:cs="Arial"/>
          <w:color w:val="0000FF"/>
        </w:rPr>
        <w:lastRenderedPageBreak/>
        <w:t>It should be noted that there were instances where the wrong quality data code was inserted on the claim based on the documented laboratory results available.  This was likely due to the process of some dialysis facilities’ practice of routine billing the first of every month.  This would cause a June bill to refer to laboratory results from May.  This test was run in the first year of the program implementation which may have affected results as well.</w:t>
      </w:r>
    </w:p>
    <w:p w:rsidR="0079180E" w:rsidRDefault="0079180E" w:rsidP="00DB3627">
      <w:pPr>
        <w:autoSpaceDE w:val="0"/>
        <w:autoSpaceDN w:val="0"/>
        <w:adjustRightInd w:val="0"/>
        <w:spacing w:after="0" w:line="240" w:lineRule="auto"/>
        <w:rPr>
          <w:rFonts w:cstheme="minorHAnsi"/>
          <w:bCs/>
        </w:rPr>
      </w:pPr>
    </w:p>
    <w:p w:rsidR="008F7E67" w:rsidRDefault="008F7E67" w:rsidP="008F7E67">
      <w:pPr>
        <w:spacing w:after="0" w:line="240" w:lineRule="auto"/>
        <w:rPr>
          <w:rFonts w:cstheme="minorHAnsi"/>
          <w:b/>
          <w:bCs/>
        </w:rPr>
      </w:pPr>
      <w:r>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8F7E67" w:rsidRDefault="008F7E67" w:rsidP="008F7E67">
      <w:pPr>
        <w:autoSpaceDE w:val="0"/>
        <w:autoSpaceDN w:val="0"/>
        <w:adjustRightInd w:val="0"/>
        <w:spacing w:after="0" w:line="240" w:lineRule="auto"/>
        <w:rPr>
          <w:rFonts w:cstheme="minorHAnsi"/>
          <w:bCs/>
        </w:rPr>
      </w:pPr>
    </w:p>
    <w:p w:rsidR="008F7E67" w:rsidRPr="00A25024"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r w:rsidRPr="00A25024">
        <w:rPr>
          <w:rFonts w:cstheme="minorHAnsi"/>
          <w:bCs/>
        </w:rPr>
        <w:br/>
        <w:t xml:space="preserve"> </w:t>
      </w:r>
    </w:p>
    <w:p w:rsidR="008F7E67" w:rsidRPr="00A25024" w:rsidRDefault="008F7E67" w:rsidP="008F7E67">
      <w:pPr>
        <w:pStyle w:val="ListParagraph"/>
        <w:autoSpaceDE w:val="0"/>
        <w:autoSpaceDN w:val="0"/>
        <w:adjustRightInd w:val="0"/>
        <w:spacing w:after="0" w:line="240" w:lineRule="auto"/>
        <w:ind w:left="0"/>
        <w:rPr>
          <w:rFonts w:cstheme="minorHAnsi"/>
          <w:bCs/>
        </w:rPr>
      </w:pPr>
    </w:p>
    <w:p w:rsidR="008F7E67" w:rsidRDefault="008F7E67" w:rsidP="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p>
    <w:p w:rsidR="008F7E67" w:rsidRPr="00E1508F" w:rsidRDefault="008F7E67" w:rsidP="008F7E67">
      <w:pPr>
        <w:autoSpaceDE w:val="0"/>
        <w:autoSpaceDN w:val="0"/>
        <w:adjustRightInd w:val="0"/>
        <w:spacing w:after="0" w:line="240" w:lineRule="auto"/>
        <w:rPr>
          <w:rFonts w:cstheme="minorHAnsi"/>
          <w:bCs/>
        </w:rPr>
      </w:pPr>
    </w:p>
    <w:p w:rsidR="008B604D" w:rsidRDefault="008F7E67">
      <w:pPr>
        <w:autoSpaceDE w:val="0"/>
        <w:autoSpaceDN w:val="0"/>
        <w:adjustRightInd w:val="0"/>
        <w:spacing w:after="0" w:line="240" w:lineRule="auto"/>
        <w:rPr>
          <w:rFonts w:cstheme="minorHAnsi"/>
          <w:bCs/>
        </w:rPr>
      </w:pP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BA053B" w:rsidRPr="005560E7" w:rsidRDefault="00BA053B">
      <w:pPr>
        <w:autoSpaceDE w:val="0"/>
        <w:autoSpaceDN w:val="0"/>
        <w:adjustRightInd w:val="0"/>
        <w:spacing w:after="0" w:line="240" w:lineRule="auto"/>
        <w:rPr>
          <w:rFonts w:cstheme="minorHAnsi"/>
          <w:bCs/>
        </w:rPr>
      </w:pPr>
      <w:bookmarkStart w:id="14" w:name="_GoBack"/>
      <w:bookmarkEnd w:id="14"/>
    </w:p>
    <w:sectPr w:rsidR="00BA053B" w:rsidRPr="005560E7" w:rsidSect="008505D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89F" w:rsidRDefault="008F589F" w:rsidP="005C73CA">
      <w:pPr>
        <w:spacing w:after="0" w:line="240" w:lineRule="auto"/>
      </w:pPr>
      <w:r>
        <w:separator/>
      </w:r>
    </w:p>
  </w:endnote>
  <w:endnote w:type="continuationSeparator" w:id="0">
    <w:p w:rsidR="008F589F" w:rsidRDefault="008F589F"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Default="0012454F">
    <w:pPr>
      <w:pStyle w:val="Footer"/>
    </w:pPr>
    <w:r>
      <w:t xml:space="preserve">Version 6.5 </w:t>
    </w:r>
    <w:r w:rsidR="003A7DE7">
      <w:t xml:space="preserve"> </w:t>
    </w:r>
    <w:r w:rsidR="008F7E67">
      <w:t>08/20/13</w:t>
    </w:r>
    <w:r w:rsidR="008F589F">
      <w:ptab w:relativeTo="margin" w:alignment="center" w:leader="none"/>
    </w:r>
    <w:r w:rsidR="008F589F">
      <w:ptab w:relativeTo="margin" w:alignment="right" w:leader="none"/>
    </w:r>
    <w:r w:rsidR="008F589F">
      <w:fldChar w:fldCharType="begin"/>
    </w:r>
    <w:r w:rsidR="008F589F">
      <w:instrText xml:space="preserve"> PAGE   \* MERGEFORMAT </w:instrText>
    </w:r>
    <w:r w:rsidR="008F589F">
      <w:fldChar w:fldCharType="separate"/>
    </w:r>
    <w:r w:rsidR="00BA145D">
      <w:rPr>
        <w:noProof/>
      </w:rPr>
      <w:t>11</w:t>
    </w:r>
    <w:r w:rsidR="008F58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89F" w:rsidRDefault="008F589F" w:rsidP="005C73CA">
      <w:pPr>
        <w:spacing w:after="0" w:line="240" w:lineRule="auto"/>
      </w:pPr>
      <w:r>
        <w:separator/>
      </w:r>
    </w:p>
  </w:footnote>
  <w:footnote w:type="continuationSeparator" w:id="0">
    <w:p w:rsidR="008F589F" w:rsidRDefault="008F589F"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89F" w:rsidRPr="00105D8B" w:rsidRDefault="008F589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5EE78B1"/>
    <w:multiLevelType w:val="hybridMultilevel"/>
    <w:tmpl w:val="BE1229BC"/>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1">
      <w:start w:val="1"/>
      <w:numFmt w:val="bullet"/>
      <w:lvlText w:val=""/>
      <w:lvlJc w:val="left"/>
      <w:pPr>
        <w:tabs>
          <w:tab w:val="num" w:pos="2520"/>
        </w:tabs>
        <w:ind w:left="2520" w:hanging="360"/>
      </w:pPr>
      <w:rPr>
        <w:rFonts w:ascii="Symbol" w:hAnsi="Symbol"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8"/>
  </w:num>
  <w:num w:numId="9">
    <w:abstractNumId w:val="8"/>
  </w:num>
  <w:num w:numId="10">
    <w:abstractNumId w:val="23"/>
  </w:num>
  <w:num w:numId="11">
    <w:abstractNumId w:val="10"/>
  </w:num>
  <w:num w:numId="12">
    <w:abstractNumId w:val="21"/>
  </w:num>
  <w:num w:numId="13">
    <w:abstractNumId w:val="16"/>
  </w:num>
  <w:num w:numId="14">
    <w:abstractNumId w:val="16"/>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5"/>
  </w:num>
  <w:num w:numId="16">
    <w:abstractNumId w:val="7"/>
  </w:num>
  <w:num w:numId="17">
    <w:abstractNumId w:val="22"/>
  </w:num>
  <w:num w:numId="18">
    <w:abstractNumId w:val="20"/>
  </w:num>
  <w:num w:numId="19">
    <w:abstractNumId w:val="19"/>
  </w:num>
  <w:num w:numId="20">
    <w:abstractNumId w:val="14"/>
  </w:num>
  <w:num w:numId="21">
    <w:abstractNumId w:val="17"/>
  </w:num>
  <w:num w:numId="22">
    <w:abstractNumId w:val="13"/>
  </w:num>
  <w:num w:numId="23">
    <w:abstractNumId w:val="6"/>
  </w:num>
  <w:num w:numId="24">
    <w:abstractNumId w:val="12"/>
  </w:num>
  <w:num w:numId="25">
    <w:abstractNumId w:val="11"/>
  </w:num>
  <w:num w:numId="26">
    <w:abstractNumId w:val="24"/>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forms" w:enforcement="0"/>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5149"/>
    <w:rsid w:val="00145D4F"/>
    <w:rsid w:val="0014773C"/>
    <w:rsid w:val="0017696D"/>
    <w:rsid w:val="001848FC"/>
    <w:rsid w:val="001969C5"/>
    <w:rsid w:val="001A6CDD"/>
    <w:rsid w:val="001C12EE"/>
    <w:rsid w:val="001C7B02"/>
    <w:rsid w:val="001E4DD4"/>
    <w:rsid w:val="001E69DC"/>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560E7"/>
    <w:rsid w:val="005612CC"/>
    <w:rsid w:val="00563029"/>
    <w:rsid w:val="00567D12"/>
    <w:rsid w:val="00576062"/>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3E"/>
    <w:rsid w:val="00A35F8F"/>
    <w:rsid w:val="00A41377"/>
    <w:rsid w:val="00A4263D"/>
    <w:rsid w:val="00A509B8"/>
    <w:rsid w:val="00A52AB9"/>
    <w:rsid w:val="00A6210B"/>
    <w:rsid w:val="00A7323A"/>
    <w:rsid w:val="00A831B4"/>
    <w:rsid w:val="00A97798"/>
    <w:rsid w:val="00AA5213"/>
    <w:rsid w:val="00AA65A6"/>
    <w:rsid w:val="00AB6509"/>
    <w:rsid w:val="00AC1D8E"/>
    <w:rsid w:val="00AC48FA"/>
    <w:rsid w:val="00AD0240"/>
    <w:rsid w:val="00AD4137"/>
    <w:rsid w:val="00B037BA"/>
    <w:rsid w:val="00B20139"/>
    <w:rsid w:val="00B218DA"/>
    <w:rsid w:val="00B342FA"/>
    <w:rsid w:val="00B53E8B"/>
    <w:rsid w:val="00B774D2"/>
    <w:rsid w:val="00B8015A"/>
    <w:rsid w:val="00B82A57"/>
    <w:rsid w:val="00BA053B"/>
    <w:rsid w:val="00BA145D"/>
    <w:rsid w:val="00BB35AE"/>
    <w:rsid w:val="00BC03A1"/>
    <w:rsid w:val="00BC0D25"/>
    <w:rsid w:val="00BD2505"/>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67F0"/>
    <w:rsid w:val="00CA06D8"/>
    <w:rsid w:val="00CA345A"/>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tgc">
    <w:name w:val="_tgc"/>
    <w:basedOn w:val="DefaultParagraphFont"/>
    <w:rsid w:val="00AB65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tgc">
    <w:name w:val="_tgc"/>
    <w:basedOn w:val="DefaultParagraphFont"/>
    <w:rsid w:val="00AB65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840F0"/>
    <w:rsid w:val="00437537"/>
    <w:rsid w:val="0053654E"/>
    <w:rsid w:val="00632A7E"/>
    <w:rsid w:val="00632AB6"/>
    <w:rsid w:val="00730B33"/>
    <w:rsid w:val="00772B2A"/>
    <w:rsid w:val="007C672A"/>
    <w:rsid w:val="007D4368"/>
    <w:rsid w:val="00822666"/>
    <w:rsid w:val="00823ECC"/>
    <w:rsid w:val="00866C97"/>
    <w:rsid w:val="009017AE"/>
    <w:rsid w:val="009C542D"/>
    <w:rsid w:val="00A95183"/>
    <w:rsid w:val="00AB4AF7"/>
    <w:rsid w:val="00AD7C4F"/>
    <w:rsid w:val="00B445F5"/>
    <w:rsid w:val="00BD40CB"/>
    <w:rsid w:val="00C362A2"/>
    <w:rsid w:val="00C90121"/>
    <w:rsid w:val="00CA344F"/>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11</Pages>
  <Words>4954</Words>
  <Characters>28238</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33126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Amy Beckrich</cp:lastModifiedBy>
  <cp:revision>3</cp:revision>
  <dcterms:created xsi:type="dcterms:W3CDTF">2015-03-12T17:34:00Z</dcterms:created>
  <dcterms:modified xsi:type="dcterms:W3CDTF">2015-03-12T17:57:00Z</dcterms:modified>
</cp:coreProperties>
</file>