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CAA65"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79519D7C" w14:textId="77777777" w:rsidR="00797624" w:rsidRDefault="00797624" w:rsidP="00105D8B">
      <w:pPr>
        <w:contextualSpacing/>
        <w:rPr>
          <w:rFonts w:cstheme="minorHAnsi"/>
          <w:b/>
          <w:noProof/>
        </w:rPr>
      </w:pPr>
    </w:p>
    <w:p w14:paraId="4B13921C"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14:paraId="48D923F3"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9F534E">
            <w:rPr>
              <w:rFonts w:ascii="Trebuchet MS" w:hAnsi="Trebuchet MS"/>
              <w:color w:val="274D38"/>
              <w:sz w:val="18"/>
              <w:szCs w:val="18"/>
              <w:shd w:val="clear" w:color="auto" w:fill="FFFFFF"/>
            </w:rPr>
            <w:t>Optimal End Stage Renal Disease (ESRD) Starts</w:t>
          </w:r>
        </w:sdtContent>
      </w:sdt>
    </w:p>
    <w:p w14:paraId="4D44EAB5" w14:textId="77777777"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A25024">
            <w:rPr>
              <w:rStyle w:val="PlaceholderText"/>
              <w:rFonts w:cstheme="minorHAnsi"/>
              <w:color w:val="A6A6A6" w:themeColor="background1" w:themeShade="A6"/>
            </w:rPr>
            <w:t>Click here to enter a date</w:t>
          </w:r>
        </w:sdtContent>
      </w:sdt>
    </w:p>
    <w:p w14:paraId="67ECFBE4"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5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06"/>
        <w:gridCol w:w="4928"/>
      </w:tblGrid>
      <w:tr w:rsidR="00CD364B" w:rsidRPr="00B82A57" w14:paraId="0DD62662" w14:textId="77777777" w:rsidTr="004D1C2E">
        <w:trPr>
          <w:jc w:val="center"/>
        </w:trPr>
        <w:tc>
          <w:tcPr>
            <w:tcW w:w="2661" w:type="pct"/>
          </w:tcPr>
          <w:p w14:paraId="09884760" w14:textId="77777777" w:rsidR="00CD364B" w:rsidRPr="00B82A57" w:rsidRDefault="00930DBB" w:rsidP="00CD364B">
            <w:pPr>
              <w:autoSpaceDE w:val="0"/>
              <w:autoSpaceDN w:val="0"/>
              <w:adjustRightInd w:val="0"/>
              <w:rPr>
                <w:rFonts w:cstheme="minorHAnsi"/>
                <w:bCs/>
              </w:rPr>
            </w:pPr>
            <w:sdt>
              <w:sdtPr>
                <w:rPr>
                  <w:rFonts w:cstheme="minorHAnsi"/>
                  <w:bCs/>
                  <w:color w:val="0000FF"/>
                  <w:u w:val="single"/>
                </w:rPr>
                <w:id w:val="-1406217088"/>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339" w:type="pct"/>
          </w:tcPr>
          <w:p w14:paraId="4C26F6C8" w14:textId="77777777" w:rsidR="00CD364B" w:rsidRPr="00B82A57" w:rsidRDefault="00930DBB" w:rsidP="00CD364B">
            <w:pPr>
              <w:autoSpaceDE w:val="0"/>
              <w:autoSpaceDN w:val="0"/>
              <w:adjustRightInd w:val="0"/>
              <w:rPr>
                <w:rFonts w:cstheme="minorHAnsi"/>
                <w:bCs/>
              </w:rPr>
            </w:pPr>
            <w:sdt>
              <w:sdtPr>
                <w:rPr>
                  <w:rFonts w:cstheme="minorHAnsi"/>
                  <w:bCs/>
                  <w:color w:val="0000FF"/>
                </w:rPr>
                <w:id w:val="40960739"/>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20AE1ADC" w14:textId="77777777" w:rsidTr="004D1C2E">
        <w:trPr>
          <w:jc w:val="center"/>
        </w:trPr>
        <w:tc>
          <w:tcPr>
            <w:tcW w:w="2661" w:type="pct"/>
          </w:tcPr>
          <w:p w14:paraId="6B8B3B44" w14:textId="77777777" w:rsidR="00CD364B" w:rsidRPr="00B82A57" w:rsidRDefault="00930DBB" w:rsidP="00CD364B">
            <w:pPr>
              <w:autoSpaceDE w:val="0"/>
              <w:autoSpaceDN w:val="0"/>
              <w:adjustRightInd w:val="0"/>
              <w:rPr>
                <w:rFonts w:cstheme="minorHAnsi"/>
                <w:bCs/>
              </w:rPr>
            </w:pPr>
            <w:sdt>
              <w:sdtPr>
                <w:rPr>
                  <w:rFonts w:cstheme="minorHAnsi"/>
                  <w:bCs/>
                  <w:color w:val="0000FF"/>
                </w:rPr>
                <w:id w:val="-1629553688"/>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339" w:type="pct"/>
          </w:tcPr>
          <w:p w14:paraId="576D8C59" w14:textId="77777777" w:rsidR="00CD364B" w:rsidRPr="00B82A57" w:rsidRDefault="00930DBB" w:rsidP="00CD364B">
            <w:pPr>
              <w:autoSpaceDE w:val="0"/>
              <w:autoSpaceDN w:val="0"/>
              <w:adjustRightInd w:val="0"/>
              <w:rPr>
                <w:rFonts w:cstheme="minorHAnsi"/>
                <w:bCs/>
              </w:rPr>
            </w:pPr>
            <w:sdt>
              <w:sdtPr>
                <w:rPr>
                  <w:rFonts w:cstheme="minorHAnsi"/>
                  <w:b/>
                  <w:bCs/>
                  <w:color w:val="0000FF"/>
                </w:rPr>
                <w:id w:val="-1952933063"/>
              </w:sdtPr>
              <w:sdtContent>
                <w:r w:rsidR="004D1C2E" w:rsidRPr="004D1C2E">
                  <w:rPr>
                    <w:rFonts w:ascii="MS Gothic" w:eastAsia="MS Gothic" w:hAnsi="MS Gothic" w:cstheme="minorHAnsi" w:hint="eastAsia"/>
                    <w:b/>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11C74034" w14:textId="77777777" w:rsidTr="004D1C2E">
        <w:trPr>
          <w:jc w:val="center"/>
        </w:trPr>
        <w:tc>
          <w:tcPr>
            <w:tcW w:w="2661" w:type="pct"/>
          </w:tcPr>
          <w:p w14:paraId="52492C4F" w14:textId="77777777" w:rsidR="00CD364B" w:rsidRPr="00B82A57" w:rsidRDefault="00930DBB" w:rsidP="00CD364B">
            <w:pPr>
              <w:autoSpaceDE w:val="0"/>
              <w:autoSpaceDN w:val="0"/>
              <w:adjustRightInd w:val="0"/>
              <w:rPr>
                <w:rFonts w:cstheme="minorHAnsi"/>
                <w:bCs/>
              </w:rPr>
            </w:pPr>
            <w:sdt>
              <w:sdtPr>
                <w:rPr>
                  <w:rFonts w:cstheme="minorHAnsi"/>
                  <w:bCs/>
                  <w:color w:val="0000FF"/>
                </w:rPr>
                <w:id w:val="1581719781"/>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339" w:type="pct"/>
          </w:tcPr>
          <w:p w14:paraId="5C35A9FD" w14:textId="77777777" w:rsidR="00CD364B" w:rsidRPr="00B82A57" w:rsidRDefault="00930DBB" w:rsidP="00CD364B">
            <w:pPr>
              <w:autoSpaceDE w:val="0"/>
              <w:autoSpaceDN w:val="0"/>
              <w:adjustRightInd w:val="0"/>
              <w:rPr>
                <w:rFonts w:cstheme="minorHAnsi"/>
                <w:bCs/>
              </w:rPr>
            </w:pPr>
            <w:sdt>
              <w:sdtPr>
                <w:rPr>
                  <w:rFonts w:cstheme="minorHAnsi"/>
                  <w:bCs/>
                  <w:color w:val="0000FF"/>
                </w:rPr>
                <w:id w:val="-1898113707"/>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23F6D6F2"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4724A368" w14:textId="77777777" w:rsidTr="00145149">
        <w:trPr>
          <w:jc w:val="center"/>
        </w:trPr>
        <w:tc>
          <w:tcPr>
            <w:tcW w:w="9576" w:type="dxa"/>
          </w:tcPr>
          <w:p w14:paraId="4FA0C367" w14:textId="77777777" w:rsidR="00B53E8B" w:rsidRPr="00B53E8B" w:rsidRDefault="00B53E8B" w:rsidP="00B53E8B">
            <w:pPr>
              <w:rPr>
                <w:rFonts w:cstheme="minorHAnsi"/>
                <w:b/>
                <w:noProof/>
              </w:rPr>
            </w:pPr>
            <w:r w:rsidRPr="00B53E8B">
              <w:rPr>
                <w:rFonts w:cstheme="minorHAnsi"/>
                <w:b/>
                <w:noProof/>
              </w:rPr>
              <w:t>Instructions</w:t>
            </w:r>
          </w:p>
          <w:p w14:paraId="657516D0"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7F925F1"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0C317C79"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6180F357"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2B043217"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5B025BE5"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48C3B3C"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12C91483"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639DA100"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5937C0D6" w14:textId="77777777" w:rsidTr="00145149">
        <w:trPr>
          <w:jc w:val="center"/>
        </w:trPr>
        <w:tc>
          <w:tcPr>
            <w:tcW w:w="9576" w:type="dxa"/>
          </w:tcPr>
          <w:p w14:paraId="31365D22"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0D9FBCEB" w14:textId="77777777" w:rsidR="00B53E8B" w:rsidRPr="00A831B4" w:rsidRDefault="00B53E8B" w:rsidP="00702C73">
            <w:pPr>
              <w:rPr>
                <w:rFonts w:cstheme="minorHAnsi"/>
                <w:b/>
                <w:bCs/>
                <w:sz w:val="20"/>
                <w:szCs w:val="20"/>
              </w:rPr>
            </w:pPr>
          </w:p>
          <w:p w14:paraId="441F3580"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7C5436D4" w14:textId="77777777" w:rsidR="00145149" w:rsidRPr="000F034A" w:rsidRDefault="00145149" w:rsidP="00145149">
            <w:pPr>
              <w:autoSpaceDE w:val="0"/>
              <w:autoSpaceDN w:val="0"/>
              <w:adjustRightInd w:val="0"/>
              <w:rPr>
                <w:rFonts w:cstheme="minorHAnsi"/>
                <w:b/>
                <w:iCs/>
              </w:rPr>
            </w:pPr>
          </w:p>
          <w:p w14:paraId="45C86039"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33203244" w14:textId="77777777" w:rsidR="00145149" w:rsidRPr="000F034A" w:rsidRDefault="00145149" w:rsidP="00145149">
            <w:pPr>
              <w:rPr>
                <w:rFonts w:cstheme="minorHAnsi"/>
              </w:rPr>
            </w:pPr>
            <w:bookmarkStart w:id="0" w:name="_Toc256067249"/>
          </w:p>
          <w:p w14:paraId="75352015"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121CCD7A" w14:textId="77777777" w:rsidR="00145149" w:rsidRPr="000F034A" w:rsidRDefault="00145149" w:rsidP="00145149">
            <w:pPr>
              <w:rPr>
                <w:rFonts w:cstheme="minorHAnsi"/>
                <w:b/>
              </w:rPr>
            </w:pPr>
            <w:r w:rsidRPr="000F034A">
              <w:rPr>
                <w:rFonts w:cstheme="minorHAnsi"/>
                <w:b/>
              </w:rPr>
              <w:t xml:space="preserve">AND </w:t>
            </w:r>
          </w:p>
          <w:p w14:paraId="760380EE"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7F7632D4" w14:textId="77777777" w:rsidR="00145149" w:rsidRPr="000F034A" w:rsidRDefault="00145149" w:rsidP="00145149">
            <w:pPr>
              <w:rPr>
                <w:rFonts w:cstheme="minorHAnsi"/>
                <w:b/>
                <w:bCs/>
              </w:rPr>
            </w:pPr>
          </w:p>
          <w:p w14:paraId="7488DF55" w14:textId="77777777"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41ECA482"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2E6FE6F8" w14:textId="77777777" w:rsidR="00145149" w:rsidRPr="000F034A" w:rsidRDefault="00145149" w:rsidP="00145149">
            <w:pPr>
              <w:rPr>
                <w:rFonts w:cstheme="minorHAnsi"/>
                <w:b/>
              </w:rPr>
            </w:pPr>
            <w:r w:rsidRPr="000F034A">
              <w:rPr>
                <w:rFonts w:cstheme="minorHAnsi"/>
                <w:b/>
              </w:rPr>
              <w:t>OR</w:t>
            </w:r>
          </w:p>
          <w:p w14:paraId="15FC8679"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13BF8349" w14:textId="77777777" w:rsidR="00145149" w:rsidRPr="000F034A" w:rsidRDefault="00145149" w:rsidP="00145149">
            <w:pPr>
              <w:rPr>
                <w:rFonts w:cstheme="minorHAnsi"/>
                <w:b/>
                <w:bCs/>
              </w:rPr>
            </w:pPr>
          </w:p>
          <w:bookmarkEnd w:id="1"/>
          <w:p w14:paraId="351C4B41"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197FDE3F" w14:textId="77777777" w:rsidR="00145149" w:rsidRPr="000F034A" w:rsidRDefault="00145149" w:rsidP="00145149">
            <w:pPr>
              <w:rPr>
                <w:rFonts w:cstheme="minorHAnsi"/>
              </w:rPr>
            </w:pPr>
            <w:r w:rsidRPr="000F034A">
              <w:rPr>
                <w:rFonts w:cstheme="minorHAnsi"/>
                <w:b/>
              </w:rPr>
              <w:t>OR</w:t>
            </w:r>
          </w:p>
          <w:p w14:paraId="597DE45D"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4DAE9695" w14:textId="77777777" w:rsidR="00145149" w:rsidRPr="000F034A" w:rsidRDefault="00145149" w:rsidP="00145149">
            <w:pPr>
              <w:rPr>
                <w:rFonts w:cstheme="minorHAnsi"/>
                <w:b/>
                <w:bCs/>
              </w:rPr>
            </w:pPr>
          </w:p>
          <w:p w14:paraId="3DD3A0F4"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7AD28DC6" w14:textId="77777777" w:rsidR="00E30584" w:rsidRPr="000F034A" w:rsidRDefault="00E30584" w:rsidP="00145149">
            <w:pPr>
              <w:rPr>
                <w:rFonts w:cstheme="minorHAnsi"/>
              </w:rPr>
            </w:pPr>
          </w:p>
          <w:p w14:paraId="7A95DCA9"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623F49C9" w14:textId="77777777" w:rsidR="00145149" w:rsidRPr="00A831B4" w:rsidRDefault="00145149" w:rsidP="00145149">
            <w:pPr>
              <w:rPr>
                <w:rFonts w:cstheme="minorHAnsi"/>
                <w:b/>
                <w:bCs/>
                <w:sz w:val="20"/>
                <w:szCs w:val="20"/>
              </w:rPr>
            </w:pPr>
          </w:p>
          <w:p w14:paraId="30FE90BE"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31039201"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7105070D"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68EC83FE"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5490944B"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4995E619"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16A939A8"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75159D12"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4AEDB0FA" w14:textId="77777777" w:rsidR="00BC0D25" w:rsidRDefault="00BC0D25" w:rsidP="00702C73">
      <w:pPr>
        <w:spacing w:after="0" w:line="240" w:lineRule="auto"/>
        <w:rPr>
          <w:rFonts w:cstheme="minorHAnsi"/>
          <w:noProof/>
        </w:rPr>
      </w:pPr>
    </w:p>
    <w:p w14:paraId="1BAB3B7E" w14:textId="77777777" w:rsidR="00702C73" w:rsidRPr="00702C73" w:rsidRDefault="00702C73" w:rsidP="00702C73">
      <w:pPr>
        <w:spacing w:after="0" w:line="240" w:lineRule="auto"/>
        <w:rPr>
          <w:rFonts w:cstheme="minorHAnsi"/>
          <w:noProof/>
        </w:rPr>
      </w:pPr>
    </w:p>
    <w:p w14:paraId="13160DFE"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50238C1C"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7EC2E8E8" w14:textId="77777777" w:rsidR="000574AB" w:rsidRPr="00A25024" w:rsidRDefault="000574AB" w:rsidP="008A403A">
      <w:pPr>
        <w:spacing w:after="0" w:line="240" w:lineRule="auto"/>
        <w:rPr>
          <w:rFonts w:cstheme="minorHAnsi"/>
          <w:noProof/>
        </w:rPr>
      </w:pPr>
    </w:p>
    <w:p w14:paraId="166E0B3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3A9CB711" w14:textId="77777777" w:rsidTr="0014773C">
        <w:trPr>
          <w:jc w:val="center"/>
        </w:trPr>
        <w:tc>
          <w:tcPr>
            <w:tcW w:w="5208" w:type="dxa"/>
            <w:shd w:val="clear" w:color="auto" w:fill="D9D9D9" w:themeFill="background1" w:themeFillShade="D9"/>
          </w:tcPr>
          <w:p w14:paraId="16B0E512"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1B509DD6" w14:textId="77777777" w:rsidR="009A6A57" w:rsidRPr="008D6D7C" w:rsidRDefault="009A6A57" w:rsidP="008D6D7C">
            <w:pPr>
              <w:autoSpaceDE w:val="0"/>
              <w:autoSpaceDN w:val="0"/>
              <w:adjustRightInd w:val="0"/>
              <w:rPr>
                <w:rFonts w:cstheme="minorHAnsi"/>
                <w:b/>
                <w:bCs/>
                <w:color w:val="00B050"/>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r w:rsidR="008D6D7C">
              <w:rPr>
                <w:rFonts w:cstheme="minorHAnsi"/>
                <w:b/>
                <w:bCs/>
                <w:noProof/>
              </w:rPr>
              <w:t xml:space="preserve"> </w:t>
            </w:r>
          </w:p>
        </w:tc>
        <w:tc>
          <w:tcPr>
            <w:tcW w:w="4847" w:type="dxa"/>
            <w:shd w:val="clear" w:color="auto" w:fill="D9D9D9" w:themeFill="background1" w:themeFillShade="D9"/>
          </w:tcPr>
          <w:p w14:paraId="7EC3DA5A"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3AF07C32" w14:textId="77777777" w:rsidTr="0014773C">
        <w:trPr>
          <w:jc w:val="center"/>
        </w:trPr>
        <w:tc>
          <w:tcPr>
            <w:tcW w:w="5208" w:type="dxa"/>
          </w:tcPr>
          <w:p w14:paraId="2927D122" w14:textId="1850883B" w:rsidR="00A01494" w:rsidRPr="00A01494" w:rsidRDefault="00930DBB" w:rsidP="00DB3627">
            <w:pPr>
              <w:autoSpaceDE w:val="0"/>
              <w:autoSpaceDN w:val="0"/>
              <w:adjustRightInd w:val="0"/>
              <w:rPr>
                <w:rFonts w:cstheme="minorHAnsi"/>
                <w:bCs/>
              </w:rPr>
            </w:pPr>
            <w:sdt>
              <w:sdtPr>
                <w:rPr>
                  <w:rFonts w:cstheme="minorHAnsi"/>
                  <w:b/>
                  <w:bCs/>
                  <w:color w:val="0000FF"/>
                </w:rPr>
                <w:id w:val="-839233565"/>
              </w:sdtPr>
              <w:sdtContent>
                <w:sdt>
                  <w:sdtPr>
                    <w:rPr>
                      <w:rFonts w:cstheme="minorHAnsi"/>
                      <w:bCs/>
                      <w:color w:val="0000FF"/>
                    </w:rPr>
                    <w:id w:val="1426381062"/>
                  </w:sdtPr>
                  <w:sdtContent>
                    <w:r w:rsidR="003A650D" w:rsidRPr="006574D2">
                      <w:rPr>
                        <w:rFonts w:ascii="MS Gothic" w:eastAsia="MS Gothic" w:cstheme="minorHAnsi" w:hint="eastAsia"/>
                        <w:bCs/>
                        <w:color w:val="0000FF"/>
                      </w:rPr>
                      <w:t>☐</w:t>
                    </w:r>
                  </w:sdtContent>
                </w:sdt>
              </w:sdtContent>
            </w:sdt>
            <w:r w:rsidR="00B82A57">
              <w:rPr>
                <w:rFonts w:cstheme="minorHAnsi"/>
                <w:bCs/>
              </w:rPr>
              <w:t xml:space="preserve"> </w:t>
            </w:r>
            <w:r w:rsidR="00A01494" w:rsidRPr="00A01494">
              <w:rPr>
                <w:rFonts w:cstheme="minorHAnsi"/>
                <w:bCs/>
              </w:rPr>
              <w:t>abstracted from paper record</w:t>
            </w:r>
          </w:p>
        </w:tc>
        <w:tc>
          <w:tcPr>
            <w:tcW w:w="4847" w:type="dxa"/>
          </w:tcPr>
          <w:p w14:paraId="778EC38A" w14:textId="77777777" w:rsidR="00A01494" w:rsidRPr="00A01494" w:rsidRDefault="00930DBB" w:rsidP="00DB3627">
            <w:pPr>
              <w:autoSpaceDE w:val="0"/>
              <w:autoSpaceDN w:val="0"/>
              <w:adjustRightInd w:val="0"/>
              <w:rPr>
                <w:rFonts w:cstheme="minorHAnsi"/>
                <w:bCs/>
              </w:rPr>
            </w:pPr>
            <w:sdt>
              <w:sdtPr>
                <w:rPr>
                  <w:rFonts w:cstheme="minorHAnsi"/>
                  <w:bCs/>
                  <w:color w:val="0000FF"/>
                </w:rPr>
                <w:id w:val="98917060"/>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2ED5376F" w14:textId="77777777" w:rsidTr="0014773C">
        <w:trPr>
          <w:jc w:val="center"/>
        </w:trPr>
        <w:tc>
          <w:tcPr>
            <w:tcW w:w="5208" w:type="dxa"/>
          </w:tcPr>
          <w:p w14:paraId="36D955C5" w14:textId="427C992F" w:rsidR="00A01494" w:rsidRPr="00A01494" w:rsidRDefault="00930DBB" w:rsidP="00DB3627">
            <w:pPr>
              <w:autoSpaceDE w:val="0"/>
              <w:autoSpaceDN w:val="0"/>
              <w:adjustRightInd w:val="0"/>
              <w:rPr>
                <w:rFonts w:cstheme="minorHAnsi"/>
                <w:bCs/>
              </w:rPr>
            </w:pPr>
            <w:sdt>
              <w:sdtPr>
                <w:rPr>
                  <w:rFonts w:cstheme="minorHAnsi"/>
                  <w:bCs/>
                  <w:color w:val="0000FF"/>
                </w:rPr>
                <w:id w:val="560149406"/>
              </w:sdtPr>
              <w:sdtContent>
                <w:sdt>
                  <w:sdtPr>
                    <w:rPr>
                      <w:rFonts w:cstheme="minorHAnsi"/>
                      <w:b/>
                      <w:bCs/>
                      <w:color w:val="0000FF"/>
                    </w:rPr>
                    <w:id w:val="-662709574"/>
                  </w:sdtPr>
                  <w:sdtContent>
                    <w:r w:rsidR="003A650D" w:rsidRPr="003F4C99">
                      <w:rPr>
                        <w:rFonts w:ascii="MS Gothic" w:eastAsia="MS Gothic" w:hAnsi="MS Gothic" w:cstheme="minorHAnsi" w:hint="eastAsia"/>
                        <w:b/>
                        <w:bCs/>
                        <w:color w:val="0000FF"/>
                      </w:rPr>
                      <w:t>☒</w:t>
                    </w:r>
                  </w:sdtContent>
                </w:sdt>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4ABC249B" w14:textId="77777777" w:rsidR="00A01494" w:rsidRPr="00A01494" w:rsidRDefault="00930DBB" w:rsidP="00DB3627">
            <w:pPr>
              <w:autoSpaceDE w:val="0"/>
              <w:autoSpaceDN w:val="0"/>
              <w:adjustRightInd w:val="0"/>
              <w:rPr>
                <w:rFonts w:cstheme="minorHAnsi"/>
                <w:bCs/>
              </w:rPr>
            </w:pPr>
            <w:sdt>
              <w:sdtPr>
                <w:rPr>
                  <w:rFonts w:cstheme="minorHAnsi"/>
                  <w:bCs/>
                  <w:color w:val="0000FF"/>
                </w:rPr>
                <w:id w:val="-387195507"/>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47D69DB5" w14:textId="77777777" w:rsidTr="0014773C">
        <w:trPr>
          <w:jc w:val="center"/>
        </w:trPr>
        <w:tc>
          <w:tcPr>
            <w:tcW w:w="5208" w:type="dxa"/>
          </w:tcPr>
          <w:p w14:paraId="44BC7118" w14:textId="77777777" w:rsidR="00A01494" w:rsidRPr="00A01494" w:rsidRDefault="00930DBB" w:rsidP="00DB3627">
            <w:pPr>
              <w:autoSpaceDE w:val="0"/>
              <w:autoSpaceDN w:val="0"/>
              <w:adjustRightInd w:val="0"/>
              <w:rPr>
                <w:rFonts w:cstheme="minorHAnsi"/>
                <w:bCs/>
              </w:rPr>
            </w:pPr>
            <w:sdt>
              <w:sdtPr>
                <w:rPr>
                  <w:rFonts w:cstheme="minorHAnsi"/>
                  <w:b/>
                  <w:bCs/>
                  <w:color w:val="0000FF"/>
                </w:rPr>
                <w:id w:val="751091068"/>
              </w:sdtPr>
              <w:sdtContent>
                <w:r w:rsidR="003F4C99" w:rsidRPr="003F4C99">
                  <w:rPr>
                    <w:rFonts w:ascii="MS Gothic" w:eastAsia="MS Gothic" w:hAnsi="MS Gothic" w:cstheme="minorHAnsi" w:hint="eastAsia"/>
                    <w:b/>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0C4B8269" w14:textId="771C065E" w:rsidR="00A01494" w:rsidRPr="00A01494" w:rsidRDefault="00930DBB" w:rsidP="00DB3627">
            <w:pPr>
              <w:autoSpaceDE w:val="0"/>
              <w:autoSpaceDN w:val="0"/>
              <w:adjustRightInd w:val="0"/>
              <w:rPr>
                <w:rFonts w:cstheme="minorHAnsi"/>
                <w:bCs/>
              </w:rPr>
            </w:pPr>
            <w:sdt>
              <w:sdtPr>
                <w:rPr>
                  <w:rFonts w:cstheme="minorHAnsi"/>
                  <w:b/>
                  <w:bCs/>
                  <w:color w:val="0000FF"/>
                </w:rPr>
                <w:id w:val="547026371"/>
              </w:sdtPr>
              <w:sdtContent>
                <w:sdt>
                  <w:sdtPr>
                    <w:rPr>
                      <w:rFonts w:cstheme="minorHAnsi"/>
                      <w:bCs/>
                      <w:color w:val="0000FF"/>
                    </w:rPr>
                    <w:id w:val="-821582975"/>
                  </w:sdtPr>
                  <w:sdtContent>
                    <w:r w:rsidR="0090033B" w:rsidRPr="006574D2">
                      <w:rPr>
                        <w:rFonts w:ascii="MS Gothic" w:eastAsia="MS Gothic" w:cstheme="minorHAnsi" w:hint="eastAsia"/>
                        <w:bCs/>
                        <w:color w:val="0000FF"/>
                      </w:rPr>
                      <w:t>☐</w:t>
                    </w:r>
                  </w:sdtContent>
                </w:sdt>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2789F378" w14:textId="77777777" w:rsidTr="0014773C">
        <w:trPr>
          <w:jc w:val="center"/>
        </w:trPr>
        <w:tc>
          <w:tcPr>
            <w:tcW w:w="5208" w:type="dxa"/>
          </w:tcPr>
          <w:p w14:paraId="0F6CFF00" w14:textId="77777777" w:rsidR="00A01494" w:rsidRPr="00A01494" w:rsidRDefault="00930DBB" w:rsidP="00DB3627">
            <w:pPr>
              <w:autoSpaceDE w:val="0"/>
              <w:autoSpaceDN w:val="0"/>
              <w:adjustRightInd w:val="0"/>
              <w:rPr>
                <w:rFonts w:cstheme="minorHAnsi"/>
                <w:bCs/>
              </w:rPr>
            </w:pPr>
            <w:sdt>
              <w:sdtPr>
                <w:rPr>
                  <w:rFonts w:cstheme="minorHAnsi"/>
                  <w:b/>
                  <w:bCs/>
                  <w:color w:val="0000FF"/>
                </w:rPr>
                <w:id w:val="1121342177"/>
              </w:sdtPr>
              <w:sdtContent>
                <w:r w:rsidR="008D6D7C" w:rsidRPr="008D6D7C">
                  <w:rPr>
                    <w:rFonts w:ascii="MS Gothic" w:eastAsia="MS Gothic" w:hAnsi="MS Gothic" w:cstheme="minorHAnsi" w:hint="eastAsia"/>
                    <w:b/>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637F5919" w14:textId="77777777" w:rsidR="00A01494" w:rsidRPr="00A01494" w:rsidRDefault="00930DBB" w:rsidP="00DB3627">
            <w:pPr>
              <w:autoSpaceDE w:val="0"/>
              <w:autoSpaceDN w:val="0"/>
              <w:adjustRightInd w:val="0"/>
              <w:rPr>
                <w:rFonts w:cstheme="minorHAnsi"/>
                <w:bCs/>
              </w:rPr>
            </w:pPr>
            <w:sdt>
              <w:sdtPr>
                <w:rPr>
                  <w:rFonts w:cstheme="minorHAnsi"/>
                  <w:bCs/>
                  <w:color w:val="0000FF"/>
                </w:rPr>
                <w:id w:val="-359203911"/>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7B527049" w14:textId="77777777" w:rsidTr="0014773C">
        <w:trPr>
          <w:jc w:val="center"/>
        </w:trPr>
        <w:tc>
          <w:tcPr>
            <w:tcW w:w="5208" w:type="dxa"/>
          </w:tcPr>
          <w:p w14:paraId="724DFED5" w14:textId="77777777" w:rsidR="00A01494" w:rsidRPr="00A01494" w:rsidRDefault="00930DBB" w:rsidP="00B82A57">
            <w:pPr>
              <w:autoSpaceDE w:val="0"/>
              <w:autoSpaceDN w:val="0"/>
              <w:adjustRightInd w:val="0"/>
              <w:rPr>
                <w:rFonts w:cstheme="minorHAnsi"/>
                <w:bCs/>
              </w:rPr>
            </w:pPr>
            <w:sdt>
              <w:sdtPr>
                <w:rPr>
                  <w:rFonts w:cstheme="minorHAnsi"/>
                  <w:bCs/>
                  <w:color w:val="0000FF"/>
                </w:rPr>
                <w:id w:val="615648267"/>
              </w:sdt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35363315" w14:textId="77777777" w:rsidR="00A01494" w:rsidRPr="00A01494" w:rsidRDefault="00930DBB" w:rsidP="00DB3627">
            <w:pPr>
              <w:autoSpaceDE w:val="0"/>
              <w:autoSpaceDN w:val="0"/>
              <w:adjustRightInd w:val="0"/>
              <w:rPr>
                <w:rFonts w:cstheme="minorHAnsi"/>
                <w:bCs/>
              </w:rPr>
            </w:pPr>
            <w:sdt>
              <w:sdtPr>
                <w:rPr>
                  <w:rFonts w:cstheme="minorHAnsi"/>
                  <w:bCs/>
                  <w:color w:val="0000FF"/>
                </w:rPr>
                <w:id w:val="498854310"/>
              </w:sdt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5C889FAA" w14:textId="77777777" w:rsidTr="0014773C">
        <w:trPr>
          <w:jc w:val="center"/>
        </w:trPr>
        <w:tc>
          <w:tcPr>
            <w:tcW w:w="5208" w:type="dxa"/>
          </w:tcPr>
          <w:p w14:paraId="24AAA18C" w14:textId="77777777" w:rsidR="00A01494" w:rsidRPr="00A01494" w:rsidRDefault="00930DBB" w:rsidP="00DB3627">
            <w:pPr>
              <w:autoSpaceDE w:val="0"/>
              <w:autoSpaceDN w:val="0"/>
              <w:adjustRightInd w:val="0"/>
              <w:rPr>
                <w:rFonts w:cstheme="minorHAnsi"/>
                <w:bCs/>
              </w:rPr>
            </w:pPr>
            <w:sdt>
              <w:sdtPr>
                <w:rPr>
                  <w:rFonts w:cstheme="minorHAnsi"/>
                  <w:bCs/>
                  <w:color w:val="0000FF"/>
                </w:rPr>
                <w:id w:val="1316375390"/>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4104499B" w14:textId="4CD970E7" w:rsidR="00A01494" w:rsidRPr="00A01494" w:rsidRDefault="00930DBB" w:rsidP="00DB7134">
            <w:pPr>
              <w:autoSpaceDE w:val="0"/>
              <w:autoSpaceDN w:val="0"/>
              <w:adjustRightInd w:val="0"/>
              <w:rPr>
                <w:rFonts w:cstheme="minorHAnsi"/>
                <w:bCs/>
              </w:rPr>
            </w:pPr>
            <w:sdt>
              <w:sdtPr>
                <w:rPr>
                  <w:rFonts w:cstheme="minorHAnsi"/>
                  <w:bCs/>
                  <w:color w:val="0000FF"/>
                </w:rPr>
                <w:id w:val="1689098749"/>
              </w:sdtPr>
              <w:sdtContent>
                <w:sdt>
                  <w:sdtPr>
                    <w:rPr>
                      <w:rFonts w:cstheme="minorHAnsi"/>
                      <w:b/>
                      <w:bCs/>
                      <w:color w:val="0000FF"/>
                    </w:rPr>
                    <w:id w:val="-2020770246"/>
                  </w:sdtPr>
                  <w:sdtContent>
                    <w:r w:rsidR="0090033B" w:rsidRPr="00AD41DA">
                      <w:rPr>
                        <w:rFonts w:ascii="MS Gothic" w:eastAsia="MS Gothic" w:hAnsi="MS Gothic" w:cstheme="minorHAnsi" w:hint="eastAsia"/>
                        <w:b/>
                        <w:bCs/>
                        <w:color w:val="0000FF"/>
                      </w:rPr>
                      <w:t>☒</w:t>
                    </w:r>
                  </w:sdtContent>
                </w:sdt>
              </w:sdtContent>
            </w:sdt>
            <w:r w:rsidR="00B82A57">
              <w:rPr>
                <w:rFonts w:cstheme="minorHAnsi"/>
                <w:bCs/>
              </w:rPr>
              <w:t xml:space="preserve"> </w:t>
            </w:r>
            <w:r w:rsidR="00A01494" w:rsidRPr="00A01494">
              <w:rPr>
                <w:rFonts w:cstheme="minorHAnsi"/>
                <w:bCs/>
              </w:rPr>
              <w:t xml:space="preserve">other: </w:t>
            </w:r>
            <w:sdt>
              <w:sdtPr>
                <w:rPr>
                  <w:rStyle w:val="CommentReference"/>
                  <w:sz w:val="22"/>
                  <w:szCs w:val="22"/>
                </w:rPr>
                <w:id w:val="1976178076"/>
                <w:text/>
              </w:sdtPr>
              <w:sdtContent>
                <w:r w:rsidR="00FB5563" w:rsidRPr="00DB7134">
                  <w:rPr>
                    <w:rStyle w:val="CommentReference"/>
                    <w:sz w:val="22"/>
                    <w:szCs w:val="22"/>
                  </w:rPr>
                  <w:t>Data request forms faxed</w:t>
                </w:r>
                <w:r w:rsidR="0090033B" w:rsidRPr="00DB7134">
                  <w:rPr>
                    <w:rStyle w:val="CommentReference"/>
                    <w:sz w:val="22"/>
                    <w:szCs w:val="22"/>
                  </w:rPr>
                  <w:t xml:space="preserve"> back</w:t>
                </w:r>
                <w:r w:rsidR="00FB5563" w:rsidRPr="00DB7134">
                  <w:rPr>
                    <w:rStyle w:val="CommentReference"/>
                    <w:sz w:val="22"/>
                    <w:szCs w:val="22"/>
                  </w:rPr>
                  <w:t xml:space="preserve"> by dialysis facilities and kidney transplant centers </w:t>
                </w:r>
              </w:sdtContent>
            </w:sdt>
          </w:p>
        </w:tc>
      </w:tr>
    </w:tbl>
    <w:p w14:paraId="00622D3B"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516DD632"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7DBF2AFB" w14:textId="77777777" w:rsidR="00A46DAB" w:rsidRDefault="00A46DAB" w:rsidP="00DB3627">
      <w:pPr>
        <w:autoSpaceDE w:val="0"/>
        <w:autoSpaceDN w:val="0"/>
        <w:adjustRightInd w:val="0"/>
        <w:spacing w:after="0" w:line="240" w:lineRule="auto"/>
        <w:rPr>
          <w:rFonts w:cstheme="minorHAnsi"/>
          <w:bCs/>
          <w:color w:val="0000FF"/>
        </w:rPr>
      </w:pPr>
    </w:p>
    <w:p w14:paraId="29E0E036" w14:textId="00F6AB26" w:rsidR="00C355B9" w:rsidRDefault="00FB5563" w:rsidP="00DB3627">
      <w:pPr>
        <w:autoSpaceDE w:val="0"/>
        <w:autoSpaceDN w:val="0"/>
        <w:adjustRightInd w:val="0"/>
        <w:spacing w:after="0" w:line="240" w:lineRule="auto"/>
        <w:rPr>
          <w:rFonts w:cstheme="minorHAnsi"/>
          <w:bCs/>
          <w:color w:val="0000FF"/>
        </w:rPr>
      </w:pPr>
      <w:r>
        <w:rPr>
          <w:rFonts w:cstheme="minorHAnsi"/>
          <w:bCs/>
          <w:color w:val="0000FF"/>
        </w:rPr>
        <w:t xml:space="preserve">The Data Submission Form (appendix) is completed </w:t>
      </w:r>
      <w:r w:rsidR="003F4C99">
        <w:rPr>
          <w:rFonts w:cstheme="minorHAnsi"/>
          <w:bCs/>
          <w:color w:val="0000FF"/>
        </w:rPr>
        <w:t>by</w:t>
      </w:r>
      <w:r w:rsidR="00A42095">
        <w:rPr>
          <w:rFonts w:cstheme="minorHAnsi"/>
          <w:bCs/>
          <w:color w:val="0000FF"/>
        </w:rPr>
        <w:t xml:space="preserve"> </w:t>
      </w:r>
      <w:r>
        <w:rPr>
          <w:rFonts w:cstheme="minorHAnsi"/>
          <w:bCs/>
          <w:color w:val="0000FF"/>
        </w:rPr>
        <w:t xml:space="preserve">each of </w:t>
      </w:r>
      <w:r w:rsidR="00A46DAB">
        <w:rPr>
          <w:rFonts w:cstheme="minorHAnsi"/>
          <w:bCs/>
          <w:color w:val="0000FF"/>
        </w:rPr>
        <w:t xml:space="preserve">the </w:t>
      </w:r>
      <w:r>
        <w:rPr>
          <w:rFonts w:cstheme="minorHAnsi"/>
          <w:bCs/>
          <w:color w:val="0000FF"/>
        </w:rPr>
        <w:t xml:space="preserve">participating </w:t>
      </w:r>
      <w:r w:rsidR="003F4C99">
        <w:rPr>
          <w:rFonts w:cstheme="minorHAnsi"/>
          <w:bCs/>
          <w:color w:val="0000FF"/>
        </w:rPr>
        <w:t>K</w:t>
      </w:r>
      <w:r w:rsidR="00D361A7">
        <w:rPr>
          <w:rFonts w:cstheme="minorHAnsi"/>
          <w:bCs/>
          <w:color w:val="0000FF"/>
        </w:rPr>
        <w:t xml:space="preserve">aiser </w:t>
      </w:r>
      <w:r w:rsidR="003F4C99">
        <w:rPr>
          <w:rFonts w:cstheme="minorHAnsi"/>
          <w:bCs/>
          <w:color w:val="0000FF"/>
        </w:rPr>
        <w:t>P</w:t>
      </w:r>
      <w:r w:rsidR="00D361A7">
        <w:rPr>
          <w:rFonts w:cstheme="minorHAnsi"/>
          <w:bCs/>
          <w:color w:val="0000FF"/>
        </w:rPr>
        <w:t>ermanente (KP)</w:t>
      </w:r>
      <w:r w:rsidR="003F4C99">
        <w:rPr>
          <w:rFonts w:cstheme="minorHAnsi"/>
          <w:bCs/>
          <w:color w:val="0000FF"/>
        </w:rPr>
        <w:t xml:space="preserve"> regions</w:t>
      </w:r>
      <w:r>
        <w:rPr>
          <w:rFonts w:cstheme="minorHAnsi"/>
          <w:bCs/>
          <w:color w:val="0000FF"/>
        </w:rPr>
        <w:t>.</w:t>
      </w:r>
      <w:r w:rsidR="003F4C99">
        <w:rPr>
          <w:rFonts w:cstheme="minorHAnsi"/>
          <w:bCs/>
          <w:color w:val="0000FF"/>
        </w:rPr>
        <w:t xml:space="preserve"> </w:t>
      </w:r>
      <w:r w:rsidR="00E621A6">
        <w:rPr>
          <w:rFonts w:cstheme="minorHAnsi"/>
          <w:bCs/>
          <w:color w:val="0000FF"/>
        </w:rPr>
        <w:t xml:space="preserve">The information is </w:t>
      </w:r>
      <w:r>
        <w:rPr>
          <w:rFonts w:cstheme="minorHAnsi"/>
          <w:bCs/>
          <w:color w:val="0000FF"/>
        </w:rPr>
        <w:t xml:space="preserve">abstracted </w:t>
      </w:r>
      <w:r w:rsidR="00E621A6">
        <w:rPr>
          <w:rFonts w:cstheme="minorHAnsi"/>
          <w:bCs/>
          <w:color w:val="0000FF"/>
        </w:rPr>
        <w:t xml:space="preserve">from </w:t>
      </w:r>
      <w:r w:rsidR="003F4C99">
        <w:rPr>
          <w:rFonts w:cstheme="minorHAnsi"/>
          <w:bCs/>
          <w:color w:val="0000FF"/>
        </w:rPr>
        <w:t>care coordinat</w:t>
      </w:r>
      <w:r w:rsidR="00E621A6">
        <w:rPr>
          <w:rFonts w:cstheme="minorHAnsi"/>
          <w:bCs/>
          <w:color w:val="0000FF"/>
        </w:rPr>
        <w:t>ion</w:t>
      </w:r>
      <w:r w:rsidR="003F4C99">
        <w:rPr>
          <w:rFonts w:cstheme="minorHAnsi"/>
          <w:bCs/>
          <w:color w:val="0000FF"/>
        </w:rPr>
        <w:t xml:space="preserve"> database</w:t>
      </w:r>
      <w:r>
        <w:rPr>
          <w:rFonts w:cstheme="minorHAnsi"/>
          <w:bCs/>
          <w:color w:val="0000FF"/>
        </w:rPr>
        <w:t>s</w:t>
      </w:r>
      <w:r w:rsidR="003F4C99">
        <w:rPr>
          <w:rFonts w:cstheme="minorHAnsi"/>
          <w:bCs/>
          <w:color w:val="0000FF"/>
        </w:rPr>
        <w:t xml:space="preserve"> of ESRD patients/members. </w:t>
      </w:r>
      <w:r w:rsidR="00387821">
        <w:rPr>
          <w:rFonts w:cstheme="minorHAnsi"/>
          <w:bCs/>
          <w:color w:val="0000FF"/>
        </w:rPr>
        <w:t xml:space="preserve">Since initiation of dialysis and transplantation </w:t>
      </w:r>
      <w:r w:rsidR="00387821">
        <w:rPr>
          <w:rFonts w:cstheme="minorHAnsi"/>
          <w:bCs/>
          <w:color w:val="0000FF"/>
        </w:rPr>
        <w:t xml:space="preserve">outside of KP </w:t>
      </w:r>
      <w:r w:rsidR="00387821">
        <w:rPr>
          <w:rFonts w:cstheme="minorHAnsi"/>
          <w:bCs/>
          <w:color w:val="0000FF"/>
        </w:rPr>
        <w:t xml:space="preserve">require authorization, it is believed that no patients are missed.  </w:t>
      </w:r>
      <w:r w:rsidR="00E621A6">
        <w:rPr>
          <w:rFonts w:cstheme="minorHAnsi"/>
          <w:bCs/>
          <w:color w:val="0000FF"/>
        </w:rPr>
        <w:t xml:space="preserve">The Data Submission Forms are combined into </w:t>
      </w:r>
      <w:r w:rsidR="00930DBB">
        <w:rPr>
          <w:rFonts w:cstheme="minorHAnsi"/>
          <w:bCs/>
          <w:color w:val="0000FF"/>
        </w:rPr>
        <w:t xml:space="preserve">a </w:t>
      </w:r>
      <w:r w:rsidR="003F4C99">
        <w:rPr>
          <w:rFonts w:cstheme="minorHAnsi"/>
          <w:bCs/>
          <w:color w:val="0000FF"/>
        </w:rPr>
        <w:t>single database</w:t>
      </w:r>
      <w:r w:rsidR="00E621A6">
        <w:rPr>
          <w:rFonts w:cstheme="minorHAnsi"/>
          <w:bCs/>
          <w:color w:val="0000FF"/>
        </w:rPr>
        <w:t xml:space="preserve"> for calculation of Optimal ESRD Starts and the results are reported as total Optimal ESRD Starts and its components (home dialysis, preemptive kidney transplant, in-center hemodialysis via fistula, graft and catheter)</w:t>
      </w:r>
      <w:r w:rsidR="003F4C99">
        <w:rPr>
          <w:rFonts w:cstheme="minorHAnsi"/>
          <w:bCs/>
          <w:color w:val="0000FF"/>
        </w:rPr>
        <w:t>.</w:t>
      </w:r>
    </w:p>
    <w:p w14:paraId="75BF0D7C" w14:textId="77777777" w:rsidR="00930DBB" w:rsidRDefault="00930DBB" w:rsidP="00DB3627">
      <w:pPr>
        <w:autoSpaceDE w:val="0"/>
        <w:autoSpaceDN w:val="0"/>
        <w:adjustRightInd w:val="0"/>
        <w:spacing w:after="0" w:line="240" w:lineRule="auto"/>
        <w:rPr>
          <w:rFonts w:cstheme="minorHAnsi"/>
          <w:bCs/>
          <w:color w:val="0000FF"/>
        </w:rPr>
      </w:pPr>
    </w:p>
    <w:p w14:paraId="475EC4C0" w14:textId="5AD26B3A" w:rsidR="00930DBB" w:rsidRPr="00816D48" w:rsidRDefault="00930DBB" w:rsidP="00DB3627">
      <w:pPr>
        <w:autoSpaceDE w:val="0"/>
        <w:autoSpaceDN w:val="0"/>
        <w:adjustRightInd w:val="0"/>
        <w:spacing w:after="0" w:line="240" w:lineRule="auto"/>
        <w:rPr>
          <w:rFonts w:cstheme="minorHAnsi"/>
          <w:bCs/>
          <w:color w:val="0000FF"/>
        </w:rPr>
      </w:pPr>
      <w:bookmarkStart w:id="11" w:name="_GoBack"/>
      <w:r>
        <w:rPr>
          <w:rFonts w:cstheme="minorHAnsi"/>
          <w:bCs/>
          <w:color w:val="0000FF"/>
        </w:rPr>
        <w:t xml:space="preserve">For validity testing of the data elements, a randomized sample set from the above dataset was selected (as described in 1.6). For each randomized patient, a data questionnaire was mailed to the dialysis facility where the patient initiated dialysis or to the kidney transplant program where the patient was transplanted. The questionnaire requested verification that the patient had indeed started dialysis or received a kidney transplant and the date of initiation of dialysis or transplantation (verifying denominator inclusion), if dialysis, the dialysis modality and if hemodialysis, the vascular access used for the first </w:t>
      </w:r>
      <w:r w:rsidRPr="00816D48">
        <w:rPr>
          <w:rFonts w:cstheme="minorHAnsi"/>
          <w:bCs/>
          <w:color w:val="0000FF"/>
        </w:rPr>
        <w:t xml:space="preserve">treatment (catheter, arteriovenous fistula or arteriovenous graft). </w:t>
      </w:r>
      <w:r w:rsidR="00816D48" w:rsidRPr="00816D48">
        <w:rPr>
          <w:rFonts w:cstheme="minorHAnsi"/>
          <w:color w:val="0000FF"/>
        </w:rPr>
        <w:t>Forms that were not returned by deadline were followed up by phone calls and faxes to the facility. All but two were completed and returned; those facilities were no longer under KP contract and claimed they no longer had the information.</w:t>
      </w:r>
      <w:r w:rsidR="00816D48" w:rsidRPr="00816D48">
        <w:rPr>
          <w:rFonts w:cstheme="minorHAnsi"/>
          <w:color w:val="0000FF"/>
        </w:rPr>
        <w:t xml:space="preserve"> </w:t>
      </w:r>
      <w:r w:rsidRPr="00816D48">
        <w:rPr>
          <w:rFonts w:cstheme="minorHAnsi"/>
          <w:bCs/>
          <w:color w:val="0000FF"/>
        </w:rPr>
        <w:t xml:space="preserve">This information was tested against the </w:t>
      </w:r>
      <w:r w:rsidR="00816D48">
        <w:rPr>
          <w:rFonts w:cstheme="minorHAnsi"/>
          <w:bCs/>
          <w:color w:val="0000FF"/>
        </w:rPr>
        <w:t xml:space="preserve">information on the </w:t>
      </w:r>
      <w:r w:rsidRPr="00816D48">
        <w:rPr>
          <w:rFonts w:cstheme="minorHAnsi"/>
          <w:bCs/>
          <w:color w:val="0000FF"/>
        </w:rPr>
        <w:t>Data Submission Form (above).</w:t>
      </w:r>
    </w:p>
    <w:bookmarkEnd w:id="11"/>
    <w:p w14:paraId="3306495D" w14:textId="77777777" w:rsidR="009E1846" w:rsidRDefault="009E1846" w:rsidP="00DB3627">
      <w:pPr>
        <w:autoSpaceDE w:val="0"/>
        <w:autoSpaceDN w:val="0"/>
        <w:adjustRightInd w:val="0"/>
        <w:spacing w:after="0" w:line="240" w:lineRule="auto"/>
        <w:rPr>
          <w:rFonts w:cstheme="minorHAnsi"/>
          <w:b/>
        </w:rPr>
      </w:pPr>
    </w:p>
    <w:p w14:paraId="13395525"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3754A3">
            <w:rPr>
              <w:rStyle w:val="Style1"/>
            </w:rPr>
            <w:t>Calendar year 2012; 01Jan-31Dec 2012</w:t>
          </w:r>
        </w:sdtContent>
      </w:sdt>
    </w:p>
    <w:p w14:paraId="1984368C" w14:textId="77777777" w:rsidR="000574AB" w:rsidRDefault="000574AB" w:rsidP="00DB3627">
      <w:pPr>
        <w:autoSpaceDE w:val="0"/>
        <w:autoSpaceDN w:val="0"/>
        <w:adjustRightInd w:val="0"/>
        <w:spacing w:after="0" w:line="240" w:lineRule="auto"/>
        <w:rPr>
          <w:rFonts w:cstheme="minorHAnsi"/>
          <w:bCs/>
        </w:rPr>
      </w:pPr>
    </w:p>
    <w:p w14:paraId="002D64FE" w14:textId="77777777" w:rsidR="000414E8" w:rsidRDefault="002B5016" w:rsidP="00387821">
      <w:pPr>
        <w:keepNext/>
        <w:keepLines/>
        <w:autoSpaceDE w:val="0"/>
        <w:autoSpaceDN w:val="0"/>
        <w:adjustRightInd w:val="0"/>
        <w:spacing w:after="0" w:line="240" w:lineRule="auto"/>
        <w:rPr>
          <w:rFonts w:cstheme="minorHAnsi"/>
          <w:bCs/>
        </w:rPr>
      </w:pPr>
      <w:r>
        <w:rPr>
          <w:rFonts w:cstheme="minorHAnsi"/>
          <w:b/>
          <w:bCs/>
        </w:rPr>
        <w:lastRenderedPageBreak/>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4BA2EA7A" w14:textId="77777777" w:rsidTr="000414E8">
        <w:trPr>
          <w:jc w:val="center"/>
        </w:trPr>
        <w:tc>
          <w:tcPr>
            <w:tcW w:w="5027" w:type="dxa"/>
            <w:shd w:val="clear" w:color="auto" w:fill="D9D9D9" w:themeFill="background1" w:themeFillShade="D9"/>
          </w:tcPr>
          <w:p w14:paraId="6888065D" w14:textId="77777777" w:rsidR="000414E8" w:rsidRDefault="000414E8" w:rsidP="00387821">
            <w:pPr>
              <w:keepNext/>
              <w:keepLines/>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4569106D" w14:textId="77777777" w:rsidR="009A6A57" w:rsidRPr="008D6D7C" w:rsidRDefault="009A6A57" w:rsidP="00387821">
            <w:pPr>
              <w:keepNext/>
              <w:keepLines/>
              <w:autoSpaceDE w:val="0"/>
              <w:autoSpaceDN w:val="0"/>
              <w:adjustRightInd w:val="0"/>
              <w:rPr>
                <w:rFonts w:cstheme="minorHAnsi"/>
                <w:b/>
                <w:bCs/>
                <w:color w:val="00B050"/>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6AA80A60" w14:textId="77777777" w:rsidR="000414E8" w:rsidRPr="00A01494" w:rsidRDefault="000414E8" w:rsidP="00387821">
            <w:pPr>
              <w:keepNext/>
              <w:keepLines/>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38FCBD02" w14:textId="77777777" w:rsidTr="000414E8">
        <w:trPr>
          <w:jc w:val="center"/>
        </w:trPr>
        <w:tc>
          <w:tcPr>
            <w:tcW w:w="5027" w:type="dxa"/>
          </w:tcPr>
          <w:p w14:paraId="440A2FD9" w14:textId="77777777" w:rsidR="000414E8" w:rsidRPr="00A01494" w:rsidRDefault="00930DBB" w:rsidP="00387821">
            <w:pPr>
              <w:keepNext/>
              <w:keepLines/>
              <w:autoSpaceDE w:val="0"/>
              <w:autoSpaceDN w:val="0"/>
              <w:adjustRightInd w:val="0"/>
              <w:rPr>
                <w:rFonts w:cstheme="minorHAnsi"/>
                <w:bCs/>
              </w:rPr>
            </w:pPr>
            <w:sdt>
              <w:sdtPr>
                <w:rPr>
                  <w:rFonts w:cstheme="minorHAnsi"/>
                  <w:bCs/>
                  <w:color w:val="0000FF"/>
                </w:rPr>
                <w:id w:val="447514278"/>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55DA7664" w14:textId="77777777" w:rsidR="000414E8" w:rsidRPr="00A01494" w:rsidRDefault="00930DBB" w:rsidP="00387821">
            <w:pPr>
              <w:keepNext/>
              <w:keepLines/>
              <w:autoSpaceDE w:val="0"/>
              <w:autoSpaceDN w:val="0"/>
              <w:adjustRightInd w:val="0"/>
              <w:rPr>
                <w:rFonts w:cstheme="minorHAnsi"/>
                <w:bCs/>
              </w:rPr>
            </w:pPr>
            <w:sdt>
              <w:sdtPr>
                <w:rPr>
                  <w:rFonts w:cstheme="minorHAnsi"/>
                  <w:bCs/>
                  <w:color w:val="0000FF"/>
                </w:rPr>
                <w:id w:val="1571624283"/>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687C505D" w14:textId="77777777" w:rsidTr="000414E8">
        <w:trPr>
          <w:jc w:val="center"/>
        </w:trPr>
        <w:tc>
          <w:tcPr>
            <w:tcW w:w="5027" w:type="dxa"/>
          </w:tcPr>
          <w:p w14:paraId="52EBD808" w14:textId="77777777" w:rsidR="000414E8" w:rsidRPr="00A01494" w:rsidRDefault="00930DBB" w:rsidP="00387821">
            <w:pPr>
              <w:keepNext/>
              <w:keepLines/>
              <w:autoSpaceDE w:val="0"/>
              <w:autoSpaceDN w:val="0"/>
              <w:adjustRightInd w:val="0"/>
              <w:rPr>
                <w:rFonts w:cstheme="minorHAnsi"/>
                <w:bCs/>
              </w:rPr>
            </w:pPr>
            <w:sdt>
              <w:sdtPr>
                <w:rPr>
                  <w:rFonts w:cstheme="minorHAnsi"/>
                  <w:b/>
                  <w:bCs/>
                  <w:color w:val="0000FF"/>
                </w:rPr>
                <w:id w:val="-834455086"/>
              </w:sdtPr>
              <w:sdtContent>
                <w:r w:rsidR="008D6D7C" w:rsidRPr="008D6D7C">
                  <w:rPr>
                    <w:rFonts w:ascii="MS Gothic" w:eastAsia="MS Gothic" w:hAnsi="MS Gothic" w:cstheme="minorHAnsi" w:hint="eastAsia"/>
                    <w:b/>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3CCB90BC" w14:textId="77777777" w:rsidR="000414E8" w:rsidRPr="00A01494" w:rsidRDefault="00930DBB" w:rsidP="00387821">
            <w:pPr>
              <w:keepNext/>
              <w:keepLines/>
              <w:autoSpaceDE w:val="0"/>
              <w:autoSpaceDN w:val="0"/>
              <w:adjustRightInd w:val="0"/>
              <w:rPr>
                <w:rFonts w:cstheme="minorHAnsi"/>
                <w:bCs/>
              </w:rPr>
            </w:pPr>
            <w:sdt>
              <w:sdtPr>
                <w:rPr>
                  <w:rFonts w:cstheme="minorHAnsi"/>
                  <w:bCs/>
                  <w:color w:val="0000FF"/>
                </w:rPr>
                <w:id w:val="-412627602"/>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28CB22AC" w14:textId="77777777" w:rsidTr="000414E8">
        <w:trPr>
          <w:jc w:val="center"/>
        </w:trPr>
        <w:tc>
          <w:tcPr>
            <w:tcW w:w="5027" w:type="dxa"/>
          </w:tcPr>
          <w:p w14:paraId="0423F859" w14:textId="77777777" w:rsidR="000414E8" w:rsidRPr="00A01494" w:rsidRDefault="00930DBB" w:rsidP="00387821">
            <w:pPr>
              <w:keepNext/>
              <w:keepLines/>
              <w:autoSpaceDE w:val="0"/>
              <w:autoSpaceDN w:val="0"/>
              <w:adjustRightInd w:val="0"/>
              <w:rPr>
                <w:rFonts w:cstheme="minorHAnsi"/>
                <w:bCs/>
              </w:rPr>
            </w:pPr>
            <w:sdt>
              <w:sdtPr>
                <w:rPr>
                  <w:rFonts w:cstheme="minorHAnsi"/>
                  <w:b/>
                  <w:bCs/>
                  <w:color w:val="0000FF"/>
                </w:rPr>
                <w:id w:val="-1855098074"/>
              </w:sdtPr>
              <w:sdtContent>
                <w:r w:rsidR="008D6D7C" w:rsidRPr="008D6D7C">
                  <w:rPr>
                    <w:rFonts w:ascii="MS Gothic" w:eastAsia="MS Gothic" w:hAnsi="MS Gothic" w:cstheme="minorHAnsi" w:hint="eastAsia"/>
                    <w:b/>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72FB2BC5" w14:textId="77777777" w:rsidR="000414E8" w:rsidRPr="00A01494" w:rsidRDefault="00930DBB" w:rsidP="00387821">
            <w:pPr>
              <w:keepNext/>
              <w:keepLines/>
              <w:autoSpaceDE w:val="0"/>
              <w:autoSpaceDN w:val="0"/>
              <w:adjustRightInd w:val="0"/>
              <w:rPr>
                <w:rFonts w:cstheme="minorHAnsi"/>
                <w:bCs/>
              </w:rPr>
            </w:pPr>
            <w:sdt>
              <w:sdtPr>
                <w:rPr>
                  <w:rFonts w:cstheme="minorHAnsi"/>
                  <w:bCs/>
                  <w:color w:val="0000FF"/>
                </w:rPr>
                <w:id w:val="1857455968"/>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732B7FA8" w14:textId="77777777" w:rsidTr="000414E8">
        <w:trPr>
          <w:jc w:val="center"/>
        </w:trPr>
        <w:tc>
          <w:tcPr>
            <w:tcW w:w="5027" w:type="dxa"/>
          </w:tcPr>
          <w:p w14:paraId="13FDEEF0" w14:textId="77777777" w:rsidR="000414E8" w:rsidRPr="00A01494" w:rsidRDefault="00930DBB" w:rsidP="00387821">
            <w:pPr>
              <w:keepNext/>
              <w:keepLines/>
              <w:autoSpaceDE w:val="0"/>
              <w:autoSpaceDN w:val="0"/>
              <w:adjustRightInd w:val="0"/>
              <w:rPr>
                <w:rFonts w:cstheme="minorHAnsi"/>
                <w:bCs/>
              </w:rPr>
            </w:pPr>
            <w:sdt>
              <w:sdtPr>
                <w:rPr>
                  <w:rFonts w:cstheme="minorHAnsi"/>
                  <w:b/>
                  <w:bCs/>
                  <w:color w:val="0000FF"/>
                </w:rPr>
                <w:id w:val="275535217"/>
              </w:sdtPr>
              <w:sdtContent>
                <w:r w:rsidR="008D6D7C" w:rsidRPr="008D6D7C">
                  <w:rPr>
                    <w:rFonts w:ascii="MS Gothic" w:eastAsia="MS Gothic" w:hAnsi="MS Gothic" w:cstheme="minorHAnsi" w:hint="eastAsia"/>
                    <w:b/>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FC4277C" w14:textId="77777777" w:rsidR="000414E8" w:rsidRPr="00A01494" w:rsidRDefault="00930DBB" w:rsidP="00387821">
            <w:pPr>
              <w:keepNext/>
              <w:keepLines/>
              <w:autoSpaceDE w:val="0"/>
              <w:autoSpaceDN w:val="0"/>
              <w:adjustRightInd w:val="0"/>
              <w:rPr>
                <w:rFonts w:cstheme="minorHAnsi"/>
                <w:bCs/>
              </w:rPr>
            </w:pPr>
            <w:sdt>
              <w:sdtPr>
                <w:rPr>
                  <w:rFonts w:cstheme="minorHAnsi"/>
                  <w:bCs/>
                  <w:color w:val="0000FF"/>
                </w:rPr>
                <w:id w:val="1896924375"/>
              </w:sdtPr>
              <w:sdtContent>
                <w:r w:rsidR="00D361A7">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1E03EE11" w14:textId="77777777" w:rsidTr="000414E8">
        <w:trPr>
          <w:jc w:val="center"/>
        </w:trPr>
        <w:tc>
          <w:tcPr>
            <w:tcW w:w="5027" w:type="dxa"/>
          </w:tcPr>
          <w:p w14:paraId="66CD5866" w14:textId="42CC2F6D" w:rsidR="000414E8" w:rsidRPr="00A01494" w:rsidRDefault="00930DBB" w:rsidP="00387821">
            <w:pPr>
              <w:keepNext/>
              <w:keepLines/>
              <w:autoSpaceDE w:val="0"/>
              <w:autoSpaceDN w:val="0"/>
              <w:adjustRightInd w:val="0"/>
              <w:rPr>
                <w:rFonts w:cstheme="minorHAnsi"/>
                <w:bCs/>
              </w:rPr>
            </w:pPr>
            <w:sdt>
              <w:sdtPr>
                <w:rPr>
                  <w:rFonts w:cstheme="minorHAnsi"/>
                  <w:b/>
                  <w:bCs/>
                  <w:color w:val="0000FF"/>
                </w:rPr>
                <w:id w:val="-1138024150"/>
              </w:sdtPr>
              <w:sdtContent>
                <w:r w:rsidR="008D6D7C" w:rsidRPr="008D6D7C">
                  <w:rPr>
                    <w:rFonts w:ascii="MS Gothic" w:eastAsia="MS Gothic" w:hAnsi="MS Gothic" w:cstheme="minorHAnsi" w:hint="eastAsia"/>
                    <w:b/>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text/>
              </w:sdtPr>
              <w:sdtEndPr>
                <w:rPr>
                  <w:rStyle w:val="DefaultParagraphFont"/>
                  <w:rFonts w:cstheme="minorHAnsi"/>
                  <w:bCs/>
                  <w:color w:val="auto"/>
                </w:rPr>
              </w:sdtEndPr>
              <w:sdtContent>
                <w:r w:rsidR="00B41CAA">
                  <w:rPr>
                    <w:rStyle w:val="Style1"/>
                  </w:rPr>
                  <w:t>KP Regions: Integrated delivery system</w:t>
                </w:r>
              </w:sdtContent>
            </w:sdt>
          </w:p>
        </w:tc>
        <w:tc>
          <w:tcPr>
            <w:tcW w:w="5028" w:type="dxa"/>
          </w:tcPr>
          <w:p w14:paraId="6EC5315F" w14:textId="05AAB4A0" w:rsidR="000414E8" w:rsidRPr="00A01494" w:rsidRDefault="00930DBB" w:rsidP="00387821">
            <w:pPr>
              <w:keepNext/>
              <w:keepLines/>
              <w:autoSpaceDE w:val="0"/>
              <w:autoSpaceDN w:val="0"/>
              <w:adjustRightInd w:val="0"/>
              <w:rPr>
                <w:rFonts w:cstheme="minorHAnsi"/>
                <w:bCs/>
              </w:rPr>
            </w:pPr>
            <w:sdt>
              <w:sdtPr>
                <w:rPr>
                  <w:rFonts w:cstheme="minorHAnsi"/>
                  <w:b/>
                  <w:bCs/>
                  <w:color w:val="0000FF"/>
                </w:rPr>
                <w:id w:val="-417333514"/>
              </w:sdtPr>
              <w:sdtContent>
                <w:r w:rsidR="008D6D7C">
                  <w:rPr>
                    <w:rFonts w:ascii="MS Gothic" w:eastAsia="MS Gothic" w:hAnsi="MS Gothic" w:cstheme="minorHAnsi" w:hint="eastAsia"/>
                    <w:b/>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text/>
              </w:sdtPr>
              <w:sdtEndPr>
                <w:rPr>
                  <w:rStyle w:val="DefaultParagraphFont"/>
                  <w:rFonts w:cstheme="minorHAnsi"/>
                  <w:bCs/>
                  <w:color w:val="auto"/>
                </w:rPr>
              </w:sdtEndPr>
              <w:sdtContent>
                <w:r w:rsidR="00B41CAA">
                  <w:rPr>
                    <w:rStyle w:val="Style1"/>
                  </w:rPr>
                  <w:t xml:space="preserve">KP Regions: integrated </w:t>
                </w:r>
                <w:r w:rsidR="000A20F8">
                  <w:rPr>
                    <w:rStyle w:val="Style1"/>
                  </w:rPr>
                  <w:t xml:space="preserve">delivery </w:t>
                </w:r>
                <w:r w:rsidR="00B41CAA">
                  <w:rPr>
                    <w:rStyle w:val="Style1"/>
                  </w:rPr>
                  <w:t>system</w:t>
                </w:r>
              </w:sdtContent>
            </w:sdt>
          </w:p>
        </w:tc>
      </w:tr>
    </w:tbl>
    <w:p w14:paraId="17D0D307" w14:textId="77777777" w:rsidR="000414E8" w:rsidRPr="00A25024" w:rsidRDefault="000414E8" w:rsidP="00387821">
      <w:pPr>
        <w:keepNext/>
        <w:keepLines/>
        <w:autoSpaceDE w:val="0"/>
        <w:autoSpaceDN w:val="0"/>
        <w:adjustRightInd w:val="0"/>
        <w:spacing w:after="0" w:line="240" w:lineRule="auto"/>
        <w:rPr>
          <w:rFonts w:cstheme="minorHAnsi"/>
          <w:bCs/>
        </w:rPr>
      </w:pPr>
    </w:p>
    <w:p w14:paraId="413C66A5" w14:textId="77777777" w:rsidR="003754A3"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453A9D23" w14:textId="77777777" w:rsidR="00A46DAB" w:rsidRDefault="00A46DAB" w:rsidP="00DB3627">
      <w:pPr>
        <w:autoSpaceDE w:val="0"/>
        <w:autoSpaceDN w:val="0"/>
        <w:adjustRightInd w:val="0"/>
        <w:spacing w:after="0" w:line="240" w:lineRule="auto"/>
        <w:rPr>
          <w:rFonts w:cstheme="minorHAnsi"/>
          <w:bCs/>
        </w:rPr>
      </w:pPr>
    </w:p>
    <w:p w14:paraId="74AB0F58" w14:textId="21EBC755" w:rsidR="002B5016" w:rsidRPr="00A25024" w:rsidRDefault="00503771" w:rsidP="00DB3627">
      <w:pPr>
        <w:autoSpaceDE w:val="0"/>
        <w:autoSpaceDN w:val="0"/>
        <w:adjustRightInd w:val="0"/>
        <w:spacing w:after="0" w:line="240" w:lineRule="auto"/>
        <w:rPr>
          <w:rFonts w:cstheme="minorHAnsi"/>
          <w:bCs/>
        </w:rPr>
      </w:pPr>
      <w:r>
        <w:rPr>
          <w:rFonts w:cstheme="minorHAnsi"/>
          <w:bCs/>
          <w:color w:val="0000FF"/>
        </w:rPr>
        <w:t>All si</w:t>
      </w:r>
      <w:r w:rsidR="006B70E9" w:rsidRPr="006B70E9">
        <w:rPr>
          <w:rFonts w:cstheme="minorHAnsi"/>
          <w:bCs/>
          <w:color w:val="0000FF"/>
        </w:rPr>
        <w:t>x</w:t>
      </w:r>
      <w:r>
        <w:rPr>
          <w:rFonts w:cstheme="minorHAnsi"/>
          <w:bCs/>
          <w:color w:val="0000FF"/>
        </w:rPr>
        <w:t xml:space="preserve"> (6) </w:t>
      </w:r>
      <w:r w:rsidR="006B70E9" w:rsidRPr="006B70E9">
        <w:rPr>
          <w:rFonts w:cstheme="minorHAnsi"/>
          <w:bCs/>
          <w:color w:val="0000FF"/>
        </w:rPr>
        <w:t xml:space="preserve">KP regions participating in the Optimal ESRD Program </w:t>
      </w:r>
      <w:r w:rsidR="006B16F8">
        <w:rPr>
          <w:rFonts w:cstheme="minorHAnsi"/>
          <w:bCs/>
          <w:color w:val="0000FF"/>
        </w:rPr>
        <w:t>are</w:t>
      </w:r>
      <w:r w:rsidR="006B70E9" w:rsidRPr="006B70E9">
        <w:rPr>
          <w:rFonts w:cstheme="minorHAnsi"/>
          <w:bCs/>
          <w:color w:val="0000FF"/>
        </w:rPr>
        <w:t xml:space="preserve"> included in the </w:t>
      </w:r>
      <w:r w:rsidR="00F30B32">
        <w:rPr>
          <w:rFonts w:cstheme="minorHAnsi"/>
          <w:bCs/>
          <w:color w:val="0000FF"/>
        </w:rPr>
        <w:t xml:space="preserve">validity </w:t>
      </w:r>
      <w:r w:rsidR="006B70E9" w:rsidRPr="006B70E9">
        <w:rPr>
          <w:rFonts w:cstheme="minorHAnsi"/>
          <w:bCs/>
          <w:color w:val="0000FF"/>
        </w:rPr>
        <w:t>testing and an</w:t>
      </w:r>
      <w:r w:rsidR="006B70E9">
        <w:rPr>
          <w:rFonts w:cstheme="minorHAnsi"/>
          <w:bCs/>
          <w:color w:val="0000FF"/>
        </w:rPr>
        <w:t>a</w:t>
      </w:r>
      <w:r w:rsidR="001F17AB">
        <w:rPr>
          <w:rFonts w:cstheme="minorHAnsi"/>
          <w:bCs/>
          <w:color w:val="0000FF"/>
        </w:rPr>
        <w:t>l</w:t>
      </w:r>
      <w:r w:rsidR="006B70E9" w:rsidRPr="006B70E9">
        <w:rPr>
          <w:rFonts w:cstheme="minorHAnsi"/>
          <w:bCs/>
          <w:color w:val="0000FF"/>
        </w:rPr>
        <w:t>ysis.</w:t>
      </w:r>
      <w:r>
        <w:rPr>
          <w:rFonts w:cstheme="minorHAnsi"/>
          <w:bCs/>
          <w:color w:val="0000FF"/>
        </w:rPr>
        <w:t xml:space="preserve"> Region</w:t>
      </w:r>
      <w:r w:rsidR="00BC043B">
        <w:rPr>
          <w:rFonts w:cstheme="minorHAnsi"/>
          <w:bCs/>
          <w:color w:val="0000FF"/>
        </w:rPr>
        <w:t>al</w:t>
      </w:r>
      <w:r>
        <w:rPr>
          <w:rFonts w:cstheme="minorHAnsi"/>
          <w:bCs/>
          <w:color w:val="0000FF"/>
        </w:rPr>
        <w:t xml:space="preserve"> membership </w:t>
      </w:r>
      <w:r w:rsidR="00C50E84">
        <w:rPr>
          <w:rFonts w:cstheme="minorHAnsi"/>
          <w:bCs/>
          <w:color w:val="0000FF"/>
        </w:rPr>
        <w:t xml:space="preserve">distribution, in thousands, </w:t>
      </w:r>
      <w:r w:rsidR="006B16F8">
        <w:rPr>
          <w:rFonts w:cstheme="minorHAnsi"/>
          <w:bCs/>
          <w:color w:val="0000FF"/>
        </w:rPr>
        <w:t>i</w:t>
      </w:r>
      <w:r w:rsidR="00C50E84">
        <w:rPr>
          <w:rFonts w:cstheme="minorHAnsi"/>
          <w:bCs/>
          <w:color w:val="0000FF"/>
        </w:rPr>
        <w:t>s</w:t>
      </w:r>
      <w:r w:rsidR="001C0442">
        <w:rPr>
          <w:rFonts w:cstheme="minorHAnsi"/>
          <w:bCs/>
          <w:color w:val="0000FF"/>
        </w:rPr>
        <w:t xml:space="preserve"> </w:t>
      </w:r>
      <w:r w:rsidR="00C50E84">
        <w:rPr>
          <w:rFonts w:cstheme="minorHAnsi"/>
          <w:bCs/>
          <w:color w:val="0000FF"/>
        </w:rPr>
        <w:t>226, 236, 482, 538, 3,385, and 3,566</w:t>
      </w:r>
      <w:r>
        <w:rPr>
          <w:rFonts w:cstheme="minorHAnsi"/>
          <w:bCs/>
          <w:color w:val="0000FF"/>
        </w:rPr>
        <w:t>. Regions are located in northern California, southern California, Hawaii, northern Oregon and southern</w:t>
      </w:r>
      <w:r w:rsidR="00306EB6">
        <w:rPr>
          <w:rFonts w:cstheme="minorHAnsi"/>
          <w:bCs/>
          <w:color w:val="0000FF"/>
        </w:rPr>
        <w:t xml:space="preserve"> </w:t>
      </w:r>
      <w:r>
        <w:rPr>
          <w:rFonts w:cstheme="minorHAnsi"/>
          <w:bCs/>
          <w:color w:val="0000FF"/>
        </w:rPr>
        <w:t>Washington, Colorado, and Georgia</w:t>
      </w:r>
      <w:r w:rsidR="00C50E84">
        <w:rPr>
          <w:rFonts w:cstheme="minorHAnsi"/>
          <w:bCs/>
          <w:color w:val="0000FF"/>
        </w:rPr>
        <w:t>.</w:t>
      </w:r>
      <w:r w:rsidR="004348CC" w:rsidRPr="00A25024">
        <w:rPr>
          <w:rFonts w:cstheme="minorHAnsi"/>
          <w:bCs/>
        </w:rPr>
        <w:br/>
      </w:r>
    </w:p>
    <w:p w14:paraId="617895AF" w14:textId="77777777" w:rsidR="006B70E9"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6A133802" w14:textId="77777777" w:rsidR="00A46DAB" w:rsidRDefault="00A46DAB" w:rsidP="00DB3627">
      <w:pPr>
        <w:autoSpaceDE w:val="0"/>
        <w:autoSpaceDN w:val="0"/>
        <w:adjustRightInd w:val="0"/>
        <w:spacing w:after="0" w:line="240" w:lineRule="auto"/>
        <w:rPr>
          <w:rFonts w:cstheme="minorHAnsi"/>
          <w:bCs/>
        </w:rPr>
      </w:pPr>
    </w:p>
    <w:p w14:paraId="7E5891F8" w14:textId="4F210B94" w:rsidR="001E47B6" w:rsidRDefault="001E47B6" w:rsidP="00DB3627">
      <w:pPr>
        <w:autoSpaceDE w:val="0"/>
        <w:autoSpaceDN w:val="0"/>
        <w:adjustRightInd w:val="0"/>
        <w:spacing w:after="0" w:line="240" w:lineRule="auto"/>
        <w:rPr>
          <w:rFonts w:cstheme="minorHAnsi"/>
          <w:bCs/>
          <w:color w:val="0000FF"/>
        </w:rPr>
      </w:pPr>
      <w:r>
        <w:rPr>
          <w:rFonts w:cstheme="minorHAnsi"/>
          <w:bCs/>
          <w:color w:val="0000FF"/>
        </w:rPr>
        <w:t xml:space="preserve">All patients who met the optimal ESRD starts criteria </w:t>
      </w:r>
      <w:r w:rsidR="00BC043B">
        <w:rPr>
          <w:rFonts w:cstheme="minorHAnsi"/>
          <w:bCs/>
          <w:color w:val="0000FF"/>
        </w:rPr>
        <w:t xml:space="preserve">during the analysis period </w:t>
      </w:r>
      <w:r w:rsidR="006B16F8">
        <w:rPr>
          <w:rFonts w:cstheme="minorHAnsi"/>
          <w:bCs/>
          <w:color w:val="0000FF"/>
        </w:rPr>
        <w:t>are</w:t>
      </w:r>
      <w:r>
        <w:rPr>
          <w:rFonts w:cstheme="minorHAnsi"/>
          <w:bCs/>
          <w:color w:val="0000FF"/>
        </w:rPr>
        <w:t xml:space="preserve"> included in the sampling pool.</w:t>
      </w:r>
    </w:p>
    <w:p w14:paraId="26E4D0DB" w14:textId="77777777" w:rsidR="00306EB6" w:rsidRDefault="00306EB6" w:rsidP="00DB3627">
      <w:pPr>
        <w:autoSpaceDE w:val="0"/>
        <w:autoSpaceDN w:val="0"/>
        <w:adjustRightInd w:val="0"/>
        <w:spacing w:after="0" w:line="240" w:lineRule="auto"/>
        <w:rPr>
          <w:rFonts w:cstheme="minorHAnsi"/>
          <w:bCs/>
          <w:color w:val="0000FF"/>
        </w:rPr>
      </w:pPr>
    </w:p>
    <w:p w14:paraId="332D1B7B" w14:textId="1FF7A5BE" w:rsidR="007D3F26" w:rsidRDefault="006B4338" w:rsidP="00DB3627">
      <w:pPr>
        <w:autoSpaceDE w:val="0"/>
        <w:autoSpaceDN w:val="0"/>
        <w:adjustRightInd w:val="0"/>
        <w:spacing w:after="0" w:line="240" w:lineRule="auto"/>
        <w:rPr>
          <w:rFonts w:cstheme="minorHAnsi"/>
          <w:bCs/>
          <w:color w:val="0000FF"/>
        </w:rPr>
      </w:pPr>
      <w:r>
        <w:rPr>
          <w:rFonts w:cstheme="minorHAnsi"/>
          <w:bCs/>
          <w:color w:val="0000FF"/>
        </w:rPr>
        <w:t>A</w:t>
      </w:r>
      <w:r w:rsidR="006B70E9" w:rsidRPr="004C4489">
        <w:rPr>
          <w:rFonts w:cstheme="minorHAnsi"/>
          <w:bCs/>
          <w:color w:val="0000FF"/>
        </w:rPr>
        <w:t xml:space="preserve"> stratified random sample proportionally allocated across the strata (regions) based upon </w:t>
      </w:r>
      <w:r w:rsidR="004C4489" w:rsidRPr="004C4489">
        <w:rPr>
          <w:rFonts w:cstheme="minorHAnsi"/>
          <w:bCs/>
          <w:color w:val="0000FF"/>
        </w:rPr>
        <w:t xml:space="preserve">the number of qualifying </w:t>
      </w:r>
      <w:r w:rsidR="00092CC7">
        <w:rPr>
          <w:rFonts w:cstheme="minorHAnsi"/>
          <w:bCs/>
          <w:color w:val="0000FF"/>
        </w:rPr>
        <w:t xml:space="preserve">(see measure specifications section) </w:t>
      </w:r>
      <w:r w:rsidR="004C4489" w:rsidRPr="004C4489">
        <w:rPr>
          <w:rFonts w:cstheme="minorHAnsi"/>
          <w:bCs/>
          <w:color w:val="0000FF"/>
        </w:rPr>
        <w:t xml:space="preserve">patients </w:t>
      </w:r>
      <w:r w:rsidR="001F17AB">
        <w:rPr>
          <w:rFonts w:cstheme="minorHAnsi"/>
          <w:bCs/>
          <w:color w:val="0000FF"/>
        </w:rPr>
        <w:t xml:space="preserve">in the region for </w:t>
      </w:r>
      <w:r w:rsidR="004C4489" w:rsidRPr="004C4489">
        <w:rPr>
          <w:rFonts w:cstheme="minorHAnsi"/>
          <w:bCs/>
          <w:color w:val="0000FF"/>
        </w:rPr>
        <w:t>the measurement period</w:t>
      </w:r>
      <w:r w:rsidR="00F30B32">
        <w:rPr>
          <w:rFonts w:cstheme="minorHAnsi"/>
          <w:bCs/>
          <w:color w:val="0000FF"/>
        </w:rPr>
        <w:t xml:space="preserve">, calendar year 2012, </w:t>
      </w:r>
      <w:r w:rsidR="007D3F26">
        <w:rPr>
          <w:rFonts w:cstheme="minorHAnsi"/>
          <w:bCs/>
          <w:color w:val="0000FF"/>
        </w:rPr>
        <w:t xml:space="preserve"> </w:t>
      </w:r>
      <w:r w:rsidR="00D71D93">
        <w:rPr>
          <w:rFonts w:cstheme="minorHAnsi"/>
          <w:bCs/>
          <w:color w:val="0000FF"/>
        </w:rPr>
        <w:t>is</w:t>
      </w:r>
      <w:r w:rsidR="007D3F26">
        <w:rPr>
          <w:rFonts w:cstheme="minorHAnsi"/>
          <w:bCs/>
          <w:color w:val="0000FF"/>
        </w:rPr>
        <w:t xml:space="preserve"> selected based upon an element match probability of .9 with a .95 confidence level on a bound of .1 (lower bound of .8 and upper bound of 1).</w:t>
      </w:r>
    </w:p>
    <w:p w14:paraId="648400D1" w14:textId="77777777" w:rsidR="00306EB6" w:rsidRDefault="00306EB6" w:rsidP="00DB3627">
      <w:pPr>
        <w:autoSpaceDE w:val="0"/>
        <w:autoSpaceDN w:val="0"/>
        <w:adjustRightInd w:val="0"/>
        <w:spacing w:after="0" w:line="240" w:lineRule="auto"/>
        <w:rPr>
          <w:rFonts w:cstheme="minorHAnsi"/>
          <w:bCs/>
          <w:color w:val="0000FF"/>
        </w:rPr>
      </w:pPr>
    </w:p>
    <w:p w14:paraId="3720488A" w14:textId="3A12DFF3" w:rsidR="00C26C5A" w:rsidRDefault="007D3F26" w:rsidP="00DB3627">
      <w:pPr>
        <w:autoSpaceDE w:val="0"/>
        <w:autoSpaceDN w:val="0"/>
        <w:adjustRightInd w:val="0"/>
        <w:spacing w:after="0" w:line="240" w:lineRule="auto"/>
        <w:rPr>
          <w:rFonts w:cstheme="minorHAnsi"/>
          <w:bCs/>
          <w:color w:val="0000FF"/>
        </w:rPr>
      </w:pPr>
      <w:r>
        <w:rPr>
          <w:rFonts w:cstheme="minorHAnsi"/>
          <w:bCs/>
          <w:color w:val="0000FF"/>
        </w:rPr>
        <w:t xml:space="preserve">The number of records </w:t>
      </w:r>
      <w:r w:rsidR="00D71D93">
        <w:rPr>
          <w:rFonts w:cstheme="minorHAnsi"/>
          <w:bCs/>
          <w:color w:val="0000FF"/>
        </w:rPr>
        <w:t>is</w:t>
      </w:r>
      <w:r>
        <w:rPr>
          <w:rFonts w:cstheme="minorHAnsi"/>
          <w:bCs/>
          <w:color w:val="0000FF"/>
        </w:rPr>
        <w:t xml:space="preserve"> doubled from 35 to 70 to compensate for potentially missing data</w:t>
      </w:r>
      <w:r w:rsidR="00C26C5A">
        <w:rPr>
          <w:rFonts w:cstheme="minorHAnsi"/>
          <w:bCs/>
          <w:color w:val="0000FF"/>
        </w:rPr>
        <w:t xml:space="preserve"> and rounded up when allocating to the regions for a total of 73 records.</w:t>
      </w:r>
    </w:p>
    <w:p w14:paraId="6C8B9E36" w14:textId="3EE91D7A" w:rsidR="00D361A7" w:rsidRDefault="00C26C5A" w:rsidP="00DB3627">
      <w:pPr>
        <w:autoSpaceDE w:val="0"/>
        <w:autoSpaceDN w:val="0"/>
        <w:adjustRightInd w:val="0"/>
        <w:spacing w:after="0" w:line="240" w:lineRule="auto"/>
        <w:rPr>
          <w:rFonts w:cstheme="minorHAnsi"/>
          <w:bCs/>
          <w:color w:val="0000FF"/>
        </w:rPr>
      </w:pPr>
      <w:r>
        <w:rPr>
          <w:rFonts w:cstheme="minorHAnsi"/>
          <w:bCs/>
          <w:color w:val="0000FF"/>
        </w:rPr>
        <w:t>Sample count distribution</w:t>
      </w:r>
      <w:r w:rsidR="00D361A7">
        <w:rPr>
          <w:rFonts w:cstheme="minorHAnsi"/>
          <w:bCs/>
          <w:color w:val="0000FF"/>
        </w:rPr>
        <w:t xml:space="preserve"> across regions</w:t>
      </w:r>
      <w:r w:rsidR="00BC043B">
        <w:rPr>
          <w:rFonts w:cstheme="minorHAnsi"/>
          <w:bCs/>
          <w:color w:val="0000FF"/>
        </w:rPr>
        <w:t xml:space="preserve"> </w:t>
      </w:r>
      <w:r w:rsidR="00D71D93">
        <w:rPr>
          <w:rFonts w:cstheme="minorHAnsi"/>
          <w:bCs/>
          <w:color w:val="0000FF"/>
        </w:rPr>
        <w:t>i</w:t>
      </w:r>
      <w:r w:rsidR="00BC043B">
        <w:rPr>
          <w:rFonts w:cstheme="minorHAnsi"/>
          <w:bCs/>
          <w:color w:val="0000FF"/>
        </w:rPr>
        <w:t>s</w:t>
      </w:r>
      <w:r>
        <w:rPr>
          <w:rFonts w:cstheme="minorHAnsi"/>
          <w:bCs/>
          <w:color w:val="0000FF"/>
        </w:rPr>
        <w:t xml:space="preserve"> </w:t>
      </w:r>
      <w:r w:rsidR="00D361A7">
        <w:rPr>
          <w:rFonts w:cstheme="minorHAnsi"/>
          <w:bCs/>
          <w:color w:val="0000FF"/>
        </w:rPr>
        <w:t xml:space="preserve">3, 3, 3, 4, 28, </w:t>
      </w:r>
      <w:r w:rsidR="000677BA">
        <w:rPr>
          <w:rFonts w:cstheme="minorHAnsi"/>
          <w:bCs/>
          <w:color w:val="0000FF"/>
        </w:rPr>
        <w:t xml:space="preserve">and </w:t>
      </w:r>
      <w:r w:rsidR="00D361A7">
        <w:rPr>
          <w:rFonts w:cstheme="minorHAnsi"/>
          <w:bCs/>
          <w:color w:val="0000FF"/>
        </w:rPr>
        <w:t>32</w:t>
      </w:r>
      <w:r w:rsidR="00B02D81">
        <w:rPr>
          <w:rFonts w:cstheme="minorHAnsi"/>
          <w:bCs/>
          <w:color w:val="0000FF"/>
        </w:rPr>
        <w:t>.</w:t>
      </w:r>
    </w:p>
    <w:p w14:paraId="434173C7" w14:textId="77777777" w:rsidR="007422FD" w:rsidRDefault="007422FD" w:rsidP="00DB3627">
      <w:pPr>
        <w:autoSpaceDE w:val="0"/>
        <w:autoSpaceDN w:val="0"/>
        <w:adjustRightInd w:val="0"/>
        <w:spacing w:after="0" w:line="240" w:lineRule="auto"/>
        <w:rPr>
          <w:rFonts w:cstheme="minorHAnsi"/>
          <w:bCs/>
        </w:rPr>
      </w:pPr>
    </w:p>
    <w:p w14:paraId="4103845E"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EF9D347" w14:textId="77777777" w:rsidR="00306EB6" w:rsidRDefault="00306EB6" w:rsidP="00E37E1B">
      <w:pPr>
        <w:autoSpaceDE w:val="0"/>
        <w:autoSpaceDN w:val="0"/>
        <w:adjustRightInd w:val="0"/>
        <w:spacing w:after="0" w:line="240" w:lineRule="auto"/>
        <w:rPr>
          <w:rFonts w:cstheme="minorHAnsi"/>
          <w:bCs/>
        </w:rPr>
      </w:pPr>
    </w:p>
    <w:p w14:paraId="112B2F6D" w14:textId="0CAB43E2" w:rsidR="00E37E1B" w:rsidRPr="00A80B2A" w:rsidRDefault="00A80B2A" w:rsidP="00E37E1B">
      <w:pPr>
        <w:autoSpaceDE w:val="0"/>
        <w:autoSpaceDN w:val="0"/>
        <w:adjustRightInd w:val="0"/>
        <w:spacing w:after="0" w:line="240" w:lineRule="auto"/>
        <w:rPr>
          <w:rFonts w:cstheme="minorHAnsi"/>
          <w:bCs/>
          <w:color w:val="0000FF"/>
        </w:rPr>
      </w:pPr>
      <w:r w:rsidRPr="00A80B2A">
        <w:rPr>
          <w:rFonts w:cstheme="minorHAnsi"/>
          <w:bCs/>
          <w:color w:val="0000FF"/>
        </w:rPr>
        <w:t xml:space="preserve">Only one sample </w:t>
      </w:r>
      <w:r w:rsidR="00D71D93">
        <w:rPr>
          <w:rFonts w:cstheme="minorHAnsi"/>
          <w:bCs/>
          <w:color w:val="0000FF"/>
        </w:rPr>
        <w:t>is</w:t>
      </w:r>
      <w:r w:rsidRPr="00A80B2A">
        <w:rPr>
          <w:rFonts w:cstheme="minorHAnsi"/>
          <w:bCs/>
          <w:color w:val="0000FF"/>
        </w:rPr>
        <w:t xml:space="preserve"> drawn and used </w:t>
      </w:r>
      <w:r w:rsidR="008B67FA">
        <w:rPr>
          <w:rFonts w:cstheme="minorHAnsi"/>
          <w:bCs/>
          <w:color w:val="0000FF"/>
        </w:rPr>
        <w:t>f</w:t>
      </w:r>
      <w:r w:rsidR="008B67FA" w:rsidRPr="00A80B2A">
        <w:rPr>
          <w:rFonts w:cstheme="minorHAnsi"/>
          <w:bCs/>
          <w:color w:val="0000FF"/>
        </w:rPr>
        <w:t>or</w:t>
      </w:r>
      <w:r w:rsidR="008B67FA">
        <w:rPr>
          <w:rFonts w:cstheme="minorHAnsi"/>
          <w:bCs/>
          <w:color w:val="0000FF"/>
        </w:rPr>
        <w:t xml:space="preserve"> data element </w:t>
      </w:r>
      <w:r w:rsidRPr="00A80B2A">
        <w:rPr>
          <w:rFonts w:cstheme="minorHAnsi"/>
          <w:bCs/>
          <w:color w:val="0000FF"/>
        </w:rPr>
        <w:t>valid</w:t>
      </w:r>
      <w:r w:rsidR="00151428">
        <w:rPr>
          <w:rFonts w:cstheme="minorHAnsi"/>
          <w:bCs/>
          <w:color w:val="0000FF"/>
        </w:rPr>
        <w:t>i</w:t>
      </w:r>
      <w:r w:rsidRPr="00A80B2A">
        <w:rPr>
          <w:rFonts w:cstheme="minorHAnsi"/>
          <w:bCs/>
          <w:color w:val="0000FF"/>
        </w:rPr>
        <w:t>t</w:t>
      </w:r>
      <w:r w:rsidR="00151428">
        <w:rPr>
          <w:rFonts w:cstheme="minorHAnsi"/>
          <w:bCs/>
          <w:color w:val="0000FF"/>
        </w:rPr>
        <w:t>y</w:t>
      </w:r>
      <w:r w:rsidRPr="00A80B2A">
        <w:rPr>
          <w:rFonts w:cstheme="minorHAnsi"/>
          <w:bCs/>
          <w:color w:val="0000FF"/>
        </w:rPr>
        <w:t xml:space="preserve"> testing.</w:t>
      </w:r>
    </w:p>
    <w:p w14:paraId="40C719E7"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31397A53"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5169FF7"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50038A17" w14:textId="77777777" w:rsidR="008C54A9" w:rsidRDefault="008F34BD" w:rsidP="00DB3627">
      <w:pPr>
        <w:autoSpaceDE w:val="0"/>
        <w:autoSpaceDN w:val="0"/>
        <w:adjustRightInd w:val="0"/>
        <w:spacing w:after="0" w:line="240" w:lineRule="auto"/>
        <w:rPr>
          <w:rFonts w:cstheme="minorHAnsi"/>
          <w:bCs/>
          <w:color w:val="0000FF"/>
        </w:rPr>
      </w:pPr>
      <w:r>
        <w:rPr>
          <w:rFonts w:cstheme="minorHAnsi"/>
          <w:bCs/>
          <w:color w:val="0000FF"/>
        </w:rPr>
        <w:lastRenderedPageBreak/>
        <w:t xml:space="preserve">Accuracy/correctness (validity) of data elements </w:t>
      </w:r>
      <w:r w:rsidR="00A46DAB">
        <w:rPr>
          <w:rFonts w:cstheme="minorHAnsi"/>
          <w:bCs/>
          <w:color w:val="0000FF"/>
        </w:rPr>
        <w:t>i</w:t>
      </w:r>
      <w:r>
        <w:rPr>
          <w:rFonts w:cstheme="minorHAnsi"/>
          <w:bCs/>
          <w:color w:val="0000FF"/>
        </w:rPr>
        <w:t xml:space="preserve">s empirically tested. </w:t>
      </w:r>
      <w:r w:rsidR="00AE0355">
        <w:rPr>
          <w:rFonts w:cstheme="minorHAnsi"/>
          <w:bCs/>
          <w:color w:val="0000FF"/>
        </w:rPr>
        <w:t>This s</w:t>
      </w:r>
      <w:r>
        <w:rPr>
          <w:rFonts w:cstheme="minorHAnsi"/>
          <w:bCs/>
          <w:color w:val="0000FF"/>
        </w:rPr>
        <w:t>ection</w:t>
      </w:r>
      <w:r w:rsidR="00AE0355">
        <w:rPr>
          <w:rFonts w:cstheme="minorHAnsi"/>
          <w:bCs/>
          <w:color w:val="0000FF"/>
        </w:rPr>
        <w:t>,</w:t>
      </w:r>
      <w:r>
        <w:rPr>
          <w:rFonts w:cstheme="minorHAnsi"/>
          <w:bCs/>
          <w:color w:val="0000FF"/>
        </w:rPr>
        <w:t xml:space="preserve"> 2a2</w:t>
      </w:r>
      <w:r w:rsidR="00AE0355">
        <w:rPr>
          <w:rFonts w:cstheme="minorHAnsi"/>
          <w:bCs/>
          <w:color w:val="0000FF"/>
        </w:rPr>
        <w:t>,</w:t>
      </w:r>
      <w:r>
        <w:rPr>
          <w:rFonts w:cstheme="minorHAnsi"/>
          <w:bCs/>
          <w:color w:val="0000FF"/>
        </w:rPr>
        <w:t xml:space="preserve"> </w:t>
      </w:r>
      <w:r w:rsidR="00A46DAB">
        <w:rPr>
          <w:rFonts w:cstheme="minorHAnsi"/>
          <w:bCs/>
          <w:color w:val="0000FF"/>
        </w:rPr>
        <w:t>i</w:t>
      </w:r>
      <w:r>
        <w:rPr>
          <w:rFonts w:cstheme="minorHAnsi"/>
          <w:bCs/>
          <w:color w:val="0000FF"/>
        </w:rPr>
        <w:t xml:space="preserve">s not required and </w:t>
      </w:r>
      <w:r w:rsidR="00A46DAB">
        <w:rPr>
          <w:rFonts w:cstheme="minorHAnsi"/>
          <w:bCs/>
          <w:color w:val="0000FF"/>
        </w:rPr>
        <w:t>i</w:t>
      </w:r>
      <w:r>
        <w:rPr>
          <w:rFonts w:cstheme="minorHAnsi"/>
          <w:bCs/>
          <w:color w:val="0000FF"/>
        </w:rPr>
        <w:t>s skipped.</w:t>
      </w:r>
    </w:p>
    <w:p w14:paraId="32D57983" w14:textId="77777777" w:rsidR="008F34BD" w:rsidRPr="00A25024" w:rsidRDefault="008F34BD" w:rsidP="00DB3627">
      <w:pPr>
        <w:autoSpaceDE w:val="0"/>
        <w:autoSpaceDN w:val="0"/>
        <w:adjustRightInd w:val="0"/>
        <w:spacing w:after="0" w:line="240" w:lineRule="auto"/>
        <w:rPr>
          <w:rFonts w:cstheme="minorHAnsi"/>
          <w:b/>
          <w:bCs/>
        </w:rPr>
      </w:pPr>
    </w:p>
    <w:p w14:paraId="42A3524F"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
            <w:bCs/>
            <w:color w:val="0000FF"/>
          </w:rPr>
          <w:id w:val="423926269"/>
        </w:sdtPr>
        <w:sdtContent>
          <w:sdt>
            <w:sdtPr>
              <w:rPr>
                <w:rFonts w:cstheme="minorHAnsi"/>
                <w:bCs/>
                <w:color w:val="0000FF"/>
              </w:rPr>
              <w:id w:val="1426691633"/>
            </w:sdtPr>
            <w:sdtContent>
              <w:r w:rsidR="008F34BD" w:rsidRPr="006574D2">
                <w:rPr>
                  <w:rFonts w:ascii="MS Gothic" w:eastAsia="MS Gothic" w:cstheme="minorHAnsi" w:hint="eastAsia"/>
                  <w:bCs/>
                  <w:color w:val="0000FF"/>
                </w:rPr>
                <w:t>☐</w:t>
              </w:r>
            </w:sdtContent>
          </w:sdt>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sdt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E9971A0" w14:textId="77777777" w:rsidR="008C54A9" w:rsidRPr="00A25024" w:rsidRDefault="008C54A9" w:rsidP="008C54A9">
      <w:pPr>
        <w:autoSpaceDE w:val="0"/>
        <w:autoSpaceDN w:val="0"/>
        <w:adjustRightInd w:val="0"/>
        <w:spacing w:after="0" w:line="240" w:lineRule="auto"/>
        <w:rPr>
          <w:rFonts w:cstheme="minorHAnsi"/>
          <w:bCs/>
        </w:rPr>
      </w:pPr>
    </w:p>
    <w:p w14:paraId="2FA8C132" w14:textId="77777777" w:rsidR="007422FD" w:rsidRPr="00A25024"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78086C3C" w14:textId="77777777"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762D282A"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3D6AC287" w14:textId="77777777" w:rsidR="00B037BA" w:rsidRPr="00A25024" w:rsidRDefault="00021170" w:rsidP="00D361A7">
      <w:pPr>
        <w:keepNext/>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43B584D7"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
            <w:bCs/>
            <w:color w:val="0000FF"/>
          </w:rPr>
          <w:id w:val="-297760991"/>
        </w:sdtPr>
        <w:sdtContent>
          <w:r w:rsidR="00372EF7" w:rsidRPr="00372EF7">
            <w:rPr>
              <w:rFonts w:ascii="MS Gothic" w:eastAsia="MS Gothic" w:hAnsi="MS Gothic" w:cstheme="minorHAnsi" w:hint="eastAsia"/>
              <w:b/>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25B6171B" w14:textId="77777777" w:rsidR="00696262" w:rsidRPr="00A25024" w:rsidRDefault="00930DBB" w:rsidP="00696262">
      <w:pPr>
        <w:autoSpaceDE w:val="0"/>
        <w:autoSpaceDN w:val="0"/>
        <w:adjustRightInd w:val="0"/>
        <w:spacing w:after="0" w:line="240" w:lineRule="auto"/>
        <w:rPr>
          <w:rFonts w:cstheme="minorHAnsi"/>
          <w:b/>
          <w:bCs/>
        </w:rPr>
      </w:pPr>
      <w:sdt>
        <w:sdtPr>
          <w:rPr>
            <w:rFonts w:cstheme="minorHAnsi"/>
            <w:bCs/>
            <w:color w:val="0000FF"/>
          </w:rPr>
          <w:id w:val="-1767844731"/>
        </w:sdtPr>
        <w:sdtContent>
          <w:sdt>
            <w:sdtPr>
              <w:rPr>
                <w:rFonts w:cstheme="minorHAnsi"/>
                <w:b/>
                <w:bCs/>
                <w:color w:val="0000FF"/>
              </w:rPr>
              <w:id w:val="-1927419095"/>
            </w:sdtPr>
            <w:sdtContent>
              <w:r w:rsidR="008B6B75" w:rsidRPr="00372EF7">
                <w:rPr>
                  <w:rFonts w:ascii="MS Gothic" w:eastAsia="MS Gothic" w:hAnsi="MS Gothic" w:cstheme="minorHAnsi" w:hint="eastAsia"/>
                  <w:b/>
                  <w:bCs/>
                  <w:color w:val="0000FF"/>
                </w:rPr>
                <w:t>☒</w:t>
              </w:r>
            </w:sdtContent>
          </w:sdt>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55A128F8" w14:textId="0C9797CF" w:rsidR="000574AB" w:rsidRPr="00A25024" w:rsidRDefault="00930DBB"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Content>
          <w:r w:rsidR="008B6B75" w:rsidRPr="00372EF7">
            <w:rPr>
              <w:rFonts w:ascii="MS Gothic" w:eastAsia="MS Gothic" w:hAnsi="MS Gothic" w:cstheme="minorHAnsi" w:hint="eastAsia"/>
              <w:b/>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22AD9AD8" w14:textId="77777777" w:rsidR="00D50704" w:rsidRPr="00A25024" w:rsidRDefault="00D50704" w:rsidP="00DB3627">
      <w:pPr>
        <w:autoSpaceDE w:val="0"/>
        <w:autoSpaceDN w:val="0"/>
        <w:adjustRightInd w:val="0"/>
        <w:spacing w:after="0" w:line="240" w:lineRule="auto"/>
        <w:rPr>
          <w:rFonts w:cstheme="minorHAnsi"/>
          <w:bCs/>
        </w:rPr>
      </w:pPr>
    </w:p>
    <w:p w14:paraId="791A27C2" w14:textId="77777777" w:rsidR="005E2454" w:rsidRDefault="00092566" w:rsidP="00DB3627">
      <w:pPr>
        <w:autoSpaceDE w:val="0"/>
        <w:autoSpaceDN w:val="0"/>
        <w:adjustRightInd w:val="0"/>
        <w:spacing w:after="0" w:line="240" w:lineRule="auto"/>
        <w:rPr>
          <w:rFonts w:cstheme="minorHAnsi"/>
          <w:bCs/>
          <w:color w:val="0000FF"/>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216F86">
        <w:rPr>
          <w:rFonts w:cstheme="minorHAnsi"/>
          <w:bCs/>
          <w:i/>
        </w:rPr>
        <w:t xml:space="preserve"> </w:t>
      </w:r>
      <w:r w:rsidR="00F67A5A">
        <w:rPr>
          <w:rFonts w:cstheme="minorHAnsi"/>
          <w:bCs/>
          <w:color w:val="0000FF"/>
        </w:rPr>
        <w:t xml:space="preserve"> </w:t>
      </w:r>
      <w:r w:rsidR="00E06848">
        <w:rPr>
          <w:rFonts w:cstheme="minorHAnsi"/>
          <w:bCs/>
          <w:color w:val="0000FF"/>
        </w:rPr>
        <w:t xml:space="preserve"> </w:t>
      </w:r>
    </w:p>
    <w:p w14:paraId="7B742EC4" w14:textId="77777777" w:rsidR="005E2454" w:rsidRDefault="005E2454" w:rsidP="00DB3627">
      <w:pPr>
        <w:autoSpaceDE w:val="0"/>
        <w:autoSpaceDN w:val="0"/>
        <w:adjustRightInd w:val="0"/>
        <w:spacing w:after="0" w:line="240" w:lineRule="auto"/>
        <w:rPr>
          <w:rFonts w:cstheme="minorHAnsi"/>
          <w:bCs/>
          <w:color w:val="0000FF"/>
        </w:rPr>
      </w:pPr>
    </w:p>
    <w:p w14:paraId="3333079F" w14:textId="77777777" w:rsidR="00C37EDC" w:rsidRDefault="008B6B75" w:rsidP="00DB3627">
      <w:pPr>
        <w:autoSpaceDE w:val="0"/>
        <w:autoSpaceDN w:val="0"/>
        <w:adjustRightInd w:val="0"/>
        <w:spacing w:after="0" w:line="240" w:lineRule="auto"/>
        <w:rPr>
          <w:rFonts w:cstheme="minorHAnsi"/>
          <w:bCs/>
          <w:color w:val="0000FF"/>
        </w:rPr>
      </w:pPr>
      <w:r>
        <w:rPr>
          <w:rFonts w:cstheme="minorHAnsi"/>
          <w:bCs/>
          <w:color w:val="0000FF"/>
        </w:rPr>
        <w:t xml:space="preserve">We test the accuracy of the regional data compared to the authoritative source </w:t>
      </w:r>
      <w:r w:rsidR="00F67A5A">
        <w:rPr>
          <w:rFonts w:cstheme="minorHAnsi"/>
          <w:bCs/>
          <w:color w:val="0000FF"/>
        </w:rPr>
        <w:t>compar</w:t>
      </w:r>
      <w:r>
        <w:rPr>
          <w:rFonts w:cstheme="minorHAnsi"/>
          <w:bCs/>
          <w:color w:val="0000FF"/>
        </w:rPr>
        <w:t xml:space="preserve">ing </w:t>
      </w:r>
      <w:r w:rsidR="00216F86">
        <w:rPr>
          <w:rFonts w:cstheme="minorHAnsi"/>
          <w:bCs/>
          <w:color w:val="0000FF"/>
        </w:rPr>
        <w:t xml:space="preserve">the renal replacement therapy </w:t>
      </w:r>
      <w:r w:rsidR="00E06848">
        <w:rPr>
          <w:rFonts w:cstheme="minorHAnsi"/>
          <w:bCs/>
          <w:color w:val="0000FF"/>
        </w:rPr>
        <w:t xml:space="preserve">information </w:t>
      </w:r>
      <w:r w:rsidR="00216F86">
        <w:rPr>
          <w:rFonts w:cstheme="minorHAnsi"/>
          <w:bCs/>
          <w:color w:val="0000FF"/>
        </w:rPr>
        <w:t xml:space="preserve">submitted by the </w:t>
      </w:r>
      <w:r w:rsidR="000677BA">
        <w:rPr>
          <w:rFonts w:cstheme="minorHAnsi"/>
          <w:bCs/>
          <w:color w:val="0000FF"/>
        </w:rPr>
        <w:t>r</w:t>
      </w:r>
      <w:r w:rsidR="00216F86">
        <w:rPr>
          <w:rFonts w:cstheme="minorHAnsi"/>
          <w:bCs/>
          <w:color w:val="0000FF"/>
        </w:rPr>
        <w:t>egional care coordinator</w:t>
      </w:r>
      <w:r w:rsidR="00F67A5A">
        <w:rPr>
          <w:rFonts w:cstheme="minorHAnsi"/>
          <w:bCs/>
          <w:color w:val="0000FF"/>
        </w:rPr>
        <w:t xml:space="preserve"> (</w:t>
      </w:r>
      <w:r w:rsidR="000677BA">
        <w:rPr>
          <w:rFonts w:cstheme="minorHAnsi"/>
          <w:bCs/>
          <w:color w:val="0000FF"/>
        </w:rPr>
        <w:t>r</w:t>
      </w:r>
      <w:r w:rsidR="00F67A5A">
        <w:rPr>
          <w:rFonts w:cstheme="minorHAnsi"/>
          <w:bCs/>
          <w:color w:val="0000FF"/>
        </w:rPr>
        <w:t xml:space="preserve">egion) </w:t>
      </w:r>
      <w:r w:rsidR="00E06848">
        <w:rPr>
          <w:rFonts w:cstheme="minorHAnsi"/>
          <w:bCs/>
          <w:color w:val="0000FF"/>
        </w:rPr>
        <w:t xml:space="preserve">to that provided </w:t>
      </w:r>
      <w:r w:rsidR="00216F86">
        <w:rPr>
          <w:rFonts w:cstheme="minorHAnsi"/>
          <w:bCs/>
          <w:color w:val="0000FF"/>
        </w:rPr>
        <w:t xml:space="preserve">by the </w:t>
      </w:r>
      <w:r w:rsidR="00E06848">
        <w:rPr>
          <w:rFonts w:cstheme="minorHAnsi"/>
          <w:bCs/>
          <w:color w:val="0000FF"/>
        </w:rPr>
        <w:t>renal replacement therapy provider</w:t>
      </w:r>
      <w:r w:rsidR="00F67A5A">
        <w:rPr>
          <w:rFonts w:cstheme="minorHAnsi"/>
          <w:bCs/>
          <w:color w:val="0000FF"/>
        </w:rPr>
        <w:t xml:space="preserve"> on record (source)</w:t>
      </w:r>
      <w:r w:rsidR="00E06848">
        <w:rPr>
          <w:rFonts w:cstheme="minorHAnsi"/>
          <w:bCs/>
          <w:color w:val="0000FF"/>
        </w:rPr>
        <w:t xml:space="preserve">, i.e. </w:t>
      </w:r>
      <w:r w:rsidR="00216F86">
        <w:rPr>
          <w:rFonts w:cstheme="minorHAnsi"/>
          <w:bCs/>
          <w:color w:val="0000FF"/>
        </w:rPr>
        <w:t xml:space="preserve">dialysis unit where the initial dialysis </w:t>
      </w:r>
      <w:r w:rsidR="00B02D81">
        <w:rPr>
          <w:rFonts w:cstheme="minorHAnsi"/>
          <w:bCs/>
          <w:color w:val="0000FF"/>
        </w:rPr>
        <w:t xml:space="preserve">occurred (hemodialysis) or managed (peritoneal dialysis) </w:t>
      </w:r>
      <w:r w:rsidR="00216F86">
        <w:rPr>
          <w:rFonts w:cstheme="minorHAnsi"/>
          <w:bCs/>
          <w:color w:val="0000FF"/>
        </w:rPr>
        <w:t xml:space="preserve">or the transplant center </w:t>
      </w:r>
      <w:r w:rsidR="00E06848">
        <w:rPr>
          <w:rFonts w:cstheme="minorHAnsi"/>
          <w:bCs/>
          <w:color w:val="0000FF"/>
        </w:rPr>
        <w:t>on record as performing the kidney transplant</w:t>
      </w:r>
      <w:r w:rsidR="00216F86">
        <w:rPr>
          <w:rFonts w:cstheme="minorHAnsi"/>
          <w:bCs/>
          <w:color w:val="0000FF"/>
        </w:rPr>
        <w:t>.</w:t>
      </w:r>
    </w:p>
    <w:p w14:paraId="47B82053" w14:textId="77777777" w:rsidR="005E2454" w:rsidRDefault="005E2454" w:rsidP="00DB3627">
      <w:pPr>
        <w:autoSpaceDE w:val="0"/>
        <w:autoSpaceDN w:val="0"/>
        <w:adjustRightInd w:val="0"/>
        <w:spacing w:after="0" w:line="240" w:lineRule="auto"/>
        <w:rPr>
          <w:rFonts w:cstheme="minorHAnsi"/>
          <w:bCs/>
          <w:color w:val="0000FF"/>
        </w:rPr>
      </w:pPr>
    </w:p>
    <w:p w14:paraId="7DBCE784" w14:textId="77777777" w:rsidR="005E2454" w:rsidRDefault="005E2454" w:rsidP="00DB3627">
      <w:pPr>
        <w:autoSpaceDE w:val="0"/>
        <w:autoSpaceDN w:val="0"/>
        <w:adjustRightInd w:val="0"/>
        <w:spacing w:after="0" w:line="240" w:lineRule="auto"/>
        <w:rPr>
          <w:rFonts w:cstheme="minorHAnsi"/>
          <w:bCs/>
          <w:color w:val="0000FF"/>
        </w:rPr>
      </w:pPr>
      <w:r>
        <w:rPr>
          <w:rFonts w:cstheme="minorHAnsi"/>
          <w:bCs/>
          <w:color w:val="0000FF"/>
        </w:rPr>
        <w:t xml:space="preserve">Among the data element elements, we test our a priori hypothesis of a .9 match </w:t>
      </w:r>
      <w:r w:rsidR="008B6B75">
        <w:rPr>
          <w:rFonts w:cstheme="minorHAnsi"/>
          <w:bCs/>
          <w:color w:val="0000FF"/>
        </w:rPr>
        <w:t xml:space="preserve">(90% accuracy) </w:t>
      </w:r>
      <w:r>
        <w:rPr>
          <w:rFonts w:cstheme="minorHAnsi"/>
          <w:bCs/>
          <w:color w:val="0000FF"/>
        </w:rPr>
        <w:t xml:space="preserve">between the region and source data. This </w:t>
      </w:r>
      <w:r w:rsidR="00A46DAB">
        <w:rPr>
          <w:rFonts w:cstheme="minorHAnsi"/>
          <w:bCs/>
          <w:color w:val="0000FF"/>
        </w:rPr>
        <w:t>i</w:t>
      </w:r>
      <w:r>
        <w:rPr>
          <w:rFonts w:cstheme="minorHAnsi"/>
          <w:bCs/>
          <w:color w:val="0000FF"/>
        </w:rPr>
        <w:t>s performed at three levels, denominator, numerator, and total.</w:t>
      </w:r>
    </w:p>
    <w:p w14:paraId="530AAB36" w14:textId="77777777" w:rsidR="005E2454" w:rsidRDefault="005E2454" w:rsidP="00DB3627">
      <w:pPr>
        <w:autoSpaceDE w:val="0"/>
        <w:autoSpaceDN w:val="0"/>
        <w:adjustRightInd w:val="0"/>
        <w:spacing w:after="0" w:line="240" w:lineRule="auto"/>
        <w:rPr>
          <w:rFonts w:cstheme="minorHAnsi"/>
          <w:bCs/>
          <w:color w:val="0000FF"/>
        </w:rPr>
      </w:pPr>
    </w:p>
    <w:p w14:paraId="5B5724FC" w14:textId="091FBCCF" w:rsidR="00F77D7A" w:rsidRDefault="00F77D7A" w:rsidP="00F77D7A">
      <w:pPr>
        <w:pStyle w:val="ListParagraph"/>
        <w:numPr>
          <w:ilvl w:val="0"/>
          <w:numId w:val="28"/>
        </w:numPr>
        <w:autoSpaceDE w:val="0"/>
        <w:autoSpaceDN w:val="0"/>
        <w:adjustRightInd w:val="0"/>
        <w:spacing w:after="0" w:line="240" w:lineRule="auto"/>
        <w:rPr>
          <w:rFonts w:cstheme="minorHAnsi"/>
          <w:bCs/>
          <w:color w:val="0000FF"/>
        </w:rPr>
      </w:pPr>
      <w:r>
        <w:rPr>
          <w:rFonts w:cstheme="minorHAnsi"/>
          <w:bCs/>
          <w:color w:val="0000FF"/>
        </w:rPr>
        <w:t xml:space="preserve">At the denominator level, we test the accuracy of the qualification elements, for example, a first time dialysis. We measure the proportion of records where the region </w:t>
      </w:r>
      <w:r w:rsidR="008C1C34">
        <w:rPr>
          <w:rFonts w:cstheme="minorHAnsi"/>
          <w:bCs/>
          <w:color w:val="0000FF"/>
        </w:rPr>
        <w:t xml:space="preserve">response and source </w:t>
      </w:r>
      <w:r w:rsidR="008C1C34">
        <w:rPr>
          <w:rFonts w:cstheme="minorHAnsi"/>
          <w:bCs/>
          <w:color w:val="0000FF"/>
        </w:rPr>
        <w:lastRenderedPageBreak/>
        <w:t>matched</w:t>
      </w:r>
      <w:r>
        <w:rPr>
          <w:rFonts w:cstheme="minorHAnsi"/>
          <w:bCs/>
          <w:color w:val="0000FF"/>
        </w:rPr>
        <w:t xml:space="preserve"> and use a 95% confidence interval </w:t>
      </w:r>
      <w:r w:rsidR="00A85AF0">
        <w:rPr>
          <w:rFonts w:cstheme="minorHAnsi"/>
          <w:bCs/>
          <w:color w:val="0000FF"/>
        </w:rPr>
        <w:t xml:space="preserve">(CI) </w:t>
      </w:r>
      <w:r>
        <w:rPr>
          <w:rFonts w:cstheme="minorHAnsi"/>
          <w:bCs/>
          <w:color w:val="0000FF"/>
        </w:rPr>
        <w:t xml:space="preserve">to determine if the estimated proportion </w:t>
      </w:r>
      <w:r w:rsidR="00A46DAB">
        <w:rPr>
          <w:rFonts w:cstheme="minorHAnsi"/>
          <w:bCs/>
          <w:color w:val="0000FF"/>
        </w:rPr>
        <w:t>i</w:t>
      </w:r>
      <w:r>
        <w:rPr>
          <w:rFonts w:cstheme="minorHAnsi"/>
          <w:bCs/>
          <w:color w:val="0000FF"/>
        </w:rPr>
        <w:t>s different from our hypothesized value of .9.</w:t>
      </w:r>
    </w:p>
    <w:p w14:paraId="3932C6BE" w14:textId="52E4BA34" w:rsidR="00D95799" w:rsidRDefault="000677BA" w:rsidP="00C37EDC">
      <w:pPr>
        <w:pStyle w:val="ListParagraph"/>
        <w:numPr>
          <w:ilvl w:val="0"/>
          <w:numId w:val="28"/>
        </w:numPr>
        <w:autoSpaceDE w:val="0"/>
        <w:autoSpaceDN w:val="0"/>
        <w:adjustRightInd w:val="0"/>
        <w:spacing w:after="0" w:line="240" w:lineRule="auto"/>
        <w:rPr>
          <w:rFonts w:cstheme="minorHAnsi"/>
          <w:bCs/>
          <w:color w:val="0000FF"/>
        </w:rPr>
      </w:pPr>
      <w:r>
        <w:rPr>
          <w:rFonts w:cstheme="minorHAnsi"/>
          <w:bCs/>
          <w:color w:val="0000FF"/>
        </w:rPr>
        <w:t xml:space="preserve">At the numerator level, we compare the method of renal replacement submitted by the region to the </w:t>
      </w:r>
      <w:r w:rsidR="00D95799">
        <w:rPr>
          <w:rFonts w:cstheme="minorHAnsi"/>
          <w:bCs/>
          <w:color w:val="0000FF"/>
        </w:rPr>
        <w:t>authoritative source.</w:t>
      </w:r>
      <w:r w:rsidR="001E47B6">
        <w:rPr>
          <w:rFonts w:cstheme="minorHAnsi"/>
          <w:bCs/>
          <w:color w:val="0000FF"/>
        </w:rPr>
        <w:t xml:space="preserve"> This </w:t>
      </w:r>
      <w:r w:rsidR="00A46DAB">
        <w:rPr>
          <w:rFonts w:cstheme="minorHAnsi"/>
          <w:bCs/>
          <w:color w:val="0000FF"/>
        </w:rPr>
        <w:t>i</w:t>
      </w:r>
      <w:r w:rsidR="001E47B6">
        <w:rPr>
          <w:rFonts w:cstheme="minorHAnsi"/>
          <w:bCs/>
          <w:color w:val="0000FF"/>
        </w:rPr>
        <w:t xml:space="preserve">s to </w:t>
      </w:r>
      <w:r w:rsidR="00DE5CE7">
        <w:rPr>
          <w:rFonts w:cstheme="minorHAnsi"/>
          <w:bCs/>
          <w:color w:val="0000FF"/>
        </w:rPr>
        <w:t xml:space="preserve">assess the accuracy of the regional </w:t>
      </w:r>
      <w:r w:rsidR="001E47B6">
        <w:rPr>
          <w:rFonts w:cstheme="minorHAnsi"/>
          <w:bCs/>
          <w:color w:val="0000FF"/>
        </w:rPr>
        <w:t xml:space="preserve">data </w:t>
      </w:r>
      <w:r w:rsidR="00F77D7A">
        <w:rPr>
          <w:rFonts w:cstheme="minorHAnsi"/>
          <w:bCs/>
          <w:color w:val="0000FF"/>
        </w:rPr>
        <w:t xml:space="preserve">element identifying the mode of initial renal replacement therapy. A 95% </w:t>
      </w:r>
      <w:r w:rsidR="00A85AF0">
        <w:rPr>
          <w:rFonts w:cstheme="minorHAnsi"/>
          <w:bCs/>
          <w:color w:val="0000FF"/>
        </w:rPr>
        <w:t>CI</w:t>
      </w:r>
      <w:r w:rsidR="00F77D7A">
        <w:rPr>
          <w:rFonts w:cstheme="minorHAnsi"/>
          <w:bCs/>
          <w:color w:val="0000FF"/>
        </w:rPr>
        <w:t xml:space="preserve"> </w:t>
      </w:r>
      <w:r w:rsidR="00A46DAB">
        <w:rPr>
          <w:rFonts w:cstheme="minorHAnsi"/>
          <w:bCs/>
          <w:color w:val="0000FF"/>
        </w:rPr>
        <w:t>i</w:t>
      </w:r>
      <w:r w:rsidR="00F77D7A">
        <w:rPr>
          <w:rFonts w:cstheme="minorHAnsi"/>
          <w:bCs/>
          <w:color w:val="0000FF"/>
        </w:rPr>
        <w:t>s used to determine if the estimated proportion differ</w:t>
      </w:r>
      <w:r w:rsidR="00A46DAB">
        <w:rPr>
          <w:rFonts w:cstheme="minorHAnsi"/>
          <w:bCs/>
          <w:color w:val="0000FF"/>
        </w:rPr>
        <w:t>s</w:t>
      </w:r>
      <w:r w:rsidR="00F77D7A">
        <w:rPr>
          <w:rFonts w:cstheme="minorHAnsi"/>
          <w:bCs/>
          <w:color w:val="0000FF"/>
        </w:rPr>
        <w:t xml:space="preserve"> from our hypothesized value of .9.</w:t>
      </w:r>
    </w:p>
    <w:p w14:paraId="6BFF2FC7" w14:textId="6074CFD8" w:rsidR="00F77D7A" w:rsidRDefault="002C3373" w:rsidP="00C37EDC">
      <w:pPr>
        <w:pStyle w:val="ListParagraph"/>
        <w:numPr>
          <w:ilvl w:val="0"/>
          <w:numId w:val="28"/>
        </w:numPr>
        <w:autoSpaceDE w:val="0"/>
        <w:autoSpaceDN w:val="0"/>
        <w:adjustRightInd w:val="0"/>
        <w:spacing w:after="0" w:line="240" w:lineRule="auto"/>
        <w:rPr>
          <w:rFonts w:cstheme="minorHAnsi"/>
          <w:bCs/>
          <w:color w:val="0000FF"/>
        </w:rPr>
      </w:pPr>
      <w:r>
        <w:rPr>
          <w:rFonts w:cstheme="minorHAnsi"/>
          <w:bCs/>
          <w:color w:val="0000FF"/>
        </w:rPr>
        <w:t xml:space="preserve">Total </w:t>
      </w:r>
      <w:r w:rsidR="008C1C34">
        <w:rPr>
          <w:rFonts w:cstheme="minorHAnsi"/>
          <w:bCs/>
          <w:color w:val="0000FF"/>
        </w:rPr>
        <w:t>element accuracy</w:t>
      </w:r>
      <w:r>
        <w:rPr>
          <w:rFonts w:cstheme="minorHAnsi"/>
          <w:bCs/>
          <w:color w:val="0000FF"/>
        </w:rPr>
        <w:t xml:space="preserve">, denominator and numerator </w:t>
      </w:r>
      <w:r w:rsidR="008C1C34">
        <w:rPr>
          <w:rFonts w:cstheme="minorHAnsi"/>
          <w:bCs/>
          <w:color w:val="0000FF"/>
        </w:rPr>
        <w:t xml:space="preserve">accuracy </w:t>
      </w:r>
      <w:r>
        <w:rPr>
          <w:rFonts w:cstheme="minorHAnsi"/>
          <w:bCs/>
          <w:color w:val="0000FF"/>
        </w:rPr>
        <w:t xml:space="preserve">combined, </w:t>
      </w:r>
      <w:r w:rsidR="00A46DAB">
        <w:rPr>
          <w:rFonts w:cstheme="minorHAnsi"/>
          <w:bCs/>
          <w:color w:val="0000FF"/>
        </w:rPr>
        <w:t>i</w:t>
      </w:r>
      <w:r>
        <w:rPr>
          <w:rFonts w:cstheme="minorHAnsi"/>
          <w:bCs/>
          <w:color w:val="0000FF"/>
        </w:rPr>
        <w:t>s tested</w:t>
      </w:r>
      <w:r w:rsidR="00A46DAB">
        <w:rPr>
          <w:rFonts w:cstheme="minorHAnsi"/>
          <w:bCs/>
          <w:color w:val="0000FF"/>
        </w:rPr>
        <w:t xml:space="preserve"> comparing </w:t>
      </w:r>
      <w:r>
        <w:rPr>
          <w:rFonts w:cstheme="minorHAnsi"/>
          <w:bCs/>
          <w:color w:val="0000FF"/>
        </w:rPr>
        <w:t>the match proportion to our hypothesized value of .9</w:t>
      </w:r>
      <w:r w:rsidR="00A46DAB">
        <w:rPr>
          <w:rFonts w:cstheme="minorHAnsi"/>
          <w:bCs/>
          <w:color w:val="0000FF"/>
        </w:rPr>
        <w:t xml:space="preserve"> and a</w:t>
      </w:r>
      <w:r>
        <w:rPr>
          <w:rFonts w:cstheme="minorHAnsi"/>
          <w:bCs/>
          <w:color w:val="0000FF"/>
        </w:rPr>
        <w:t xml:space="preserve"> 95% </w:t>
      </w:r>
      <w:r w:rsidR="00A85AF0">
        <w:rPr>
          <w:rFonts w:cstheme="minorHAnsi"/>
          <w:bCs/>
          <w:color w:val="0000FF"/>
        </w:rPr>
        <w:t>CI</w:t>
      </w:r>
      <w:r>
        <w:rPr>
          <w:rFonts w:cstheme="minorHAnsi"/>
          <w:bCs/>
          <w:color w:val="0000FF"/>
        </w:rPr>
        <w:t>.</w:t>
      </w:r>
    </w:p>
    <w:p w14:paraId="37D8CD72" w14:textId="77777777" w:rsidR="002C3373" w:rsidRDefault="008C1C34" w:rsidP="00C37EDC">
      <w:pPr>
        <w:pStyle w:val="ListParagraph"/>
        <w:numPr>
          <w:ilvl w:val="0"/>
          <w:numId w:val="28"/>
        </w:numPr>
        <w:autoSpaceDE w:val="0"/>
        <w:autoSpaceDN w:val="0"/>
        <w:adjustRightInd w:val="0"/>
        <w:spacing w:after="0" w:line="240" w:lineRule="auto"/>
        <w:rPr>
          <w:rFonts w:cstheme="minorHAnsi"/>
          <w:bCs/>
          <w:color w:val="0000FF"/>
        </w:rPr>
      </w:pPr>
      <w:r>
        <w:rPr>
          <w:rFonts w:cstheme="minorHAnsi"/>
          <w:bCs/>
          <w:color w:val="0000FF"/>
        </w:rPr>
        <w:t xml:space="preserve">We evaluate </w:t>
      </w:r>
      <w:r w:rsidR="002C3373">
        <w:rPr>
          <w:rFonts w:cstheme="minorHAnsi"/>
          <w:bCs/>
          <w:color w:val="0000FF"/>
        </w:rPr>
        <w:t xml:space="preserve">the </w:t>
      </w:r>
      <w:r w:rsidR="008B6B75">
        <w:rPr>
          <w:rFonts w:cstheme="minorHAnsi"/>
          <w:bCs/>
          <w:color w:val="0000FF"/>
        </w:rPr>
        <w:t>performance</w:t>
      </w:r>
      <w:r w:rsidR="00AE0355">
        <w:rPr>
          <w:rFonts w:cstheme="minorHAnsi"/>
          <w:bCs/>
          <w:color w:val="0000FF"/>
        </w:rPr>
        <w:t xml:space="preserve"> metric</w:t>
      </w:r>
      <w:r w:rsidR="008B6B75">
        <w:rPr>
          <w:rFonts w:cstheme="minorHAnsi"/>
          <w:bCs/>
          <w:color w:val="0000FF"/>
        </w:rPr>
        <w:t xml:space="preserve">, </w:t>
      </w:r>
      <w:r w:rsidR="002C3373">
        <w:rPr>
          <w:rFonts w:cstheme="minorHAnsi"/>
          <w:bCs/>
          <w:color w:val="0000FF"/>
        </w:rPr>
        <w:t>optimal ESRD start</w:t>
      </w:r>
      <w:r w:rsidR="008B6B75">
        <w:rPr>
          <w:rFonts w:cstheme="minorHAnsi"/>
          <w:bCs/>
          <w:color w:val="0000FF"/>
        </w:rPr>
        <w:t>,</w:t>
      </w:r>
      <w:r>
        <w:rPr>
          <w:rFonts w:cstheme="minorHAnsi"/>
          <w:bCs/>
          <w:color w:val="0000FF"/>
        </w:rPr>
        <w:t xml:space="preserve"> using sensitivity, specificity, and </w:t>
      </w:r>
      <w:r w:rsidR="00DE5CE7">
        <w:rPr>
          <w:rFonts w:cstheme="minorHAnsi"/>
          <w:bCs/>
          <w:color w:val="0000FF"/>
        </w:rPr>
        <w:t xml:space="preserve">positive and negative </w:t>
      </w:r>
      <w:r>
        <w:rPr>
          <w:rFonts w:cstheme="minorHAnsi"/>
          <w:bCs/>
          <w:color w:val="0000FF"/>
        </w:rPr>
        <w:t>predictive values with 95% confidence intervals.</w:t>
      </w:r>
    </w:p>
    <w:p w14:paraId="134E547A" w14:textId="77777777" w:rsidR="008B6B75" w:rsidRDefault="00DD3276" w:rsidP="00C37EDC">
      <w:pPr>
        <w:pStyle w:val="ListParagraph"/>
        <w:numPr>
          <w:ilvl w:val="0"/>
          <w:numId w:val="28"/>
        </w:numPr>
        <w:autoSpaceDE w:val="0"/>
        <w:autoSpaceDN w:val="0"/>
        <w:adjustRightInd w:val="0"/>
        <w:spacing w:after="0" w:line="240" w:lineRule="auto"/>
        <w:rPr>
          <w:rFonts w:cstheme="minorHAnsi"/>
          <w:bCs/>
          <w:color w:val="0000FF"/>
        </w:rPr>
      </w:pPr>
      <w:r>
        <w:rPr>
          <w:rFonts w:cstheme="minorHAnsi"/>
          <w:bCs/>
          <w:color w:val="0000FF"/>
        </w:rPr>
        <w:t xml:space="preserve">There </w:t>
      </w:r>
      <w:r w:rsidR="00A46DAB">
        <w:rPr>
          <w:rFonts w:cstheme="minorHAnsi"/>
          <w:bCs/>
          <w:color w:val="0000FF"/>
        </w:rPr>
        <w:t>ar</w:t>
      </w:r>
      <w:r>
        <w:rPr>
          <w:rFonts w:cstheme="minorHAnsi"/>
          <w:bCs/>
          <w:color w:val="0000FF"/>
        </w:rPr>
        <w:t xml:space="preserve">e two sample cases </w:t>
      </w:r>
      <w:r w:rsidR="008B6B75">
        <w:rPr>
          <w:rFonts w:cstheme="minorHAnsi"/>
          <w:bCs/>
          <w:color w:val="0000FF"/>
        </w:rPr>
        <w:t xml:space="preserve">where the source, dialysis center, </w:t>
      </w:r>
      <w:r w:rsidR="00A46DAB">
        <w:rPr>
          <w:rFonts w:cstheme="minorHAnsi"/>
          <w:bCs/>
          <w:color w:val="0000FF"/>
        </w:rPr>
        <w:t>i</w:t>
      </w:r>
      <w:r w:rsidR="008B6B75">
        <w:rPr>
          <w:rFonts w:cstheme="minorHAnsi"/>
          <w:bCs/>
          <w:color w:val="0000FF"/>
        </w:rPr>
        <w:t>s no longer under contract</w:t>
      </w:r>
      <w:r w:rsidR="00DE5CE7">
        <w:rPr>
          <w:rFonts w:cstheme="minorHAnsi"/>
          <w:bCs/>
          <w:color w:val="0000FF"/>
        </w:rPr>
        <w:t xml:space="preserve">. For these two cases the </w:t>
      </w:r>
      <w:r>
        <w:rPr>
          <w:rFonts w:cstheme="minorHAnsi"/>
          <w:bCs/>
          <w:color w:val="0000FF"/>
        </w:rPr>
        <w:t xml:space="preserve">source results </w:t>
      </w:r>
      <w:r w:rsidR="00A46DAB">
        <w:rPr>
          <w:rFonts w:cstheme="minorHAnsi"/>
          <w:bCs/>
          <w:color w:val="0000FF"/>
        </w:rPr>
        <w:t>are</w:t>
      </w:r>
      <w:r>
        <w:rPr>
          <w:rFonts w:cstheme="minorHAnsi"/>
          <w:bCs/>
          <w:color w:val="0000FF"/>
        </w:rPr>
        <w:t xml:space="preserve"> not available. To judge the potential effect of the missing data, we consider two scenarios, (1) the region result </w:t>
      </w:r>
      <w:r w:rsidR="00474BC3">
        <w:rPr>
          <w:rFonts w:cstheme="minorHAnsi"/>
          <w:bCs/>
          <w:color w:val="0000FF"/>
        </w:rPr>
        <w:t xml:space="preserve">does </w:t>
      </w:r>
      <w:r>
        <w:rPr>
          <w:rFonts w:cstheme="minorHAnsi"/>
          <w:bCs/>
          <w:color w:val="0000FF"/>
        </w:rPr>
        <w:t>not match the source</w:t>
      </w:r>
      <w:r w:rsidR="00AE0355">
        <w:rPr>
          <w:rFonts w:cstheme="minorHAnsi"/>
          <w:bCs/>
          <w:color w:val="0000FF"/>
        </w:rPr>
        <w:t xml:space="preserve"> (worst case)</w:t>
      </w:r>
      <w:r>
        <w:rPr>
          <w:rFonts w:cstheme="minorHAnsi"/>
          <w:bCs/>
          <w:color w:val="0000FF"/>
        </w:rPr>
        <w:t>, and (2) the region result d</w:t>
      </w:r>
      <w:r w:rsidR="00474BC3">
        <w:rPr>
          <w:rFonts w:cstheme="minorHAnsi"/>
          <w:bCs/>
          <w:color w:val="0000FF"/>
        </w:rPr>
        <w:t>oes</w:t>
      </w:r>
      <w:r>
        <w:rPr>
          <w:rFonts w:cstheme="minorHAnsi"/>
          <w:bCs/>
          <w:color w:val="0000FF"/>
        </w:rPr>
        <w:t xml:space="preserve"> match the source</w:t>
      </w:r>
      <w:r w:rsidR="00AE0355">
        <w:rPr>
          <w:rFonts w:cstheme="minorHAnsi"/>
          <w:bCs/>
          <w:color w:val="0000FF"/>
        </w:rPr>
        <w:t xml:space="preserve"> (best case)</w:t>
      </w:r>
      <w:r>
        <w:rPr>
          <w:rFonts w:cstheme="minorHAnsi"/>
          <w:bCs/>
          <w:color w:val="0000FF"/>
        </w:rPr>
        <w:t>.</w:t>
      </w:r>
    </w:p>
    <w:p w14:paraId="3F0B796D" w14:textId="77777777" w:rsidR="005E2454" w:rsidRDefault="005E2454" w:rsidP="002C3373">
      <w:pPr>
        <w:autoSpaceDE w:val="0"/>
        <w:autoSpaceDN w:val="0"/>
        <w:adjustRightInd w:val="0"/>
        <w:spacing w:after="0" w:line="240" w:lineRule="auto"/>
        <w:rPr>
          <w:rFonts w:cstheme="minorHAnsi"/>
          <w:bCs/>
          <w:color w:val="0000FF"/>
        </w:rPr>
      </w:pPr>
    </w:p>
    <w:p w14:paraId="363E31C6" w14:textId="77777777" w:rsidR="002C3373" w:rsidRDefault="002C3373" w:rsidP="002C3373">
      <w:pPr>
        <w:autoSpaceDE w:val="0"/>
        <w:autoSpaceDN w:val="0"/>
        <w:adjustRightInd w:val="0"/>
        <w:spacing w:after="0" w:line="240" w:lineRule="auto"/>
        <w:rPr>
          <w:rFonts w:cstheme="minorHAnsi"/>
          <w:bCs/>
          <w:color w:val="0000FF"/>
        </w:rPr>
      </w:pPr>
      <w:r w:rsidRPr="002C3373">
        <w:rPr>
          <w:rFonts w:cstheme="minorHAnsi"/>
          <w:bCs/>
          <w:color w:val="0000FF"/>
        </w:rPr>
        <w:t xml:space="preserve">Data element match proportion confidence intervals </w:t>
      </w:r>
      <w:r w:rsidR="00474BC3">
        <w:rPr>
          <w:rFonts w:cstheme="minorHAnsi"/>
          <w:bCs/>
          <w:color w:val="0000FF"/>
        </w:rPr>
        <w:t>ar</w:t>
      </w:r>
      <w:r w:rsidRPr="002C3373">
        <w:rPr>
          <w:rFonts w:cstheme="minorHAnsi"/>
          <w:bCs/>
          <w:color w:val="0000FF"/>
        </w:rPr>
        <w:t xml:space="preserve">e calculated </w:t>
      </w:r>
      <w:r w:rsidR="005E2454">
        <w:rPr>
          <w:rFonts w:cstheme="minorHAnsi"/>
          <w:bCs/>
          <w:color w:val="0000FF"/>
        </w:rPr>
        <w:t>such that t</w:t>
      </w:r>
      <w:r>
        <w:rPr>
          <w:rFonts w:cstheme="minorHAnsi"/>
          <w:bCs/>
          <w:color w:val="0000FF"/>
        </w:rPr>
        <w:t>he lower confidence limit is never less than zero and the upper confidence limit is never greater than one</w:t>
      </w:r>
      <w:r w:rsidR="005E2454">
        <w:rPr>
          <w:rFonts w:cstheme="minorHAnsi"/>
          <w:bCs/>
          <w:color w:val="0000FF"/>
        </w:rPr>
        <w:t xml:space="preserve"> (Fleiss)</w:t>
      </w:r>
      <w:r>
        <w:rPr>
          <w:rFonts w:cstheme="minorHAnsi"/>
          <w:bCs/>
          <w:color w:val="0000FF"/>
        </w:rPr>
        <w:t>.</w:t>
      </w:r>
    </w:p>
    <w:p w14:paraId="0B085758" w14:textId="77777777" w:rsidR="001278C9" w:rsidRDefault="001278C9" w:rsidP="002C3373">
      <w:pPr>
        <w:autoSpaceDE w:val="0"/>
        <w:autoSpaceDN w:val="0"/>
        <w:adjustRightInd w:val="0"/>
        <w:spacing w:after="0" w:line="240" w:lineRule="auto"/>
        <w:rPr>
          <w:rFonts w:cstheme="minorHAnsi"/>
          <w:bCs/>
          <w:color w:val="0000FF"/>
        </w:rPr>
      </w:pPr>
    </w:p>
    <w:p w14:paraId="5A0B7959" w14:textId="77777777" w:rsidR="001278C9" w:rsidRPr="002C3373" w:rsidRDefault="001278C9" w:rsidP="002C3373">
      <w:pPr>
        <w:autoSpaceDE w:val="0"/>
        <w:autoSpaceDN w:val="0"/>
        <w:adjustRightInd w:val="0"/>
        <w:spacing w:after="0" w:line="240" w:lineRule="auto"/>
        <w:rPr>
          <w:rFonts w:cstheme="minorHAnsi"/>
          <w:bCs/>
          <w:color w:val="0000FF"/>
        </w:rPr>
      </w:pPr>
      <w:r>
        <w:rPr>
          <w:rFonts w:cstheme="minorHAnsi"/>
          <w:bCs/>
          <w:color w:val="0000FF"/>
        </w:rPr>
        <w:t>Fleiss JL</w:t>
      </w:r>
      <w:r w:rsidR="009D4A01">
        <w:rPr>
          <w:rFonts w:cstheme="minorHAnsi"/>
          <w:bCs/>
          <w:color w:val="0000FF"/>
        </w:rPr>
        <w:t xml:space="preserve"> (</w:t>
      </w:r>
      <w:r>
        <w:rPr>
          <w:rFonts w:cstheme="minorHAnsi"/>
          <w:bCs/>
          <w:color w:val="0000FF"/>
        </w:rPr>
        <w:t>1981</w:t>
      </w:r>
      <w:r w:rsidR="009D4A01">
        <w:rPr>
          <w:rFonts w:cstheme="minorHAnsi"/>
          <w:bCs/>
          <w:color w:val="0000FF"/>
        </w:rPr>
        <w:t>).</w:t>
      </w:r>
      <w:r>
        <w:rPr>
          <w:rFonts w:cstheme="minorHAnsi"/>
          <w:bCs/>
          <w:color w:val="0000FF"/>
        </w:rPr>
        <w:t xml:space="preserve"> </w:t>
      </w:r>
      <w:proofErr w:type="gramStart"/>
      <w:r>
        <w:rPr>
          <w:rFonts w:cstheme="minorHAnsi"/>
          <w:bCs/>
          <w:color w:val="0000FF"/>
        </w:rPr>
        <w:t>Statistical Methods for Rates and Proportions, 2nd edition</w:t>
      </w:r>
      <w:r w:rsidR="009D4A01">
        <w:rPr>
          <w:rFonts w:cstheme="minorHAnsi"/>
          <w:bCs/>
          <w:color w:val="0000FF"/>
        </w:rPr>
        <w:t>.</w:t>
      </w:r>
      <w:proofErr w:type="gramEnd"/>
      <w:r>
        <w:rPr>
          <w:rFonts w:cstheme="minorHAnsi"/>
          <w:bCs/>
          <w:color w:val="0000FF"/>
        </w:rPr>
        <w:t xml:space="preserve"> John Wiley &amp; Sons</w:t>
      </w:r>
      <w:r w:rsidR="005E2454">
        <w:rPr>
          <w:rFonts w:cstheme="minorHAnsi"/>
          <w:bCs/>
          <w:color w:val="0000FF"/>
        </w:rPr>
        <w:t>, New York</w:t>
      </w:r>
      <w:r>
        <w:rPr>
          <w:rFonts w:cstheme="minorHAnsi"/>
          <w:bCs/>
          <w:color w:val="0000FF"/>
        </w:rPr>
        <w:t>.</w:t>
      </w:r>
    </w:p>
    <w:p w14:paraId="053B35E2" w14:textId="77777777" w:rsidR="002C3373" w:rsidRPr="00C37EDC" w:rsidRDefault="002C3373" w:rsidP="002C3373">
      <w:pPr>
        <w:pStyle w:val="ListParagraph"/>
        <w:autoSpaceDE w:val="0"/>
        <w:autoSpaceDN w:val="0"/>
        <w:adjustRightInd w:val="0"/>
        <w:spacing w:after="0" w:line="240" w:lineRule="auto"/>
        <w:rPr>
          <w:rFonts w:cstheme="minorHAnsi"/>
          <w:bCs/>
          <w:color w:val="0000FF"/>
        </w:rPr>
      </w:pPr>
    </w:p>
    <w:p w14:paraId="4B8EDDD1" w14:textId="77777777" w:rsidR="00E06848" w:rsidRDefault="00092566" w:rsidP="00092566">
      <w:pPr>
        <w:autoSpaceDE w:val="0"/>
        <w:autoSpaceDN w:val="0"/>
        <w:adjustRightInd w:val="0"/>
        <w:spacing w:after="0" w:line="240" w:lineRule="auto"/>
        <w:rPr>
          <w:rFonts w:cstheme="minorHAnsi"/>
          <w:bCs/>
          <w:color w:val="0000FF"/>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16F86">
        <w:rPr>
          <w:rFonts w:cstheme="minorHAnsi"/>
          <w:bCs/>
          <w:color w:val="0000FF"/>
        </w:rPr>
        <w:t>)</w:t>
      </w:r>
      <w:r w:rsidR="00216F86" w:rsidRPr="00216F86">
        <w:rPr>
          <w:rFonts w:cstheme="minorHAnsi"/>
          <w:bCs/>
          <w:color w:val="0000FF"/>
        </w:rPr>
        <w:t xml:space="preserve"> </w:t>
      </w:r>
    </w:p>
    <w:p w14:paraId="42E0760A" w14:textId="77777777" w:rsidR="00E06848" w:rsidRDefault="00E06848" w:rsidP="00092566">
      <w:pPr>
        <w:autoSpaceDE w:val="0"/>
        <w:autoSpaceDN w:val="0"/>
        <w:adjustRightInd w:val="0"/>
        <w:spacing w:after="0" w:line="240" w:lineRule="auto"/>
        <w:rPr>
          <w:rFonts w:cstheme="minorHAnsi"/>
          <w:bCs/>
          <w:color w:val="0000FF"/>
        </w:rPr>
      </w:pPr>
    </w:p>
    <w:p w14:paraId="381D32AD" w14:textId="7E8179DE" w:rsidR="00A93CC2" w:rsidRDefault="0050587C" w:rsidP="00A93CC2">
      <w:pPr>
        <w:autoSpaceDE w:val="0"/>
        <w:autoSpaceDN w:val="0"/>
        <w:adjustRightInd w:val="0"/>
        <w:spacing w:after="0" w:line="240" w:lineRule="auto"/>
        <w:rPr>
          <w:rFonts w:cstheme="minorHAnsi"/>
          <w:bCs/>
          <w:color w:val="0000FF"/>
        </w:rPr>
      </w:pPr>
      <w:r w:rsidRPr="00A93CC2">
        <w:rPr>
          <w:rFonts w:cstheme="minorHAnsi"/>
          <w:bCs/>
          <w:color w:val="0000FF"/>
        </w:rPr>
        <w:t xml:space="preserve">Among the 73 sample records, there </w:t>
      </w:r>
      <w:r w:rsidR="00474BC3">
        <w:rPr>
          <w:rFonts w:cstheme="minorHAnsi"/>
          <w:bCs/>
          <w:color w:val="0000FF"/>
        </w:rPr>
        <w:t>ar</w:t>
      </w:r>
      <w:r w:rsidRPr="00A93CC2">
        <w:rPr>
          <w:rFonts w:cstheme="minorHAnsi"/>
          <w:bCs/>
          <w:color w:val="0000FF"/>
        </w:rPr>
        <w:t xml:space="preserve">e 12 errors comprised of 9 errors at the numerator level, where the </w:t>
      </w:r>
      <w:r w:rsidR="00AE0355">
        <w:rPr>
          <w:rFonts w:cstheme="minorHAnsi"/>
          <w:bCs/>
          <w:color w:val="0000FF"/>
        </w:rPr>
        <w:t xml:space="preserve">region </w:t>
      </w:r>
      <w:r w:rsidRPr="00A93CC2">
        <w:rPr>
          <w:rFonts w:cstheme="minorHAnsi"/>
          <w:bCs/>
          <w:color w:val="0000FF"/>
        </w:rPr>
        <w:t>recorded mod</w:t>
      </w:r>
      <w:r w:rsidR="00A85AF0">
        <w:rPr>
          <w:rFonts w:cstheme="minorHAnsi"/>
          <w:bCs/>
          <w:color w:val="0000FF"/>
        </w:rPr>
        <w:t>e</w:t>
      </w:r>
      <w:r w:rsidRPr="00A93CC2">
        <w:rPr>
          <w:rFonts w:cstheme="minorHAnsi"/>
          <w:bCs/>
          <w:color w:val="0000FF"/>
        </w:rPr>
        <w:t xml:space="preserve"> of renal replacement d</w:t>
      </w:r>
      <w:r w:rsidR="00474BC3">
        <w:rPr>
          <w:rFonts w:cstheme="minorHAnsi"/>
          <w:bCs/>
          <w:color w:val="0000FF"/>
        </w:rPr>
        <w:t>oes</w:t>
      </w:r>
      <w:r w:rsidRPr="00A93CC2">
        <w:rPr>
          <w:rFonts w:cstheme="minorHAnsi"/>
          <w:bCs/>
          <w:color w:val="0000FF"/>
        </w:rPr>
        <w:t xml:space="preserve"> not match the source </w:t>
      </w:r>
      <w:r w:rsidR="00D54ED7">
        <w:rPr>
          <w:rFonts w:cstheme="minorHAnsi"/>
          <w:bCs/>
          <w:color w:val="0000FF"/>
        </w:rPr>
        <w:t>record</w:t>
      </w:r>
      <w:r w:rsidR="00126D2F">
        <w:rPr>
          <w:rFonts w:cstheme="minorHAnsi"/>
          <w:bCs/>
          <w:color w:val="0000FF"/>
        </w:rPr>
        <w:t xml:space="preserve"> (AV Fistula and Catheter)</w:t>
      </w:r>
      <w:r w:rsidRPr="00A93CC2">
        <w:rPr>
          <w:rFonts w:cstheme="minorHAnsi"/>
          <w:bCs/>
          <w:color w:val="0000FF"/>
        </w:rPr>
        <w:t>, and 3 errors at the denominator level, where the patient d</w:t>
      </w:r>
      <w:r w:rsidR="00474BC3">
        <w:rPr>
          <w:rFonts w:cstheme="minorHAnsi"/>
          <w:bCs/>
          <w:color w:val="0000FF"/>
        </w:rPr>
        <w:t>oes</w:t>
      </w:r>
      <w:r w:rsidRPr="00A93CC2">
        <w:rPr>
          <w:rFonts w:cstheme="minorHAnsi"/>
          <w:bCs/>
          <w:color w:val="0000FF"/>
        </w:rPr>
        <w:t xml:space="preserve"> not meet the qualifying criteria</w:t>
      </w:r>
      <w:r w:rsidR="00A93CC2" w:rsidRPr="00A93CC2">
        <w:rPr>
          <w:rFonts w:cstheme="minorHAnsi"/>
          <w:bCs/>
          <w:color w:val="0000FF"/>
        </w:rPr>
        <w:t xml:space="preserve"> (d</w:t>
      </w:r>
      <w:r w:rsidR="00474BC3">
        <w:rPr>
          <w:rFonts w:cstheme="minorHAnsi"/>
          <w:bCs/>
          <w:color w:val="0000FF"/>
        </w:rPr>
        <w:t>oes</w:t>
      </w:r>
      <w:r w:rsidR="00A93CC2" w:rsidRPr="00A93CC2">
        <w:rPr>
          <w:rFonts w:cstheme="minorHAnsi"/>
          <w:bCs/>
          <w:color w:val="0000FF"/>
        </w:rPr>
        <w:t xml:space="preserve"> not start renal replacement or </w:t>
      </w:r>
      <w:r w:rsidR="00D54ED7">
        <w:rPr>
          <w:rFonts w:cstheme="minorHAnsi"/>
          <w:bCs/>
          <w:color w:val="0000FF"/>
        </w:rPr>
        <w:t>ha</w:t>
      </w:r>
      <w:r w:rsidR="00474BC3">
        <w:rPr>
          <w:rFonts w:cstheme="minorHAnsi"/>
          <w:bCs/>
          <w:color w:val="0000FF"/>
        </w:rPr>
        <w:t>s</w:t>
      </w:r>
      <w:r w:rsidR="00D54ED7">
        <w:rPr>
          <w:rFonts w:cstheme="minorHAnsi"/>
          <w:bCs/>
          <w:color w:val="0000FF"/>
        </w:rPr>
        <w:t xml:space="preserve"> previously started</w:t>
      </w:r>
      <w:r w:rsidR="00A93CC2" w:rsidRPr="00A93CC2">
        <w:rPr>
          <w:rFonts w:cstheme="minorHAnsi"/>
          <w:bCs/>
          <w:color w:val="0000FF"/>
        </w:rPr>
        <w:t xml:space="preserve"> treatment)</w:t>
      </w:r>
      <w:r w:rsidRPr="00A93CC2">
        <w:rPr>
          <w:rFonts w:cstheme="minorHAnsi"/>
          <w:bCs/>
          <w:color w:val="0000FF"/>
        </w:rPr>
        <w:t xml:space="preserve">. </w:t>
      </w:r>
      <w:r w:rsidR="00A93CC2">
        <w:rPr>
          <w:rFonts w:cstheme="minorHAnsi"/>
          <w:bCs/>
          <w:color w:val="0000FF"/>
        </w:rPr>
        <w:t>Two records ha</w:t>
      </w:r>
      <w:r w:rsidR="00474BC3">
        <w:rPr>
          <w:rFonts w:cstheme="minorHAnsi"/>
          <w:bCs/>
          <w:color w:val="0000FF"/>
        </w:rPr>
        <w:t>ve</w:t>
      </w:r>
      <w:r w:rsidR="00A93CC2">
        <w:rPr>
          <w:rFonts w:cstheme="minorHAnsi"/>
          <w:bCs/>
          <w:color w:val="0000FF"/>
        </w:rPr>
        <w:t xml:space="preserve"> missing source results due to the dialysis cent</w:t>
      </w:r>
      <w:r w:rsidR="00F5041D">
        <w:rPr>
          <w:rFonts w:cstheme="minorHAnsi"/>
          <w:bCs/>
          <w:color w:val="0000FF"/>
        </w:rPr>
        <w:t>er not currently under contract, Table 1.</w:t>
      </w:r>
    </w:p>
    <w:p w14:paraId="532DF6E8" w14:textId="77777777" w:rsidR="00A93CC2" w:rsidRDefault="00A93CC2" w:rsidP="00A93CC2">
      <w:pPr>
        <w:autoSpaceDE w:val="0"/>
        <w:autoSpaceDN w:val="0"/>
        <w:adjustRightInd w:val="0"/>
        <w:spacing w:after="0" w:line="240" w:lineRule="auto"/>
        <w:rPr>
          <w:rFonts w:cstheme="minorHAnsi"/>
          <w:bCs/>
          <w:color w:val="0000FF"/>
        </w:rPr>
      </w:pPr>
    </w:p>
    <w:p w14:paraId="2565F6E1" w14:textId="77777777" w:rsidR="00C55317" w:rsidRDefault="00C55317" w:rsidP="00A93CC2">
      <w:pPr>
        <w:autoSpaceDE w:val="0"/>
        <w:autoSpaceDN w:val="0"/>
        <w:adjustRightInd w:val="0"/>
        <w:spacing w:after="0" w:line="240" w:lineRule="auto"/>
        <w:rPr>
          <w:rFonts w:cstheme="minorHAnsi"/>
          <w:bCs/>
          <w:color w:val="0000FF"/>
        </w:rPr>
      </w:pPr>
      <w:r>
        <w:rPr>
          <w:rFonts w:cstheme="minorHAnsi"/>
          <w:bCs/>
          <w:color w:val="0000FF"/>
        </w:rPr>
        <w:t>For the denominator, numerator, and total element match proportion</w:t>
      </w:r>
      <w:r w:rsidR="00493ADF">
        <w:rPr>
          <w:rFonts w:cstheme="minorHAnsi"/>
          <w:bCs/>
          <w:color w:val="0000FF"/>
        </w:rPr>
        <w:t>s, Table 2</w:t>
      </w:r>
      <w:r>
        <w:rPr>
          <w:rFonts w:cstheme="minorHAnsi"/>
          <w:bCs/>
          <w:color w:val="0000FF"/>
        </w:rPr>
        <w:t>, we exclude the two records with no source results</w:t>
      </w:r>
      <w:r w:rsidR="00236EDF">
        <w:rPr>
          <w:rFonts w:cstheme="minorHAnsi"/>
          <w:bCs/>
          <w:color w:val="0000FF"/>
        </w:rPr>
        <w:t xml:space="preserve"> (</w:t>
      </w:r>
      <w:r w:rsidR="009C6F90">
        <w:rPr>
          <w:rFonts w:cstheme="minorHAnsi"/>
          <w:bCs/>
          <w:color w:val="0000FF"/>
        </w:rPr>
        <w:t>scenario 1</w:t>
      </w:r>
      <w:r w:rsidR="00236EDF">
        <w:rPr>
          <w:rFonts w:cstheme="minorHAnsi"/>
          <w:bCs/>
          <w:color w:val="0000FF"/>
        </w:rPr>
        <w:t>, exclude)</w:t>
      </w:r>
      <w:r>
        <w:rPr>
          <w:rFonts w:cstheme="minorHAnsi"/>
          <w:bCs/>
          <w:color w:val="0000FF"/>
        </w:rPr>
        <w:t xml:space="preserve">. </w:t>
      </w:r>
      <w:r w:rsidR="009C6F90">
        <w:rPr>
          <w:rFonts w:cstheme="minorHAnsi"/>
          <w:bCs/>
          <w:color w:val="0000FF"/>
        </w:rPr>
        <w:t xml:space="preserve">To consider the potential effect of the excluded records, we include the records under two </w:t>
      </w:r>
      <w:r w:rsidR="00236EDF">
        <w:rPr>
          <w:rFonts w:cstheme="minorHAnsi"/>
          <w:bCs/>
          <w:color w:val="0000FF"/>
        </w:rPr>
        <w:t xml:space="preserve">additional </w:t>
      </w:r>
      <w:r w:rsidR="009C6F90">
        <w:rPr>
          <w:rFonts w:cstheme="minorHAnsi"/>
          <w:bCs/>
          <w:color w:val="0000FF"/>
        </w:rPr>
        <w:t>scenarios, that the region result d</w:t>
      </w:r>
      <w:r w:rsidR="00474BC3">
        <w:rPr>
          <w:rFonts w:cstheme="minorHAnsi"/>
          <w:bCs/>
          <w:color w:val="0000FF"/>
        </w:rPr>
        <w:t>oes</w:t>
      </w:r>
      <w:r w:rsidR="009C6F90">
        <w:rPr>
          <w:rFonts w:cstheme="minorHAnsi"/>
          <w:bCs/>
          <w:color w:val="0000FF"/>
        </w:rPr>
        <w:t xml:space="preserve"> not match the source (scenario 2</w:t>
      </w:r>
      <w:r w:rsidR="00236EDF">
        <w:rPr>
          <w:rFonts w:cstheme="minorHAnsi"/>
          <w:bCs/>
          <w:color w:val="0000FF"/>
        </w:rPr>
        <w:t>, as error</w:t>
      </w:r>
      <w:r w:rsidR="009C6F90">
        <w:rPr>
          <w:rFonts w:cstheme="minorHAnsi"/>
          <w:bCs/>
          <w:color w:val="0000FF"/>
        </w:rPr>
        <w:t>) and where the region result matche</w:t>
      </w:r>
      <w:r w:rsidR="00474BC3">
        <w:rPr>
          <w:rFonts w:cstheme="minorHAnsi"/>
          <w:bCs/>
          <w:color w:val="0000FF"/>
        </w:rPr>
        <w:t>s</w:t>
      </w:r>
      <w:r w:rsidR="009C6F90">
        <w:rPr>
          <w:rFonts w:cstheme="minorHAnsi"/>
          <w:bCs/>
          <w:color w:val="0000FF"/>
        </w:rPr>
        <w:t xml:space="preserve"> the source (scenario 3</w:t>
      </w:r>
      <w:r w:rsidR="00236EDF">
        <w:rPr>
          <w:rFonts w:cstheme="minorHAnsi"/>
          <w:bCs/>
          <w:color w:val="0000FF"/>
        </w:rPr>
        <w:t>, as match</w:t>
      </w:r>
      <w:r w:rsidR="009C6F90">
        <w:rPr>
          <w:rFonts w:cstheme="minorHAnsi"/>
          <w:bCs/>
          <w:color w:val="0000FF"/>
        </w:rPr>
        <w:t>).</w:t>
      </w:r>
    </w:p>
    <w:p w14:paraId="53BCCBFC" w14:textId="77777777" w:rsidR="00493ADF" w:rsidRPr="00A93CC2" w:rsidRDefault="00493ADF" w:rsidP="00A93CC2">
      <w:pPr>
        <w:autoSpaceDE w:val="0"/>
        <w:autoSpaceDN w:val="0"/>
        <w:adjustRightInd w:val="0"/>
        <w:spacing w:after="0" w:line="240" w:lineRule="auto"/>
        <w:rPr>
          <w:rFonts w:cstheme="minorHAnsi"/>
          <w:bCs/>
          <w:color w:val="0000FF"/>
        </w:rPr>
      </w:pPr>
    </w:p>
    <w:p w14:paraId="0CEA6FDF" w14:textId="482D338E" w:rsidR="00DA4934" w:rsidRPr="00306EB6" w:rsidRDefault="00DA4934" w:rsidP="00306EB6">
      <w:pPr>
        <w:pStyle w:val="ListParagraph"/>
        <w:numPr>
          <w:ilvl w:val="0"/>
          <w:numId w:val="27"/>
        </w:numPr>
        <w:autoSpaceDE w:val="0"/>
        <w:autoSpaceDN w:val="0"/>
        <w:adjustRightInd w:val="0"/>
        <w:spacing w:after="0" w:line="240" w:lineRule="auto"/>
        <w:rPr>
          <w:rFonts w:cstheme="minorHAnsi"/>
          <w:bCs/>
          <w:color w:val="0000FF"/>
        </w:rPr>
      </w:pPr>
      <w:r>
        <w:rPr>
          <w:rFonts w:cstheme="minorHAnsi"/>
          <w:bCs/>
          <w:color w:val="0000FF"/>
        </w:rPr>
        <w:t>For the denominator match,</w:t>
      </w:r>
      <w:r w:rsidR="00C55317">
        <w:rPr>
          <w:rFonts w:cstheme="minorHAnsi"/>
          <w:bCs/>
          <w:color w:val="0000FF"/>
        </w:rPr>
        <w:t xml:space="preserve"> the match proportion </w:t>
      </w:r>
      <w:r w:rsidR="00474BC3">
        <w:rPr>
          <w:rFonts w:cstheme="minorHAnsi"/>
          <w:bCs/>
          <w:color w:val="0000FF"/>
        </w:rPr>
        <w:t>i</w:t>
      </w:r>
      <w:r w:rsidR="00C55317">
        <w:rPr>
          <w:rFonts w:cstheme="minorHAnsi"/>
          <w:bCs/>
          <w:color w:val="0000FF"/>
        </w:rPr>
        <w:t>s .96 (68</w:t>
      </w:r>
      <w:r>
        <w:rPr>
          <w:rFonts w:cstheme="minorHAnsi"/>
          <w:bCs/>
          <w:color w:val="0000FF"/>
        </w:rPr>
        <w:t>/71). This is the proportion of sample records where the initial regional submission match</w:t>
      </w:r>
      <w:r w:rsidR="00A85AF0">
        <w:rPr>
          <w:rFonts w:cstheme="minorHAnsi"/>
          <w:bCs/>
          <w:color w:val="0000FF"/>
        </w:rPr>
        <w:t>es</w:t>
      </w:r>
      <w:r>
        <w:rPr>
          <w:rFonts w:cstheme="minorHAnsi"/>
          <w:bCs/>
          <w:color w:val="0000FF"/>
        </w:rPr>
        <w:t xml:space="preserve"> the result from re-examination. The 95% lower and upper confidence </w:t>
      </w:r>
      <w:r w:rsidR="00C55317">
        <w:rPr>
          <w:rFonts w:cstheme="minorHAnsi"/>
          <w:bCs/>
          <w:color w:val="0000FF"/>
        </w:rPr>
        <w:t>limits</w:t>
      </w:r>
      <w:r>
        <w:rPr>
          <w:rFonts w:cstheme="minorHAnsi"/>
          <w:bCs/>
          <w:color w:val="0000FF"/>
        </w:rPr>
        <w:t xml:space="preserve"> </w:t>
      </w:r>
      <w:r w:rsidR="00474BC3">
        <w:rPr>
          <w:rFonts w:cstheme="minorHAnsi"/>
          <w:bCs/>
          <w:color w:val="0000FF"/>
        </w:rPr>
        <w:t>are</w:t>
      </w:r>
      <w:r>
        <w:rPr>
          <w:rFonts w:cstheme="minorHAnsi"/>
          <w:bCs/>
          <w:color w:val="0000FF"/>
        </w:rPr>
        <w:t xml:space="preserve"> .</w:t>
      </w:r>
      <w:r w:rsidR="00C55317">
        <w:rPr>
          <w:rFonts w:cstheme="minorHAnsi"/>
          <w:bCs/>
          <w:color w:val="0000FF"/>
        </w:rPr>
        <w:t>87</w:t>
      </w:r>
      <w:r>
        <w:rPr>
          <w:rFonts w:cstheme="minorHAnsi"/>
          <w:bCs/>
          <w:color w:val="0000FF"/>
        </w:rPr>
        <w:t xml:space="preserve"> and .</w:t>
      </w:r>
      <w:r w:rsidR="00C55317">
        <w:rPr>
          <w:rFonts w:cstheme="minorHAnsi"/>
          <w:bCs/>
          <w:color w:val="0000FF"/>
        </w:rPr>
        <w:t>99, respectively</w:t>
      </w:r>
      <w:r>
        <w:rPr>
          <w:rFonts w:cstheme="minorHAnsi"/>
          <w:bCs/>
          <w:color w:val="0000FF"/>
        </w:rPr>
        <w:t>.</w:t>
      </w:r>
      <w:r w:rsidRPr="00E06848">
        <w:rPr>
          <w:rFonts w:cstheme="minorHAnsi"/>
          <w:bCs/>
          <w:color w:val="0000FF"/>
        </w:rPr>
        <w:t xml:space="preserve"> </w:t>
      </w:r>
      <w:r w:rsidR="009537C6">
        <w:rPr>
          <w:rFonts w:cstheme="minorHAnsi"/>
          <w:bCs/>
          <w:color w:val="0000FF"/>
        </w:rPr>
        <w:t xml:space="preserve">Under the alternative scenarios, the denominator accuracy of the region </w:t>
      </w:r>
      <w:r w:rsidR="00474BC3">
        <w:rPr>
          <w:rFonts w:cstheme="minorHAnsi"/>
          <w:bCs/>
          <w:color w:val="0000FF"/>
        </w:rPr>
        <w:t>i</w:t>
      </w:r>
      <w:r w:rsidR="009537C6">
        <w:rPr>
          <w:rFonts w:cstheme="minorHAnsi"/>
          <w:bCs/>
          <w:color w:val="0000FF"/>
        </w:rPr>
        <w:t xml:space="preserve">s .93 (68/73) with CI .84-.98, if the missing validation data </w:t>
      </w:r>
      <w:r w:rsidR="00474BC3">
        <w:rPr>
          <w:rFonts w:cstheme="minorHAnsi"/>
          <w:bCs/>
          <w:color w:val="0000FF"/>
        </w:rPr>
        <w:t>a</w:t>
      </w:r>
      <w:r w:rsidR="009537C6">
        <w:rPr>
          <w:rFonts w:cstheme="minorHAnsi"/>
          <w:bCs/>
          <w:color w:val="0000FF"/>
        </w:rPr>
        <w:t xml:space="preserve">re considered errors and .96 (70/73) with CI .88-.99 if the two missing results </w:t>
      </w:r>
      <w:r w:rsidR="00474BC3">
        <w:rPr>
          <w:rFonts w:cstheme="minorHAnsi"/>
          <w:bCs/>
          <w:color w:val="0000FF"/>
        </w:rPr>
        <w:t>a</w:t>
      </w:r>
      <w:r w:rsidR="00DD3276">
        <w:rPr>
          <w:rFonts w:cstheme="minorHAnsi"/>
          <w:bCs/>
          <w:color w:val="0000FF"/>
        </w:rPr>
        <w:t>re considered matches.</w:t>
      </w:r>
    </w:p>
    <w:p w14:paraId="18D27204" w14:textId="77777777" w:rsidR="00DA4934" w:rsidRPr="00306EB6" w:rsidRDefault="00DA4934" w:rsidP="00DA4934">
      <w:pPr>
        <w:pStyle w:val="ListParagraph"/>
        <w:numPr>
          <w:ilvl w:val="0"/>
          <w:numId w:val="27"/>
        </w:numPr>
        <w:autoSpaceDE w:val="0"/>
        <w:autoSpaceDN w:val="0"/>
        <w:adjustRightInd w:val="0"/>
        <w:spacing w:after="0" w:line="240" w:lineRule="auto"/>
        <w:rPr>
          <w:rFonts w:cstheme="minorHAnsi"/>
          <w:bCs/>
          <w:color w:val="0000FF"/>
        </w:rPr>
      </w:pPr>
      <w:r>
        <w:rPr>
          <w:rFonts w:cstheme="minorHAnsi"/>
          <w:bCs/>
          <w:color w:val="0000FF"/>
        </w:rPr>
        <w:t xml:space="preserve">For the numerator match, the match proportion </w:t>
      </w:r>
      <w:r w:rsidR="00474BC3">
        <w:rPr>
          <w:rFonts w:cstheme="minorHAnsi"/>
          <w:bCs/>
          <w:color w:val="0000FF"/>
        </w:rPr>
        <w:t>i</w:t>
      </w:r>
      <w:r>
        <w:rPr>
          <w:rFonts w:cstheme="minorHAnsi"/>
          <w:bCs/>
          <w:color w:val="0000FF"/>
        </w:rPr>
        <w:t>s .87 (</w:t>
      </w:r>
      <w:r w:rsidR="007E0DBF">
        <w:rPr>
          <w:rFonts w:cstheme="minorHAnsi"/>
          <w:bCs/>
          <w:color w:val="0000FF"/>
        </w:rPr>
        <w:t>5</w:t>
      </w:r>
      <w:r>
        <w:rPr>
          <w:rFonts w:cstheme="minorHAnsi"/>
          <w:bCs/>
          <w:color w:val="0000FF"/>
        </w:rPr>
        <w:t xml:space="preserve">9/68). The three denominator record errors </w:t>
      </w:r>
      <w:r w:rsidR="00474BC3">
        <w:rPr>
          <w:rFonts w:cstheme="minorHAnsi"/>
          <w:bCs/>
          <w:color w:val="0000FF"/>
        </w:rPr>
        <w:t>a</w:t>
      </w:r>
      <w:r>
        <w:rPr>
          <w:rFonts w:cstheme="minorHAnsi"/>
          <w:bCs/>
          <w:color w:val="0000FF"/>
        </w:rPr>
        <w:t xml:space="preserve">re excluded. The 95% lower and upper confidence limits </w:t>
      </w:r>
      <w:r w:rsidR="00474BC3">
        <w:rPr>
          <w:rFonts w:cstheme="minorHAnsi"/>
          <w:bCs/>
          <w:color w:val="0000FF"/>
        </w:rPr>
        <w:t>ar</w:t>
      </w:r>
      <w:r>
        <w:rPr>
          <w:rFonts w:cstheme="minorHAnsi"/>
          <w:bCs/>
          <w:color w:val="0000FF"/>
        </w:rPr>
        <w:t>e .7</w:t>
      </w:r>
      <w:r w:rsidR="007E0DBF">
        <w:rPr>
          <w:rFonts w:cstheme="minorHAnsi"/>
          <w:bCs/>
          <w:color w:val="0000FF"/>
        </w:rPr>
        <w:t>6</w:t>
      </w:r>
      <w:r>
        <w:rPr>
          <w:rFonts w:cstheme="minorHAnsi"/>
          <w:bCs/>
          <w:color w:val="0000FF"/>
        </w:rPr>
        <w:t xml:space="preserve"> and .93</w:t>
      </w:r>
      <w:r w:rsidR="007E0DBF">
        <w:rPr>
          <w:rFonts w:cstheme="minorHAnsi"/>
          <w:bCs/>
          <w:color w:val="0000FF"/>
        </w:rPr>
        <w:t>.</w:t>
      </w:r>
      <w:r w:rsidR="00DD3276">
        <w:rPr>
          <w:rFonts w:cstheme="minorHAnsi"/>
          <w:bCs/>
          <w:color w:val="0000FF"/>
        </w:rPr>
        <w:t xml:space="preserve"> Assuming that the two cases without source data d</w:t>
      </w:r>
      <w:r w:rsidR="00474BC3">
        <w:rPr>
          <w:rFonts w:cstheme="minorHAnsi"/>
          <w:bCs/>
          <w:color w:val="0000FF"/>
        </w:rPr>
        <w:t>o</w:t>
      </w:r>
      <w:r w:rsidR="00DD3276">
        <w:rPr>
          <w:rFonts w:cstheme="minorHAnsi"/>
          <w:bCs/>
          <w:color w:val="0000FF"/>
        </w:rPr>
        <w:t xml:space="preserve"> not match the source, the </w:t>
      </w:r>
      <w:r w:rsidR="00C94237">
        <w:rPr>
          <w:rFonts w:cstheme="minorHAnsi"/>
          <w:bCs/>
          <w:color w:val="0000FF"/>
        </w:rPr>
        <w:t>region accuracy</w:t>
      </w:r>
      <w:r w:rsidR="00DD3276">
        <w:rPr>
          <w:rFonts w:cstheme="minorHAnsi"/>
          <w:bCs/>
          <w:color w:val="0000FF"/>
        </w:rPr>
        <w:t xml:space="preserve"> </w:t>
      </w:r>
      <w:r w:rsidR="00474BC3">
        <w:rPr>
          <w:rFonts w:cstheme="minorHAnsi"/>
          <w:bCs/>
          <w:color w:val="0000FF"/>
        </w:rPr>
        <w:t>i</w:t>
      </w:r>
      <w:r w:rsidR="00DD3276">
        <w:rPr>
          <w:rFonts w:cstheme="minorHAnsi"/>
          <w:bCs/>
          <w:color w:val="0000FF"/>
        </w:rPr>
        <w:t>s .8</w:t>
      </w:r>
      <w:r w:rsidR="00C94237">
        <w:rPr>
          <w:rFonts w:cstheme="minorHAnsi"/>
          <w:bCs/>
          <w:color w:val="0000FF"/>
        </w:rPr>
        <w:t>4</w:t>
      </w:r>
      <w:r w:rsidR="00DD3276">
        <w:rPr>
          <w:rFonts w:cstheme="minorHAnsi"/>
          <w:bCs/>
          <w:color w:val="0000FF"/>
        </w:rPr>
        <w:t xml:space="preserve"> (59/70) with CI .73-.92.</w:t>
      </w:r>
      <w:r w:rsidR="00C94237">
        <w:rPr>
          <w:rFonts w:cstheme="minorHAnsi"/>
          <w:bCs/>
          <w:color w:val="0000FF"/>
        </w:rPr>
        <w:t xml:space="preserve"> Assuming that the regional data match the source, then the accuracy </w:t>
      </w:r>
      <w:r w:rsidR="00474BC3">
        <w:rPr>
          <w:rFonts w:cstheme="minorHAnsi"/>
          <w:bCs/>
          <w:color w:val="0000FF"/>
        </w:rPr>
        <w:t>i</w:t>
      </w:r>
      <w:r w:rsidR="00C94237">
        <w:rPr>
          <w:rFonts w:cstheme="minorHAnsi"/>
          <w:bCs/>
          <w:color w:val="0000FF"/>
        </w:rPr>
        <w:t>s .87 (61/70) with CI .76-.94.</w:t>
      </w:r>
    </w:p>
    <w:p w14:paraId="5C6CB92D" w14:textId="77777777" w:rsidR="007E0DBF" w:rsidRPr="00306EB6" w:rsidRDefault="00F649D2" w:rsidP="00306EB6">
      <w:pPr>
        <w:pStyle w:val="ListParagraph"/>
        <w:numPr>
          <w:ilvl w:val="0"/>
          <w:numId w:val="27"/>
        </w:numPr>
        <w:autoSpaceDE w:val="0"/>
        <w:autoSpaceDN w:val="0"/>
        <w:adjustRightInd w:val="0"/>
        <w:spacing w:after="0" w:line="240" w:lineRule="auto"/>
        <w:rPr>
          <w:rFonts w:cstheme="minorHAnsi"/>
          <w:bCs/>
          <w:color w:val="0000FF"/>
        </w:rPr>
      </w:pPr>
      <w:r>
        <w:rPr>
          <w:rFonts w:cstheme="minorHAnsi"/>
          <w:bCs/>
          <w:color w:val="0000FF"/>
        </w:rPr>
        <w:t>For the total element match</w:t>
      </w:r>
      <w:r w:rsidR="002A6AE7">
        <w:rPr>
          <w:rFonts w:cstheme="minorHAnsi"/>
          <w:bCs/>
          <w:color w:val="0000FF"/>
        </w:rPr>
        <w:t xml:space="preserve">, the match proportion </w:t>
      </w:r>
      <w:r w:rsidR="00474BC3">
        <w:rPr>
          <w:rFonts w:cstheme="minorHAnsi"/>
          <w:bCs/>
          <w:color w:val="0000FF"/>
        </w:rPr>
        <w:t>i</w:t>
      </w:r>
      <w:r w:rsidR="002A6AE7">
        <w:rPr>
          <w:rFonts w:cstheme="minorHAnsi"/>
          <w:bCs/>
          <w:color w:val="0000FF"/>
        </w:rPr>
        <w:t xml:space="preserve">s .83 (59/71). The 95% lower and upper confidence limits </w:t>
      </w:r>
      <w:r w:rsidR="00474BC3">
        <w:rPr>
          <w:rFonts w:cstheme="minorHAnsi"/>
          <w:bCs/>
          <w:color w:val="0000FF"/>
        </w:rPr>
        <w:t>a</w:t>
      </w:r>
      <w:r w:rsidR="002A6AE7">
        <w:rPr>
          <w:rFonts w:cstheme="minorHAnsi"/>
          <w:bCs/>
          <w:color w:val="0000FF"/>
        </w:rPr>
        <w:t>re .7</w:t>
      </w:r>
      <w:r w:rsidR="007E0DBF">
        <w:rPr>
          <w:rFonts w:cstheme="minorHAnsi"/>
          <w:bCs/>
          <w:color w:val="0000FF"/>
        </w:rPr>
        <w:t>1</w:t>
      </w:r>
      <w:r w:rsidR="002A6AE7">
        <w:rPr>
          <w:rFonts w:cstheme="minorHAnsi"/>
          <w:bCs/>
          <w:color w:val="0000FF"/>
        </w:rPr>
        <w:t xml:space="preserve"> and .91. </w:t>
      </w:r>
      <w:r w:rsidR="00C94237">
        <w:rPr>
          <w:rFonts w:cstheme="minorHAnsi"/>
          <w:bCs/>
          <w:color w:val="0000FF"/>
        </w:rPr>
        <w:t>Assuming that the region results d</w:t>
      </w:r>
      <w:r w:rsidR="00474BC3">
        <w:rPr>
          <w:rFonts w:cstheme="minorHAnsi"/>
          <w:bCs/>
          <w:color w:val="0000FF"/>
        </w:rPr>
        <w:t>oes</w:t>
      </w:r>
      <w:r w:rsidR="00C94237">
        <w:rPr>
          <w:rFonts w:cstheme="minorHAnsi"/>
          <w:bCs/>
          <w:color w:val="0000FF"/>
        </w:rPr>
        <w:t xml:space="preserve"> not match the missing source results, the match proportion </w:t>
      </w:r>
      <w:r w:rsidR="00474BC3">
        <w:rPr>
          <w:rFonts w:cstheme="minorHAnsi"/>
          <w:bCs/>
          <w:color w:val="0000FF"/>
        </w:rPr>
        <w:t>i</w:t>
      </w:r>
      <w:r w:rsidR="00C94237">
        <w:rPr>
          <w:rFonts w:cstheme="minorHAnsi"/>
          <w:bCs/>
          <w:color w:val="0000FF"/>
        </w:rPr>
        <w:t>s .81 (59/73) and CI .70-.89. Assuming that the regional data matche</w:t>
      </w:r>
      <w:r w:rsidR="00474BC3">
        <w:rPr>
          <w:rFonts w:cstheme="minorHAnsi"/>
          <w:bCs/>
          <w:color w:val="0000FF"/>
        </w:rPr>
        <w:t>s</w:t>
      </w:r>
      <w:r w:rsidR="00C94237">
        <w:rPr>
          <w:rFonts w:cstheme="minorHAnsi"/>
          <w:bCs/>
          <w:color w:val="0000FF"/>
        </w:rPr>
        <w:t xml:space="preserve"> the source, then the accuracy </w:t>
      </w:r>
      <w:r w:rsidR="00474BC3">
        <w:rPr>
          <w:rFonts w:cstheme="minorHAnsi"/>
          <w:bCs/>
          <w:color w:val="0000FF"/>
        </w:rPr>
        <w:t>i</w:t>
      </w:r>
      <w:r w:rsidR="00C94237">
        <w:rPr>
          <w:rFonts w:cstheme="minorHAnsi"/>
          <w:bCs/>
          <w:color w:val="0000FF"/>
        </w:rPr>
        <w:t>s .84 (61/73) with CI .73-.91.</w:t>
      </w:r>
    </w:p>
    <w:p w14:paraId="5208D641" w14:textId="77777777" w:rsidR="00A85DBD" w:rsidRPr="00306EB6" w:rsidRDefault="003F0540" w:rsidP="00306EB6">
      <w:pPr>
        <w:pStyle w:val="ListParagraph"/>
        <w:numPr>
          <w:ilvl w:val="0"/>
          <w:numId w:val="27"/>
        </w:numPr>
        <w:autoSpaceDE w:val="0"/>
        <w:autoSpaceDN w:val="0"/>
        <w:adjustRightInd w:val="0"/>
        <w:spacing w:after="0" w:line="240" w:lineRule="auto"/>
        <w:rPr>
          <w:rFonts w:cstheme="minorHAnsi"/>
          <w:bCs/>
          <w:color w:val="0000FF"/>
        </w:rPr>
      </w:pPr>
      <w:r>
        <w:rPr>
          <w:rFonts w:cstheme="minorHAnsi"/>
          <w:bCs/>
          <w:color w:val="0000FF"/>
        </w:rPr>
        <w:lastRenderedPageBreak/>
        <w:t xml:space="preserve">Collapsing Table 1 using the optima ESRD start </w:t>
      </w:r>
      <w:r w:rsidR="00DE5CE7">
        <w:rPr>
          <w:rFonts w:cstheme="minorHAnsi"/>
          <w:bCs/>
          <w:color w:val="0000FF"/>
        </w:rPr>
        <w:t xml:space="preserve">definition </w:t>
      </w:r>
      <w:r>
        <w:rPr>
          <w:rFonts w:cstheme="minorHAnsi"/>
          <w:bCs/>
          <w:color w:val="0000FF"/>
        </w:rPr>
        <w:t>yield</w:t>
      </w:r>
      <w:r w:rsidR="00474BC3">
        <w:rPr>
          <w:rFonts w:cstheme="minorHAnsi"/>
          <w:bCs/>
          <w:color w:val="0000FF"/>
        </w:rPr>
        <w:t>s</w:t>
      </w:r>
      <w:r>
        <w:rPr>
          <w:rFonts w:cstheme="minorHAnsi"/>
          <w:bCs/>
          <w:color w:val="0000FF"/>
        </w:rPr>
        <w:t xml:space="preserve"> the distribution </w:t>
      </w:r>
      <w:r w:rsidR="00DE5CE7">
        <w:rPr>
          <w:rFonts w:cstheme="minorHAnsi"/>
          <w:bCs/>
          <w:color w:val="0000FF"/>
        </w:rPr>
        <w:t>for the performance metric,</w:t>
      </w:r>
      <w:r>
        <w:rPr>
          <w:rFonts w:cstheme="minorHAnsi"/>
          <w:bCs/>
          <w:color w:val="0000FF"/>
        </w:rPr>
        <w:t xml:space="preserve"> Table 3</w:t>
      </w:r>
      <w:r w:rsidR="00DE5CE7">
        <w:rPr>
          <w:rFonts w:cstheme="minorHAnsi"/>
          <w:bCs/>
          <w:color w:val="0000FF"/>
        </w:rPr>
        <w:t>, a 2 x 2 table</w:t>
      </w:r>
      <w:r>
        <w:rPr>
          <w:rFonts w:cstheme="minorHAnsi"/>
          <w:bCs/>
          <w:color w:val="0000FF"/>
        </w:rPr>
        <w:t xml:space="preserve">. </w:t>
      </w:r>
      <w:r w:rsidR="00C94237">
        <w:rPr>
          <w:rFonts w:cstheme="minorHAnsi"/>
          <w:bCs/>
          <w:color w:val="0000FF"/>
        </w:rPr>
        <w:t>The region results are displayed in the rows and source in the columns.</w:t>
      </w:r>
      <w:r w:rsidR="00DE5CE7">
        <w:rPr>
          <w:rFonts w:cstheme="minorHAnsi"/>
          <w:bCs/>
          <w:color w:val="0000FF"/>
        </w:rPr>
        <w:t xml:space="preserve"> For example, among the total of 68 cases, the region</w:t>
      </w:r>
      <w:r w:rsidR="00474BC3">
        <w:rPr>
          <w:rFonts w:cstheme="minorHAnsi"/>
          <w:bCs/>
          <w:color w:val="0000FF"/>
        </w:rPr>
        <w:t>s</w:t>
      </w:r>
      <w:r w:rsidR="00DE5CE7">
        <w:rPr>
          <w:rFonts w:cstheme="minorHAnsi"/>
          <w:bCs/>
          <w:color w:val="0000FF"/>
        </w:rPr>
        <w:t xml:space="preserve"> list 35 of the cases as having an optimal ESRD start. Of these 35, 33 </w:t>
      </w:r>
      <w:r w:rsidR="00474BC3">
        <w:rPr>
          <w:rFonts w:cstheme="minorHAnsi"/>
          <w:bCs/>
          <w:color w:val="0000FF"/>
        </w:rPr>
        <w:t>a</w:t>
      </w:r>
      <w:r w:rsidR="009B36CF">
        <w:rPr>
          <w:rFonts w:cstheme="minorHAnsi"/>
          <w:bCs/>
          <w:color w:val="0000FF"/>
        </w:rPr>
        <w:t>re</w:t>
      </w:r>
      <w:r w:rsidR="00AE0355">
        <w:rPr>
          <w:rFonts w:cstheme="minorHAnsi"/>
          <w:bCs/>
          <w:color w:val="0000FF"/>
        </w:rPr>
        <w:t xml:space="preserve"> true</w:t>
      </w:r>
      <w:r w:rsidR="009B36CF">
        <w:rPr>
          <w:rFonts w:cstheme="minorHAnsi"/>
          <w:bCs/>
          <w:color w:val="0000FF"/>
        </w:rPr>
        <w:t xml:space="preserve"> optimal ESRD start cases</w:t>
      </w:r>
      <w:r w:rsidR="00AE0355">
        <w:rPr>
          <w:rFonts w:cstheme="minorHAnsi"/>
          <w:bCs/>
          <w:color w:val="0000FF"/>
        </w:rPr>
        <w:t xml:space="preserve"> </w:t>
      </w:r>
      <w:r w:rsidR="009B36CF">
        <w:rPr>
          <w:rFonts w:cstheme="minorHAnsi"/>
          <w:bCs/>
          <w:color w:val="0000FF"/>
        </w:rPr>
        <w:t>as reported by the source. The region result match</w:t>
      </w:r>
      <w:r w:rsidR="00474BC3">
        <w:rPr>
          <w:rFonts w:cstheme="minorHAnsi"/>
          <w:bCs/>
          <w:color w:val="0000FF"/>
        </w:rPr>
        <w:t>es</w:t>
      </w:r>
      <w:r w:rsidR="009B36CF">
        <w:rPr>
          <w:rFonts w:cstheme="minorHAnsi"/>
          <w:bCs/>
          <w:color w:val="0000FF"/>
        </w:rPr>
        <w:t xml:space="preserve"> the source in 59 cases, 33 where region and source </w:t>
      </w:r>
      <w:r w:rsidR="00474BC3">
        <w:rPr>
          <w:rFonts w:cstheme="minorHAnsi"/>
          <w:bCs/>
          <w:color w:val="0000FF"/>
        </w:rPr>
        <w:t>a</w:t>
      </w:r>
      <w:r w:rsidR="009B36CF">
        <w:rPr>
          <w:rFonts w:cstheme="minorHAnsi"/>
          <w:bCs/>
          <w:color w:val="0000FF"/>
        </w:rPr>
        <w:t xml:space="preserve">re both ‘Yes’ and 26 where region and source </w:t>
      </w:r>
      <w:r w:rsidR="00474BC3">
        <w:rPr>
          <w:rFonts w:cstheme="minorHAnsi"/>
          <w:bCs/>
          <w:color w:val="0000FF"/>
        </w:rPr>
        <w:t>a</w:t>
      </w:r>
      <w:r w:rsidR="009B36CF">
        <w:rPr>
          <w:rFonts w:cstheme="minorHAnsi"/>
          <w:bCs/>
          <w:color w:val="0000FF"/>
        </w:rPr>
        <w:t xml:space="preserve">re both ‘No’. Table 3 </w:t>
      </w:r>
      <w:r w:rsidR="00474BC3">
        <w:rPr>
          <w:rFonts w:cstheme="minorHAnsi"/>
          <w:bCs/>
          <w:color w:val="0000FF"/>
        </w:rPr>
        <w:t>i</w:t>
      </w:r>
      <w:r w:rsidR="009B36CF">
        <w:rPr>
          <w:rFonts w:cstheme="minorHAnsi"/>
          <w:bCs/>
          <w:color w:val="0000FF"/>
        </w:rPr>
        <w:t>s used to calculate the optimal ESRD starts test results, Table 4.</w:t>
      </w:r>
    </w:p>
    <w:p w14:paraId="38104C76" w14:textId="549CCECC" w:rsidR="000C6138" w:rsidRPr="00306EB6" w:rsidRDefault="000042D0" w:rsidP="00164D80">
      <w:pPr>
        <w:pStyle w:val="ListParagraph"/>
        <w:numPr>
          <w:ilvl w:val="0"/>
          <w:numId w:val="27"/>
        </w:numPr>
        <w:autoSpaceDE w:val="0"/>
        <w:autoSpaceDN w:val="0"/>
        <w:adjustRightInd w:val="0"/>
        <w:spacing w:after="0" w:line="240" w:lineRule="auto"/>
        <w:rPr>
          <w:rFonts w:cstheme="minorHAnsi"/>
          <w:bCs/>
          <w:color w:val="0000FF"/>
        </w:rPr>
      </w:pPr>
      <w:r>
        <w:rPr>
          <w:rFonts w:cstheme="minorHAnsi"/>
          <w:bCs/>
          <w:color w:val="0000FF"/>
        </w:rPr>
        <w:t xml:space="preserve">For </w:t>
      </w:r>
      <w:r w:rsidR="009B36CF">
        <w:rPr>
          <w:rFonts w:cstheme="minorHAnsi"/>
          <w:bCs/>
          <w:color w:val="0000FF"/>
        </w:rPr>
        <w:t xml:space="preserve">each scenario, </w:t>
      </w:r>
      <w:r>
        <w:rPr>
          <w:rFonts w:cstheme="minorHAnsi"/>
          <w:bCs/>
          <w:color w:val="0000FF"/>
        </w:rPr>
        <w:t xml:space="preserve">Table </w:t>
      </w:r>
      <w:r w:rsidR="003F0540">
        <w:rPr>
          <w:rFonts w:cstheme="minorHAnsi"/>
          <w:bCs/>
          <w:color w:val="0000FF"/>
        </w:rPr>
        <w:t>4</w:t>
      </w:r>
      <w:r w:rsidR="009B36CF">
        <w:rPr>
          <w:rFonts w:cstheme="minorHAnsi"/>
          <w:bCs/>
          <w:color w:val="0000FF"/>
        </w:rPr>
        <w:t xml:space="preserve"> lists the regional accuracy</w:t>
      </w:r>
      <w:r w:rsidR="00474BC3">
        <w:rPr>
          <w:rFonts w:cstheme="minorHAnsi"/>
          <w:bCs/>
          <w:color w:val="0000FF"/>
        </w:rPr>
        <w:t xml:space="preserve"> (</w:t>
      </w:r>
      <w:r w:rsidR="009B36CF">
        <w:rPr>
          <w:rFonts w:cstheme="minorHAnsi"/>
          <w:bCs/>
          <w:color w:val="0000FF"/>
        </w:rPr>
        <w:t>match proportion</w:t>
      </w:r>
      <w:r w:rsidR="00474BC3">
        <w:rPr>
          <w:rFonts w:cstheme="minorHAnsi"/>
          <w:bCs/>
          <w:color w:val="0000FF"/>
        </w:rPr>
        <w:t>)</w:t>
      </w:r>
      <w:r w:rsidR="009B36CF">
        <w:rPr>
          <w:rFonts w:cstheme="minorHAnsi"/>
          <w:bCs/>
          <w:color w:val="0000FF"/>
        </w:rPr>
        <w:t>, prevalence of a true (source) optimal ESRD start in the sample</w:t>
      </w:r>
      <w:r>
        <w:rPr>
          <w:rFonts w:cstheme="minorHAnsi"/>
          <w:bCs/>
          <w:color w:val="0000FF"/>
        </w:rPr>
        <w:t>,</w:t>
      </w:r>
      <w:r w:rsidR="00732F44">
        <w:rPr>
          <w:rFonts w:cstheme="minorHAnsi"/>
          <w:bCs/>
          <w:color w:val="0000FF"/>
        </w:rPr>
        <w:t xml:space="preserve"> </w:t>
      </w:r>
      <w:r w:rsidR="009B36CF">
        <w:rPr>
          <w:rFonts w:cstheme="minorHAnsi"/>
          <w:bCs/>
          <w:color w:val="0000FF"/>
        </w:rPr>
        <w:t xml:space="preserve">sensitivity and specificity of the regional data to correctly identify </w:t>
      </w:r>
      <w:r w:rsidR="00F94AA6">
        <w:rPr>
          <w:rFonts w:cstheme="minorHAnsi"/>
          <w:bCs/>
          <w:color w:val="0000FF"/>
        </w:rPr>
        <w:t xml:space="preserve">an optimal ESRD start among true optimal ESRD start cases and to correctly identify cases that </w:t>
      </w:r>
      <w:r w:rsidR="00474BC3">
        <w:rPr>
          <w:rFonts w:cstheme="minorHAnsi"/>
          <w:bCs/>
          <w:color w:val="0000FF"/>
        </w:rPr>
        <w:t>a</w:t>
      </w:r>
      <w:r w:rsidR="00F94AA6">
        <w:rPr>
          <w:rFonts w:cstheme="minorHAnsi"/>
          <w:bCs/>
          <w:color w:val="0000FF"/>
        </w:rPr>
        <w:t xml:space="preserve">re not an optimal ESRD start among such cases, </w:t>
      </w:r>
      <w:r w:rsidR="003D30E3">
        <w:rPr>
          <w:rFonts w:cstheme="minorHAnsi"/>
          <w:bCs/>
          <w:color w:val="0000FF"/>
        </w:rPr>
        <w:t xml:space="preserve">positive and negative likelihood ratios, </w:t>
      </w:r>
      <w:r w:rsidR="00F94AA6">
        <w:rPr>
          <w:rFonts w:cstheme="minorHAnsi"/>
          <w:bCs/>
          <w:color w:val="0000FF"/>
        </w:rPr>
        <w:t xml:space="preserve">and the positive and </w:t>
      </w:r>
      <w:r w:rsidR="003D30E3">
        <w:rPr>
          <w:rFonts w:cstheme="minorHAnsi"/>
          <w:bCs/>
          <w:color w:val="0000FF"/>
        </w:rPr>
        <w:t xml:space="preserve">negative </w:t>
      </w:r>
      <w:r w:rsidR="00F94AA6">
        <w:rPr>
          <w:rFonts w:cstheme="minorHAnsi"/>
          <w:bCs/>
          <w:color w:val="0000FF"/>
        </w:rPr>
        <w:t>predictive values. For the observed data, e</w:t>
      </w:r>
      <w:r w:rsidR="00A85DBD">
        <w:rPr>
          <w:rFonts w:cstheme="minorHAnsi"/>
          <w:bCs/>
          <w:color w:val="0000FF"/>
        </w:rPr>
        <w:t>xcluding</w:t>
      </w:r>
      <w:r w:rsidR="00732F44">
        <w:rPr>
          <w:rFonts w:cstheme="minorHAnsi"/>
          <w:bCs/>
          <w:color w:val="0000FF"/>
        </w:rPr>
        <w:t xml:space="preserve"> </w:t>
      </w:r>
      <w:r w:rsidR="00A85DBD">
        <w:rPr>
          <w:rFonts w:cstheme="minorHAnsi"/>
          <w:bCs/>
          <w:color w:val="0000FF"/>
        </w:rPr>
        <w:t xml:space="preserve">the missing data, the match proportion </w:t>
      </w:r>
      <w:r w:rsidR="00474BC3">
        <w:rPr>
          <w:rFonts w:cstheme="minorHAnsi"/>
          <w:bCs/>
          <w:color w:val="0000FF"/>
        </w:rPr>
        <w:t>i</w:t>
      </w:r>
      <w:r w:rsidR="00A85DBD">
        <w:rPr>
          <w:rFonts w:cstheme="minorHAnsi"/>
          <w:bCs/>
          <w:color w:val="0000FF"/>
        </w:rPr>
        <w:t xml:space="preserve">s .87 (59/68) with CI </w:t>
      </w:r>
      <w:r w:rsidR="00732F44">
        <w:rPr>
          <w:rFonts w:cstheme="minorHAnsi"/>
          <w:bCs/>
          <w:color w:val="0000FF"/>
        </w:rPr>
        <w:t xml:space="preserve">0.76-0.93, prevalence of a true (source) </w:t>
      </w:r>
      <w:r w:rsidR="00A85DBD">
        <w:rPr>
          <w:rFonts w:cstheme="minorHAnsi"/>
          <w:bCs/>
          <w:color w:val="0000FF"/>
        </w:rPr>
        <w:t xml:space="preserve">optimal ESRD start </w:t>
      </w:r>
      <w:r w:rsidR="00474BC3">
        <w:rPr>
          <w:rFonts w:cstheme="minorHAnsi"/>
          <w:bCs/>
          <w:color w:val="0000FF"/>
        </w:rPr>
        <w:t>i</w:t>
      </w:r>
      <w:r w:rsidR="006424E8">
        <w:rPr>
          <w:rFonts w:cstheme="minorHAnsi"/>
          <w:bCs/>
          <w:color w:val="0000FF"/>
        </w:rPr>
        <w:t>s</w:t>
      </w:r>
      <w:r>
        <w:rPr>
          <w:rFonts w:cstheme="minorHAnsi"/>
          <w:bCs/>
          <w:color w:val="0000FF"/>
        </w:rPr>
        <w:t xml:space="preserve"> .59 (40/68)</w:t>
      </w:r>
      <w:r w:rsidR="006424E8">
        <w:rPr>
          <w:rFonts w:cstheme="minorHAnsi"/>
          <w:bCs/>
          <w:color w:val="0000FF"/>
        </w:rPr>
        <w:t xml:space="preserve">. Sensitivity and specificity </w:t>
      </w:r>
      <w:r w:rsidR="00474BC3">
        <w:rPr>
          <w:rFonts w:cstheme="minorHAnsi"/>
          <w:bCs/>
          <w:color w:val="0000FF"/>
        </w:rPr>
        <w:t>a</w:t>
      </w:r>
      <w:r w:rsidR="006424E8">
        <w:rPr>
          <w:rFonts w:cstheme="minorHAnsi"/>
          <w:bCs/>
          <w:color w:val="0000FF"/>
        </w:rPr>
        <w:t xml:space="preserve">re .82 </w:t>
      </w:r>
      <w:r w:rsidR="00732F44">
        <w:rPr>
          <w:rFonts w:cstheme="minorHAnsi"/>
          <w:bCs/>
          <w:color w:val="0000FF"/>
        </w:rPr>
        <w:t xml:space="preserve">with CI (0.67, 0.92) </w:t>
      </w:r>
      <w:r w:rsidR="006424E8">
        <w:rPr>
          <w:rFonts w:cstheme="minorHAnsi"/>
          <w:bCs/>
          <w:color w:val="0000FF"/>
        </w:rPr>
        <w:t xml:space="preserve">and .93 </w:t>
      </w:r>
      <w:r w:rsidR="00732F44">
        <w:rPr>
          <w:rFonts w:cstheme="minorHAnsi"/>
          <w:bCs/>
          <w:color w:val="0000FF"/>
        </w:rPr>
        <w:t xml:space="preserve">with CI (0.75-0.99) </w:t>
      </w:r>
      <w:r w:rsidR="006424E8">
        <w:rPr>
          <w:rFonts w:cstheme="minorHAnsi"/>
          <w:bCs/>
          <w:color w:val="0000FF"/>
        </w:rPr>
        <w:t xml:space="preserve">respectively. Positive and negative predictive values </w:t>
      </w:r>
      <w:r w:rsidR="00474BC3">
        <w:rPr>
          <w:rFonts w:cstheme="minorHAnsi"/>
          <w:bCs/>
          <w:color w:val="0000FF"/>
        </w:rPr>
        <w:t>a</w:t>
      </w:r>
      <w:r w:rsidR="006424E8">
        <w:rPr>
          <w:rFonts w:cstheme="minorHAnsi"/>
          <w:bCs/>
          <w:color w:val="0000FF"/>
        </w:rPr>
        <w:t xml:space="preserve">re .94 </w:t>
      </w:r>
      <w:r w:rsidR="00732F44">
        <w:rPr>
          <w:rFonts w:cstheme="minorHAnsi"/>
          <w:bCs/>
          <w:color w:val="0000FF"/>
        </w:rPr>
        <w:t xml:space="preserve">with CI (0.80, 0.99) </w:t>
      </w:r>
      <w:r w:rsidR="006424E8">
        <w:rPr>
          <w:rFonts w:cstheme="minorHAnsi"/>
          <w:bCs/>
          <w:color w:val="0000FF"/>
        </w:rPr>
        <w:t>and .79</w:t>
      </w:r>
      <w:r w:rsidR="00732F44">
        <w:rPr>
          <w:rFonts w:cstheme="minorHAnsi"/>
          <w:bCs/>
          <w:color w:val="0000FF"/>
        </w:rPr>
        <w:t xml:space="preserve"> with CI</w:t>
      </w:r>
      <w:r w:rsidR="00F94AA6">
        <w:rPr>
          <w:rFonts w:cstheme="minorHAnsi"/>
          <w:bCs/>
          <w:color w:val="0000FF"/>
        </w:rPr>
        <w:t xml:space="preserve"> </w:t>
      </w:r>
      <w:r w:rsidR="00732F44">
        <w:rPr>
          <w:rFonts w:cstheme="minorHAnsi"/>
          <w:bCs/>
          <w:color w:val="0000FF"/>
        </w:rPr>
        <w:t>(0.61, 0.90)</w:t>
      </w:r>
      <w:r w:rsidR="008C1C34">
        <w:rPr>
          <w:rFonts w:cstheme="minorHAnsi"/>
          <w:bCs/>
          <w:color w:val="0000FF"/>
        </w:rPr>
        <w:t>.</w:t>
      </w:r>
      <w:r w:rsidR="00F94AA6">
        <w:rPr>
          <w:rFonts w:cstheme="minorHAnsi"/>
          <w:bCs/>
          <w:color w:val="0000FF"/>
        </w:rPr>
        <w:t xml:space="preserve"> </w:t>
      </w:r>
    </w:p>
    <w:p w14:paraId="64522454" w14:textId="77777777" w:rsidR="00F94AA6" w:rsidRDefault="00AE0355" w:rsidP="00164D80">
      <w:pPr>
        <w:pStyle w:val="ListParagraph"/>
        <w:numPr>
          <w:ilvl w:val="0"/>
          <w:numId w:val="27"/>
        </w:numPr>
        <w:spacing w:after="0" w:line="240" w:lineRule="auto"/>
        <w:rPr>
          <w:rFonts w:cstheme="minorHAnsi"/>
          <w:bCs/>
          <w:color w:val="0000FF"/>
        </w:rPr>
      </w:pPr>
      <w:r>
        <w:rPr>
          <w:rFonts w:cstheme="minorHAnsi"/>
          <w:bCs/>
          <w:color w:val="0000FF"/>
        </w:rPr>
        <w:t>Results for the missing data scenarios are discussed in section 2b7 Missing Data Analysis and Minimizing Bias.</w:t>
      </w:r>
    </w:p>
    <w:p w14:paraId="3E48A613" w14:textId="77777777" w:rsidR="00306EB6" w:rsidRDefault="00306EB6" w:rsidP="00306EB6">
      <w:pPr>
        <w:rPr>
          <w:rFonts w:cstheme="minorHAnsi"/>
          <w:bCs/>
          <w:color w:val="0000FF"/>
        </w:rPr>
      </w:pPr>
    </w:p>
    <w:tbl>
      <w:tblPr>
        <w:tblW w:w="9165" w:type="dxa"/>
        <w:tblInd w:w="93" w:type="dxa"/>
        <w:tblLook w:val="04A0" w:firstRow="1" w:lastRow="0" w:firstColumn="1" w:lastColumn="0" w:noHBand="0" w:noVBand="1"/>
      </w:tblPr>
      <w:tblGrid>
        <w:gridCol w:w="1168"/>
        <w:gridCol w:w="934"/>
        <w:gridCol w:w="998"/>
        <w:gridCol w:w="1137"/>
        <w:gridCol w:w="1168"/>
        <w:gridCol w:w="940"/>
        <w:gridCol w:w="940"/>
        <w:gridCol w:w="940"/>
        <w:gridCol w:w="940"/>
      </w:tblGrid>
      <w:tr w:rsidR="000E49F6" w:rsidRPr="000E49F6" w14:paraId="0E638E0B" w14:textId="77777777" w:rsidTr="00966ABF">
        <w:trPr>
          <w:trHeight w:val="225"/>
        </w:trPr>
        <w:tc>
          <w:tcPr>
            <w:tcW w:w="9165" w:type="dxa"/>
            <w:gridSpan w:val="9"/>
            <w:tcBorders>
              <w:bottom w:val="single" w:sz="4" w:space="0" w:color="auto"/>
            </w:tcBorders>
            <w:shd w:val="clear" w:color="auto" w:fill="auto"/>
            <w:noWrap/>
            <w:vAlign w:val="bottom"/>
            <w:hideMark/>
          </w:tcPr>
          <w:p w14:paraId="5C24E49F" w14:textId="77777777" w:rsidR="00F019D5" w:rsidRPr="00164D80" w:rsidRDefault="00F019D5" w:rsidP="00F019D5">
            <w:pPr>
              <w:spacing w:after="0" w:line="240" w:lineRule="auto"/>
              <w:rPr>
                <w:rFonts w:ascii="Calibri" w:eastAsia="Times New Roman" w:hAnsi="Calibri" w:cs="Times New Roman"/>
                <w:color w:val="0000FF"/>
              </w:rPr>
            </w:pPr>
            <w:r w:rsidRPr="00164D80">
              <w:rPr>
                <w:rFonts w:ascii="Calibri" w:eastAsia="Times New Roman" w:hAnsi="Calibri" w:cs="Times New Roman"/>
                <w:color w:val="0000FF"/>
              </w:rPr>
              <w:t>Table 1. Distribution of treatment counts for region and source.</w:t>
            </w:r>
          </w:p>
        </w:tc>
      </w:tr>
      <w:tr w:rsidR="000E49F6" w:rsidRPr="000E49F6" w14:paraId="494E69ED" w14:textId="77777777" w:rsidTr="00966ABF">
        <w:trPr>
          <w:trHeight w:val="240"/>
        </w:trPr>
        <w:tc>
          <w:tcPr>
            <w:tcW w:w="1168" w:type="dxa"/>
            <w:tcBorders>
              <w:top w:val="single" w:sz="4" w:space="0" w:color="auto"/>
            </w:tcBorders>
            <w:shd w:val="clear" w:color="auto" w:fill="auto"/>
            <w:noWrap/>
            <w:vAlign w:val="bottom"/>
            <w:hideMark/>
          </w:tcPr>
          <w:p w14:paraId="1C4CED27" w14:textId="77777777" w:rsidR="00F019D5" w:rsidRPr="000E49F6" w:rsidRDefault="00F019D5" w:rsidP="00F019D5">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5177" w:type="dxa"/>
            <w:gridSpan w:val="5"/>
            <w:tcBorders>
              <w:top w:val="single" w:sz="4" w:space="0" w:color="auto"/>
              <w:bottom w:val="single" w:sz="4" w:space="0" w:color="auto"/>
            </w:tcBorders>
            <w:shd w:val="clear" w:color="auto" w:fill="auto"/>
            <w:noWrap/>
            <w:vAlign w:val="bottom"/>
            <w:hideMark/>
          </w:tcPr>
          <w:p w14:paraId="4E32AAA3"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Source (Dialysis Unit/Transplant Center)</w:t>
            </w:r>
          </w:p>
        </w:tc>
        <w:tc>
          <w:tcPr>
            <w:tcW w:w="940" w:type="dxa"/>
            <w:vMerge w:val="restart"/>
            <w:tcBorders>
              <w:top w:val="single" w:sz="4" w:space="0" w:color="auto"/>
            </w:tcBorders>
            <w:shd w:val="clear" w:color="auto" w:fill="auto"/>
            <w:vAlign w:val="bottom"/>
            <w:hideMark/>
          </w:tcPr>
          <w:p w14:paraId="08C91545"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Not first dialysis</w:t>
            </w:r>
          </w:p>
        </w:tc>
        <w:tc>
          <w:tcPr>
            <w:tcW w:w="940" w:type="dxa"/>
            <w:vMerge w:val="restart"/>
            <w:tcBorders>
              <w:top w:val="single" w:sz="4" w:space="0" w:color="auto"/>
            </w:tcBorders>
            <w:shd w:val="clear" w:color="auto" w:fill="auto"/>
            <w:vAlign w:val="bottom"/>
            <w:hideMark/>
          </w:tcPr>
          <w:p w14:paraId="2541BAAE"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No source result</w:t>
            </w:r>
          </w:p>
        </w:tc>
        <w:tc>
          <w:tcPr>
            <w:tcW w:w="940" w:type="dxa"/>
            <w:vMerge w:val="restart"/>
            <w:tcBorders>
              <w:top w:val="single" w:sz="4" w:space="0" w:color="auto"/>
            </w:tcBorders>
            <w:shd w:val="clear" w:color="auto" w:fill="auto"/>
            <w:vAlign w:val="bottom"/>
            <w:hideMark/>
          </w:tcPr>
          <w:p w14:paraId="65A36B0B"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Total</w:t>
            </w:r>
          </w:p>
        </w:tc>
      </w:tr>
      <w:tr w:rsidR="000E49F6" w:rsidRPr="000E49F6" w14:paraId="361F819D" w14:textId="77777777" w:rsidTr="00966ABF">
        <w:trPr>
          <w:trHeight w:val="240"/>
        </w:trPr>
        <w:tc>
          <w:tcPr>
            <w:tcW w:w="1168" w:type="dxa"/>
            <w:tcBorders>
              <w:bottom w:val="single" w:sz="4" w:space="0" w:color="auto"/>
            </w:tcBorders>
            <w:shd w:val="clear" w:color="auto" w:fill="auto"/>
            <w:noWrap/>
            <w:vAlign w:val="bottom"/>
            <w:hideMark/>
          </w:tcPr>
          <w:p w14:paraId="60427646" w14:textId="77777777" w:rsidR="00F019D5" w:rsidRPr="000E49F6" w:rsidRDefault="00F019D5" w:rsidP="00F019D5">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Region</w:t>
            </w:r>
          </w:p>
        </w:tc>
        <w:tc>
          <w:tcPr>
            <w:tcW w:w="934" w:type="dxa"/>
            <w:tcBorders>
              <w:bottom w:val="single" w:sz="4" w:space="0" w:color="auto"/>
            </w:tcBorders>
            <w:shd w:val="clear" w:color="auto" w:fill="auto"/>
            <w:noWrap/>
            <w:vAlign w:val="bottom"/>
            <w:hideMark/>
          </w:tcPr>
          <w:p w14:paraId="70C038B6"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AV Fistula</w:t>
            </w:r>
          </w:p>
        </w:tc>
        <w:tc>
          <w:tcPr>
            <w:tcW w:w="998" w:type="dxa"/>
            <w:tcBorders>
              <w:bottom w:val="single" w:sz="4" w:space="0" w:color="auto"/>
            </w:tcBorders>
            <w:shd w:val="clear" w:color="auto" w:fill="auto"/>
            <w:noWrap/>
            <w:vAlign w:val="bottom"/>
            <w:hideMark/>
          </w:tcPr>
          <w:p w14:paraId="194CA3CB"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Catheter</w:t>
            </w:r>
          </w:p>
        </w:tc>
        <w:tc>
          <w:tcPr>
            <w:tcW w:w="1137" w:type="dxa"/>
            <w:tcBorders>
              <w:bottom w:val="single" w:sz="4" w:space="0" w:color="auto"/>
            </w:tcBorders>
            <w:shd w:val="clear" w:color="auto" w:fill="auto"/>
            <w:noWrap/>
            <w:vAlign w:val="bottom"/>
            <w:hideMark/>
          </w:tcPr>
          <w:p w14:paraId="2C345806"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Peritoneal</w:t>
            </w:r>
          </w:p>
        </w:tc>
        <w:tc>
          <w:tcPr>
            <w:tcW w:w="1168" w:type="dxa"/>
            <w:tcBorders>
              <w:bottom w:val="single" w:sz="4" w:space="0" w:color="auto"/>
            </w:tcBorders>
            <w:shd w:val="clear" w:color="auto" w:fill="auto"/>
            <w:noWrap/>
            <w:vAlign w:val="bottom"/>
            <w:hideMark/>
          </w:tcPr>
          <w:p w14:paraId="6F219746"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Transplant</w:t>
            </w:r>
          </w:p>
        </w:tc>
        <w:tc>
          <w:tcPr>
            <w:tcW w:w="940" w:type="dxa"/>
            <w:tcBorders>
              <w:bottom w:val="single" w:sz="4" w:space="0" w:color="auto"/>
            </w:tcBorders>
            <w:shd w:val="clear" w:color="auto" w:fill="auto"/>
            <w:noWrap/>
            <w:vAlign w:val="bottom"/>
            <w:hideMark/>
          </w:tcPr>
          <w:p w14:paraId="76B54200"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Graft</w:t>
            </w:r>
          </w:p>
        </w:tc>
        <w:tc>
          <w:tcPr>
            <w:tcW w:w="940" w:type="dxa"/>
            <w:vMerge/>
            <w:tcBorders>
              <w:bottom w:val="single" w:sz="4" w:space="0" w:color="auto"/>
            </w:tcBorders>
            <w:shd w:val="clear" w:color="auto" w:fill="auto"/>
            <w:vAlign w:val="center"/>
            <w:hideMark/>
          </w:tcPr>
          <w:p w14:paraId="22B1F7A8" w14:textId="77777777" w:rsidR="00F019D5" w:rsidRPr="000E49F6" w:rsidRDefault="00F019D5" w:rsidP="00F019D5">
            <w:pPr>
              <w:spacing w:after="0" w:line="240" w:lineRule="auto"/>
              <w:rPr>
                <w:rFonts w:ascii="Calibri" w:eastAsia="Times New Roman" w:hAnsi="Calibri" w:cs="Times New Roman"/>
                <w:color w:val="0000FF"/>
                <w:sz w:val="18"/>
                <w:szCs w:val="18"/>
              </w:rPr>
            </w:pPr>
          </w:p>
        </w:tc>
        <w:tc>
          <w:tcPr>
            <w:tcW w:w="940" w:type="dxa"/>
            <w:vMerge/>
            <w:tcBorders>
              <w:bottom w:val="single" w:sz="4" w:space="0" w:color="auto"/>
            </w:tcBorders>
            <w:shd w:val="clear" w:color="auto" w:fill="auto"/>
            <w:vAlign w:val="center"/>
            <w:hideMark/>
          </w:tcPr>
          <w:p w14:paraId="2076B309" w14:textId="77777777" w:rsidR="00F019D5" w:rsidRPr="000E49F6" w:rsidRDefault="00F019D5" w:rsidP="00F019D5">
            <w:pPr>
              <w:spacing w:after="0" w:line="240" w:lineRule="auto"/>
              <w:rPr>
                <w:rFonts w:ascii="Calibri" w:eastAsia="Times New Roman" w:hAnsi="Calibri" w:cs="Times New Roman"/>
                <w:color w:val="0000FF"/>
                <w:sz w:val="18"/>
                <w:szCs w:val="18"/>
              </w:rPr>
            </w:pPr>
          </w:p>
        </w:tc>
        <w:tc>
          <w:tcPr>
            <w:tcW w:w="940" w:type="dxa"/>
            <w:vMerge/>
            <w:tcBorders>
              <w:bottom w:val="single" w:sz="4" w:space="0" w:color="auto"/>
            </w:tcBorders>
            <w:shd w:val="clear" w:color="auto" w:fill="auto"/>
            <w:vAlign w:val="center"/>
            <w:hideMark/>
          </w:tcPr>
          <w:p w14:paraId="04BF334B" w14:textId="77777777" w:rsidR="00F019D5" w:rsidRPr="000E49F6" w:rsidRDefault="00F019D5" w:rsidP="00F019D5">
            <w:pPr>
              <w:spacing w:after="0" w:line="240" w:lineRule="auto"/>
              <w:rPr>
                <w:rFonts w:ascii="Calibri" w:eastAsia="Times New Roman" w:hAnsi="Calibri" w:cs="Times New Roman"/>
                <w:color w:val="0000FF"/>
                <w:sz w:val="18"/>
                <w:szCs w:val="18"/>
              </w:rPr>
            </w:pPr>
          </w:p>
        </w:tc>
      </w:tr>
      <w:tr w:rsidR="000E49F6" w:rsidRPr="000E49F6" w14:paraId="44919273" w14:textId="77777777" w:rsidTr="00966ABF">
        <w:trPr>
          <w:trHeight w:val="240"/>
        </w:trPr>
        <w:tc>
          <w:tcPr>
            <w:tcW w:w="1168" w:type="dxa"/>
            <w:tcBorders>
              <w:top w:val="single" w:sz="4" w:space="0" w:color="auto"/>
            </w:tcBorders>
            <w:shd w:val="clear" w:color="auto" w:fill="auto"/>
            <w:noWrap/>
            <w:vAlign w:val="bottom"/>
            <w:hideMark/>
          </w:tcPr>
          <w:p w14:paraId="71BC34CE" w14:textId="77777777" w:rsidR="00F019D5" w:rsidRPr="000E49F6" w:rsidRDefault="00F019D5" w:rsidP="00F019D5">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AV Fistula</w:t>
            </w:r>
          </w:p>
        </w:tc>
        <w:tc>
          <w:tcPr>
            <w:tcW w:w="934" w:type="dxa"/>
            <w:tcBorders>
              <w:top w:val="single" w:sz="4" w:space="0" w:color="auto"/>
            </w:tcBorders>
            <w:shd w:val="clear" w:color="auto" w:fill="auto"/>
            <w:noWrap/>
            <w:vAlign w:val="bottom"/>
            <w:hideMark/>
          </w:tcPr>
          <w:p w14:paraId="5C42BBB2"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19</w:t>
            </w:r>
          </w:p>
        </w:tc>
        <w:tc>
          <w:tcPr>
            <w:tcW w:w="998" w:type="dxa"/>
            <w:tcBorders>
              <w:top w:val="single" w:sz="4" w:space="0" w:color="auto"/>
            </w:tcBorders>
            <w:shd w:val="clear" w:color="auto" w:fill="auto"/>
            <w:noWrap/>
            <w:vAlign w:val="bottom"/>
            <w:hideMark/>
          </w:tcPr>
          <w:p w14:paraId="0727750F"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2</w:t>
            </w:r>
          </w:p>
        </w:tc>
        <w:tc>
          <w:tcPr>
            <w:tcW w:w="1137" w:type="dxa"/>
            <w:tcBorders>
              <w:top w:val="single" w:sz="4" w:space="0" w:color="auto"/>
            </w:tcBorders>
            <w:shd w:val="clear" w:color="auto" w:fill="auto"/>
            <w:noWrap/>
            <w:vAlign w:val="bottom"/>
            <w:hideMark/>
          </w:tcPr>
          <w:p w14:paraId="0FC26850"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68" w:type="dxa"/>
            <w:tcBorders>
              <w:top w:val="single" w:sz="4" w:space="0" w:color="auto"/>
            </w:tcBorders>
            <w:shd w:val="clear" w:color="auto" w:fill="auto"/>
            <w:noWrap/>
            <w:vAlign w:val="bottom"/>
            <w:hideMark/>
          </w:tcPr>
          <w:p w14:paraId="302890D1"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tcBorders>
              <w:top w:val="single" w:sz="4" w:space="0" w:color="auto"/>
            </w:tcBorders>
            <w:shd w:val="clear" w:color="auto" w:fill="auto"/>
            <w:noWrap/>
            <w:vAlign w:val="bottom"/>
            <w:hideMark/>
          </w:tcPr>
          <w:p w14:paraId="1F486DE8"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tcBorders>
              <w:top w:val="single" w:sz="4" w:space="0" w:color="auto"/>
            </w:tcBorders>
            <w:shd w:val="clear" w:color="auto" w:fill="auto"/>
            <w:noWrap/>
            <w:vAlign w:val="bottom"/>
            <w:hideMark/>
          </w:tcPr>
          <w:p w14:paraId="38AD17CD"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1</w:t>
            </w:r>
          </w:p>
        </w:tc>
        <w:tc>
          <w:tcPr>
            <w:tcW w:w="940" w:type="dxa"/>
            <w:tcBorders>
              <w:top w:val="single" w:sz="4" w:space="0" w:color="auto"/>
            </w:tcBorders>
            <w:shd w:val="clear" w:color="auto" w:fill="auto"/>
            <w:noWrap/>
            <w:vAlign w:val="bottom"/>
            <w:hideMark/>
          </w:tcPr>
          <w:p w14:paraId="6376E7FD"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tcBorders>
              <w:top w:val="single" w:sz="4" w:space="0" w:color="auto"/>
            </w:tcBorders>
            <w:shd w:val="clear" w:color="auto" w:fill="auto"/>
            <w:noWrap/>
            <w:vAlign w:val="bottom"/>
            <w:hideMark/>
          </w:tcPr>
          <w:p w14:paraId="63AED0EA"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22</w:t>
            </w:r>
          </w:p>
        </w:tc>
      </w:tr>
      <w:tr w:rsidR="000E49F6" w:rsidRPr="000E49F6" w14:paraId="66920524" w14:textId="77777777" w:rsidTr="00966ABF">
        <w:trPr>
          <w:trHeight w:val="240"/>
        </w:trPr>
        <w:tc>
          <w:tcPr>
            <w:tcW w:w="1168" w:type="dxa"/>
            <w:shd w:val="clear" w:color="auto" w:fill="auto"/>
            <w:noWrap/>
            <w:vAlign w:val="bottom"/>
            <w:hideMark/>
          </w:tcPr>
          <w:p w14:paraId="1FAC1FC5" w14:textId="77777777" w:rsidR="00F019D5" w:rsidRPr="000E49F6" w:rsidRDefault="00F019D5" w:rsidP="00F019D5">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Catheter</w:t>
            </w:r>
          </w:p>
        </w:tc>
        <w:tc>
          <w:tcPr>
            <w:tcW w:w="934" w:type="dxa"/>
            <w:shd w:val="clear" w:color="auto" w:fill="auto"/>
            <w:noWrap/>
            <w:vAlign w:val="bottom"/>
            <w:hideMark/>
          </w:tcPr>
          <w:p w14:paraId="294B81D0"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7</w:t>
            </w:r>
          </w:p>
        </w:tc>
        <w:tc>
          <w:tcPr>
            <w:tcW w:w="998" w:type="dxa"/>
            <w:shd w:val="clear" w:color="auto" w:fill="auto"/>
            <w:noWrap/>
            <w:vAlign w:val="bottom"/>
            <w:hideMark/>
          </w:tcPr>
          <w:p w14:paraId="50BFD9B6"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26</w:t>
            </w:r>
          </w:p>
        </w:tc>
        <w:tc>
          <w:tcPr>
            <w:tcW w:w="1137" w:type="dxa"/>
            <w:shd w:val="clear" w:color="auto" w:fill="auto"/>
            <w:noWrap/>
            <w:vAlign w:val="bottom"/>
            <w:hideMark/>
          </w:tcPr>
          <w:p w14:paraId="6B0FEA17"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68" w:type="dxa"/>
            <w:shd w:val="clear" w:color="auto" w:fill="auto"/>
            <w:noWrap/>
            <w:vAlign w:val="bottom"/>
            <w:hideMark/>
          </w:tcPr>
          <w:p w14:paraId="5C945F6D"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shd w:val="clear" w:color="auto" w:fill="auto"/>
            <w:noWrap/>
            <w:vAlign w:val="bottom"/>
            <w:hideMark/>
          </w:tcPr>
          <w:p w14:paraId="431DC82B"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shd w:val="clear" w:color="auto" w:fill="auto"/>
            <w:noWrap/>
            <w:vAlign w:val="bottom"/>
            <w:hideMark/>
          </w:tcPr>
          <w:p w14:paraId="6894DEDA"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2</w:t>
            </w:r>
          </w:p>
        </w:tc>
        <w:tc>
          <w:tcPr>
            <w:tcW w:w="940" w:type="dxa"/>
            <w:shd w:val="clear" w:color="auto" w:fill="auto"/>
            <w:noWrap/>
            <w:vAlign w:val="bottom"/>
            <w:hideMark/>
          </w:tcPr>
          <w:p w14:paraId="32364B1B"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2</w:t>
            </w:r>
          </w:p>
        </w:tc>
        <w:tc>
          <w:tcPr>
            <w:tcW w:w="940" w:type="dxa"/>
            <w:shd w:val="clear" w:color="auto" w:fill="auto"/>
            <w:noWrap/>
            <w:vAlign w:val="bottom"/>
            <w:hideMark/>
          </w:tcPr>
          <w:p w14:paraId="67EC1296"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37</w:t>
            </w:r>
          </w:p>
        </w:tc>
      </w:tr>
      <w:tr w:rsidR="000E49F6" w:rsidRPr="000E49F6" w14:paraId="586FF788" w14:textId="77777777" w:rsidTr="00966ABF">
        <w:trPr>
          <w:trHeight w:val="240"/>
        </w:trPr>
        <w:tc>
          <w:tcPr>
            <w:tcW w:w="1168" w:type="dxa"/>
            <w:shd w:val="clear" w:color="auto" w:fill="auto"/>
            <w:noWrap/>
            <w:vAlign w:val="bottom"/>
            <w:hideMark/>
          </w:tcPr>
          <w:p w14:paraId="0ADC3190" w14:textId="77777777" w:rsidR="00F019D5" w:rsidRPr="000E49F6" w:rsidRDefault="00F019D5" w:rsidP="00F019D5">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Peritoneal</w:t>
            </w:r>
          </w:p>
        </w:tc>
        <w:tc>
          <w:tcPr>
            <w:tcW w:w="934" w:type="dxa"/>
            <w:shd w:val="clear" w:color="auto" w:fill="auto"/>
            <w:noWrap/>
            <w:vAlign w:val="bottom"/>
            <w:hideMark/>
          </w:tcPr>
          <w:p w14:paraId="3C6621FA"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98" w:type="dxa"/>
            <w:shd w:val="clear" w:color="auto" w:fill="auto"/>
            <w:noWrap/>
            <w:vAlign w:val="bottom"/>
            <w:hideMark/>
          </w:tcPr>
          <w:p w14:paraId="3532444B"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37" w:type="dxa"/>
            <w:shd w:val="clear" w:color="auto" w:fill="auto"/>
            <w:noWrap/>
            <w:vAlign w:val="bottom"/>
            <w:hideMark/>
          </w:tcPr>
          <w:p w14:paraId="6472CE3B"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11</w:t>
            </w:r>
          </w:p>
        </w:tc>
        <w:tc>
          <w:tcPr>
            <w:tcW w:w="1168" w:type="dxa"/>
            <w:shd w:val="clear" w:color="auto" w:fill="auto"/>
            <w:noWrap/>
            <w:vAlign w:val="bottom"/>
            <w:hideMark/>
          </w:tcPr>
          <w:p w14:paraId="235E973C"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shd w:val="clear" w:color="auto" w:fill="auto"/>
            <w:noWrap/>
            <w:vAlign w:val="bottom"/>
            <w:hideMark/>
          </w:tcPr>
          <w:p w14:paraId="7EDC9E8D"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shd w:val="clear" w:color="auto" w:fill="auto"/>
            <w:noWrap/>
            <w:vAlign w:val="bottom"/>
            <w:hideMark/>
          </w:tcPr>
          <w:p w14:paraId="70BB8B8B"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shd w:val="clear" w:color="auto" w:fill="auto"/>
            <w:noWrap/>
            <w:vAlign w:val="bottom"/>
            <w:hideMark/>
          </w:tcPr>
          <w:p w14:paraId="65E54B4E"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shd w:val="clear" w:color="auto" w:fill="auto"/>
            <w:noWrap/>
            <w:vAlign w:val="bottom"/>
            <w:hideMark/>
          </w:tcPr>
          <w:p w14:paraId="2886DA43"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11</w:t>
            </w:r>
          </w:p>
        </w:tc>
      </w:tr>
      <w:tr w:rsidR="000E49F6" w:rsidRPr="000E49F6" w14:paraId="68750870" w14:textId="77777777" w:rsidTr="00966ABF">
        <w:trPr>
          <w:trHeight w:val="240"/>
        </w:trPr>
        <w:tc>
          <w:tcPr>
            <w:tcW w:w="1168" w:type="dxa"/>
            <w:shd w:val="clear" w:color="auto" w:fill="auto"/>
            <w:noWrap/>
            <w:vAlign w:val="bottom"/>
            <w:hideMark/>
          </w:tcPr>
          <w:p w14:paraId="5A780947" w14:textId="77777777" w:rsidR="00F019D5" w:rsidRPr="000E49F6" w:rsidRDefault="00F019D5" w:rsidP="00F019D5">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Transplant</w:t>
            </w:r>
          </w:p>
        </w:tc>
        <w:tc>
          <w:tcPr>
            <w:tcW w:w="934" w:type="dxa"/>
            <w:shd w:val="clear" w:color="auto" w:fill="auto"/>
            <w:noWrap/>
            <w:vAlign w:val="bottom"/>
            <w:hideMark/>
          </w:tcPr>
          <w:p w14:paraId="4A08BFB6"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98" w:type="dxa"/>
            <w:shd w:val="clear" w:color="auto" w:fill="auto"/>
            <w:noWrap/>
            <w:vAlign w:val="bottom"/>
            <w:hideMark/>
          </w:tcPr>
          <w:p w14:paraId="4CAF7791"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37" w:type="dxa"/>
            <w:shd w:val="clear" w:color="auto" w:fill="auto"/>
            <w:noWrap/>
            <w:vAlign w:val="bottom"/>
            <w:hideMark/>
          </w:tcPr>
          <w:p w14:paraId="028AD656"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68" w:type="dxa"/>
            <w:shd w:val="clear" w:color="auto" w:fill="auto"/>
            <w:noWrap/>
            <w:vAlign w:val="bottom"/>
            <w:hideMark/>
          </w:tcPr>
          <w:p w14:paraId="234D60DC"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3</w:t>
            </w:r>
          </w:p>
        </w:tc>
        <w:tc>
          <w:tcPr>
            <w:tcW w:w="940" w:type="dxa"/>
            <w:shd w:val="clear" w:color="auto" w:fill="auto"/>
            <w:noWrap/>
            <w:vAlign w:val="bottom"/>
            <w:hideMark/>
          </w:tcPr>
          <w:p w14:paraId="6A899391"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shd w:val="clear" w:color="auto" w:fill="auto"/>
            <w:noWrap/>
            <w:vAlign w:val="bottom"/>
            <w:hideMark/>
          </w:tcPr>
          <w:p w14:paraId="3AEF02A2"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shd w:val="clear" w:color="auto" w:fill="auto"/>
            <w:noWrap/>
            <w:vAlign w:val="bottom"/>
            <w:hideMark/>
          </w:tcPr>
          <w:p w14:paraId="7E44DC56"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shd w:val="clear" w:color="auto" w:fill="auto"/>
            <w:noWrap/>
            <w:vAlign w:val="bottom"/>
            <w:hideMark/>
          </w:tcPr>
          <w:p w14:paraId="32C5C721"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3</w:t>
            </w:r>
          </w:p>
        </w:tc>
      </w:tr>
      <w:tr w:rsidR="000E49F6" w:rsidRPr="000E49F6" w14:paraId="5B3447D4" w14:textId="77777777" w:rsidTr="00966ABF">
        <w:trPr>
          <w:trHeight w:val="240"/>
        </w:trPr>
        <w:tc>
          <w:tcPr>
            <w:tcW w:w="1168" w:type="dxa"/>
            <w:shd w:val="clear" w:color="auto" w:fill="auto"/>
            <w:noWrap/>
            <w:vAlign w:val="bottom"/>
            <w:hideMark/>
          </w:tcPr>
          <w:p w14:paraId="6CD1AD84" w14:textId="77777777" w:rsidR="00F019D5" w:rsidRPr="000E49F6" w:rsidRDefault="00F019D5" w:rsidP="00F019D5">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Graft</w:t>
            </w:r>
          </w:p>
        </w:tc>
        <w:tc>
          <w:tcPr>
            <w:tcW w:w="934" w:type="dxa"/>
            <w:shd w:val="clear" w:color="auto" w:fill="auto"/>
            <w:noWrap/>
            <w:vAlign w:val="bottom"/>
            <w:hideMark/>
          </w:tcPr>
          <w:p w14:paraId="42FA9252"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98" w:type="dxa"/>
            <w:shd w:val="clear" w:color="auto" w:fill="auto"/>
            <w:noWrap/>
            <w:vAlign w:val="bottom"/>
            <w:hideMark/>
          </w:tcPr>
          <w:p w14:paraId="21CC26E3"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37" w:type="dxa"/>
            <w:shd w:val="clear" w:color="auto" w:fill="auto"/>
            <w:noWrap/>
            <w:vAlign w:val="bottom"/>
            <w:hideMark/>
          </w:tcPr>
          <w:p w14:paraId="2FFC96CD"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68" w:type="dxa"/>
            <w:shd w:val="clear" w:color="auto" w:fill="auto"/>
            <w:noWrap/>
            <w:vAlign w:val="bottom"/>
            <w:hideMark/>
          </w:tcPr>
          <w:p w14:paraId="08320321"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shd w:val="clear" w:color="auto" w:fill="auto"/>
            <w:noWrap/>
            <w:vAlign w:val="bottom"/>
            <w:hideMark/>
          </w:tcPr>
          <w:p w14:paraId="01AEB580"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w:t>
            </w:r>
          </w:p>
        </w:tc>
        <w:tc>
          <w:tcPr>
            <w:tcW w:w="940" w:type="dxa"/>
            <w:shd w:val="clear" w:color="auto" w:fill="auto"/>
            <w:noWrap/>
            <w:vAlign w:val="bottom"/>
            <w:hideMark/>
          </w:tcPr>
          <w:p w14:paraId="26759EEE"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shd w:val="clear" w:color="auto" w:fill="auto"/>
            <w:noWrap/>
            <w:vAlign w:val="bottom"/>
            <w:hideMark/>
          </w:tcPr>
          <w:p w14:paraId="095EE97B"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shd w:val="clear" w:color="auto" w:fill="auto"/>
            <w:noWrap/>
            <w:vAlign w:val="bottom"/>
            <w:hideMark/>
          </w:tcPr>
          <w:p w14:paraId="192FD613"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w:t>
            </w:r>
          </w:p>
        </w:tc>
      </w:tr>
      <w:tr w:rsidR="000E49F6" w:rsidRPr="000E49F6" w14:paraId="7E85BA55" w14:textId="77777777" w:rsidTr="00966ABF">
        <w:trPr>
          <w:trHeight w:val="240"/>
        </w:trPr>
        <w:tc>
          <w:tcPr>
            <w:tcW w:w="1168" w:type="dxa"/>
            <w:tcBorders>
              <w:bottom w:val="single" w:sz="4" w:space="0" w:color="auto"/>
            </w:tcBorders>
            <w:shd w:val="clear" w:color="auto" w:fill="auto"/>
            <w:noWrap/>
            <w:vAlign w:val="bottom"/>
            <w:hideMark/>
          </w:tcPr>
          <w:p w14:paraId="7FB4814E" w14:textId="77777777" w:rsidR="00F019D5" w:rsidRPr="000E49F6" w:rsidRDefault="00F019D5" w:rsidP="00F019D5">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Total</w:t>
            </w:r>
          </w:p>
        </w:tc>
        <w:tc>
          <w:tcPr>
            <w:tcW w:w="934" w:type="dxa"/>
            <w:tcBorders>
              <w:bottom w:val="single" w:sz="4" w:space="0" w:color="auto"/>
            </w:tcBorders>
            <w:shd w:val="clear" w:color="auto" w:fill="auto"/>
            <w:noWrap/>
            <w:vAlign w:val="bottom"/>
            <w:hideMark/>
          </w:tcPr>
          <w:p w14:paraId="4AD17FC0"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26</w:t>
            </w:r>
          </w:p>
        </w:tc>
        <w:tc>
          <w:tcPr>
            <w:tcW w:w="998" w:type="dxa"/>
            <w:tcBorders>
              <w:bottom w:val="single" w:sz="4" w:space="0" w:color="auto"/>
            </w:tcBorders>
            <w:shd w:val="clear" w:color="auto" w:fill="auto"/>
            <w:noWrap/>
            <w:vAlign w:val="bottom"/>
            <w:hideMark/>
          </w:tcPr>
          <w:p w14:paraId="621ED0AC"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28</w:t>
            </w:r>
          </w:p>
        </w:tc>
        <w:tc>
          <w:tcPr>
            <w:tcW w:w="1137" w:type="dxa"/>
            <w:tcBorders>
              <w:bottom w:val="single" w:sz="4" w:space="0" w:color="auto"/>
            </w:tcBorders>
            <w:shd w:val="clear" w:color="auto" w:fill="auto"/>
            <w:noWrap/>
            <w:vAlign w:val="bottom"/>
            <w:hideMark/>
          </w:tcPr>
          <w:p w14:paraId="53385437"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11</w:t>
            </w:r>
          </w:p>
        </w:tc>
        <w:tc>
          <w:tcPr>
            <w:tcW w:w="1168" w:type="dxa"/>
            <w:tcBorders>
              <w:bottom w:val="single" w:sz="4" w:space="0" w:color="auto"/>
            </w:tcBorders>
            <w:shd w:val="clear" w:color="auto" w:fill="auto"/>
            <w:noWrap/>
            <w:vAlign w:val="bottom"/>
            <w:hideMark/>
          </w:tcPr>
          <w:p w14:paraId="330393E1"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3</w:t>
            </w:r>
          </w:p>
        </w:tc>
        <w:tc>
          <w:tcPr>
            <w:tcW w:w="940" w:type="dxa"/>
            <w:tcBorders>
              <w:bottom w:val="single" w:sz="4" w:space="0" w:color="auto"/>
            </w:tcBorders>
            <w:shd w:val="clear" w:color="auto" w:fill="auto"/>
            <w:noWrap/>
            <w:vAlign w:val="bottom"/>
            <w:hideMark/>
          </w:tcPr>
          <w:p w14:paraId="2B4CE6AC"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w:t>
            </w:r>
          </w:p>
        </w:tc>
        <w:tc>
          <w:tcPr>
            <w:tcW w:w="940" w:type="dxa"/>
            <w:tcBorders>
              <w:bottom w:val="single" w:sz="4" w:space="0" w:color="auto"/>
            </w:tcBorders>
            <w:shd w:val="clear" w:color="auto" w:fill="auto"/>
            <w:noWrap/>
            <w:vAlign w:val="bottom"/>
            <w:hideMark/>
          </w:tcPr>
          <w:p w14:paraId="403A1659"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tcBorders>
              <w:bottom w:val="single" w:sz="4" w:space="0" w:color="auto"/>
            </w:tcBorders>
            <w:shd w:val="clear" w:color="auto" w:fill="auto"/>
            <w:noWrap/>
            <w:vAlign w:val="bottom"/>
            <w:hideMark/>
          </w:tcPr>
          <w:p w14:paraId="0F782136"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940" w:type="dxa"/>
            <w:tcBorders>
              <w:bottom w:val="single" w:sz="4" w:space="0" w:color="auto"/>
            </w:tcBorders>
            <w:shd w:val="clear" w:color="auto" w:fill="auto"/>
            <w:hideMark/>
          </w:tcPr>
          <w:p w14:paraId="0E9ED608" w14:textId="77777777" w:rsidR="00F019D5" w:rsidRPr="000E49F6" w:rsidRDefault="00F019D5" w:rsidP="00F019D5">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73</w:t>
            </w:r>
          </w:p>
        </w:tc>
      </w:tr>
      <w:tr w:rsidR="000E49F6" w:rsidRPr="000E49F6" w14:paraId="1256ACE0" w14:textId="77777777" w:rsidTr="00966ABF">
        <w:trPr>
          <w:trHeight w:val="269"/>
        </w:trPr>
        <w:tc>
          <w:tcPr>
            <w:tcW w:w="1168" w:type="dxa"/>
            <w:vMerge w:val="restart"/>
            <w:tcBorders>
              <w:top w:val="single" w:sz="4" w:space="0" w:color="auto"/>
              <w:bottom w:val="single" w:sz="4" w:space="0" w:color="auto"/>
            </w:tcBorders>
            <w:shd w:val="clear" w:color="auto" w:fill="auto"/>
            <w:noWrap/>
            <w:hideMark/>
          </w:tcPr>
          <w:p w14:paraId="6B4A4F61" w14:textId="77777777" w:rsidR="00F019D5" w:rsidRPr="000E49F6" w:rsidRDefault="00F019D5" w:rsidP="00F019D5">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Notes</w:t>
            </w:r>
          </w:p>
        </w:tc>
        <w:tc>
          <w:tcPr>
            <w:tcW w:w="7997" w:type="dxa"/>
            <w:gridSpan w:val="8"/>
            <w:vMerge w:val="restart"/>
            <w:tcBorders>
              <w:top w:val="single" w:sz="4" w:space="0" w:color="auto"/>
              <w:bottom w:val="single" w:sz="4" w:space="0" w:color="auto"/>
            </w:tcBorders>
            <w:shd w:val="clear" w:color="auto" w:fill="auto"/>
            <w:hideMark/>
          </w:tcPr>
          <w:p w14:paraId="1CD429DC" w14:textId="77777777" w:rsidR="00F019D5" w:rsidRPr="000E49F6" w:rsidRDefault="00F019D5" w:rsidP="00F019D5">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Not first dialysis: Error for Optimal ESRD Start qualifications, exclude from denominator.</w:t>
            </w:r>
            <w:r w:rsidRPr="000E49F6">
              <w:rPr>
                <w:rFonts w:ascii="Calibri" w:eastAsia="Times New Roman" w:hAnsi="Calibri" w:cs="Times New Roman"/>
                <w:color w:val="0000FF"/>
                <w:sz w:val="18"/>
                <w:szCs w:val="18"/>
              </w:rPr>
              <w:br/>
              <w:t>No source result: Source information not available, exclude from analysis.</w:t>
            </w:r>
          </w:p>
        </w:tc>
      </w:tr>
      <w:tr w:rsidR="000E49F6" w:rsidRPr="000E49F6" w14:paraId="0406CAA6" w14:textId="77777777" w:rsidTr="00966ABF">
        <w:trPr>
          <w:trHeight w:val="269"/>
        </w:trPr>
        <w:tc>
          <w:tcPr>
            <w:tcW w:w="1168" w:type="dxa"/>
            <w:vMerge/>
            <w:tcBorders>
              <w:bottom w:val="single" w:sz="4" w:space="0" w:color="auto"/>
            </w:tcBorders>
            <w:shd w:val="clear" w:color="auto" w:fill="auto"/>
            <w:vAlign w:val="center"/>
            <w:hideMark/>
          </w:tcPr>
          <w:p w14:paraId="2232B996" w14:textId="77777777" w:rsidR="00F019D5" w:rsidRPr="000E49F6" w:rsidRDefault="00F019D5" w:rsidP="00F019D5">
            <w:pPr>
              <w:spacing w:after="0" w:line="240" w:lineRule="auto"/>
              <w:rPr>
                <w:rFonts w:ascii="Calibri" w:eastAsia="Times New Roman" w:hAnsi="Calibri" w:cs="Times New Roman"/>
                <w:color w:val="0000FF"/>
                <w:sz w:val="18"/>
                <w:szCs w:val="18"/>
              </w:rPr>
            </w:pPr>
          </w:p>
        </w:tc>
        <w:tc>
          <w:tcPr>
            <w:tcW w:w="7997" w:type="dxa"/>
            <w:gridSpan w:val="8"/>
            <w:vMerge/>
            <w:tcBorders>
              <w:bottom w:val="single" w:sz="4" w:space="0" w:color="auto"/>
            </w:tcBorders>
            <w:shd w:val="clear" w:color="auto" w:fill="auto"/>
            <w:vAlign w:val="center"/>
            <w:hideMark/>
          </w:tcPr>
          <w:p w14:paraId="0F06696A" w14:textId="77777777" w:rsidR="00F019D5" w:rsidRPr="000E49F6" w:rsidRDefault="00F019D5" w:rsidP="00F019D5">
            <w:pPr>
              <w:spacing w:after="0" w:line="240" w:lineRule="auto"/>
              <w:rPr>
                <w:rFonts w:ascii="Calibri" w:eastAsia="Times New Roman" w:hAnsi="Calibri" w:cs="Times New Roman"/>
                <w:color w:val="0000FF"/>
                <w:sz w:val="18"/>
                <w:szCs w:val="18"/>
              </w:rPr>
            </w:pPr>
          </w:p>
        </w:tc>
      </w:tr>
    </w:tbl>
    <w:p w14:paraId="1398EC31" w14:textId="77777777" w:rsidR="000042D0" w:rsidRDefault="000042D0" w:rsidP="00F019D5">
      <w:pPr>
        <w:rPr>
          <w:rFonts w:cstheme="minorHAnsi"/>
          <w:bCs/>
          <w:color w:val="0000FF"/>
        </w:rPr>
      </w:pPr>
    </w:p>
    <w:p w14:paraId="6CA9DBE1" w14:textId="77777777" w:rsidR="00314B40" w:rsidRDefault="00314B40" w:rsidP="00F019D5">
      <w:pPr>
        <w:rPr>
          <w:rFonts w:cstheme="minorHAnsi"/>
          <w:bCs/>
          <w:color w:val="0000FF"/>
        </w:rPr>
      </w:pPr>
    </w:p>
    <w:tbl>
      <w:tblPr>
        <w:tblW w:w="8200" w:type="dxa"/>
        <w:tblInd w:w="90" w:type="dxa"/>
        <w:tblLook w:val="04A0" w:firstRow="1" w:lastRow="0" w:firstColumn="1" w:lastColumn="0" w:noHBand="0" w:noVBand="1"/>
      </w:tblPr>
      <w:tblGrid>
        <w:gridCol w:w="1407"/>
        <w:gridCol w:w="1131"/>
        <w:gridCol w:w="1407"/>
        <w:gridCol w:w="1208"/>
        <w:gridCol w:w="1187"/>
        <w:gridCol w:w="840"/>
        <w:gridCol w:w="1020"/>
      </w:tblGrid>
      <w:tr w:rsidR="000E49F6" w:rsidRPr="000E49F6" w14:paraId="141F7007" w14:textId="77777777" w:rsidTr="00966ABF">
        <w:trPr>
          <w:trHeight w:val="225"/>
        </w:trPr>
        <w:tc>
          <w:tcPr>
            <w:tcW w:w="3945" w:type="dxa"/>
            <w:gridSpan w:val="3"/>
            <w:tcBorders>
              <w:bottom w:val="single" w:sz="4" w:space="0" w:color="auto"/>
            </w:tcBorders>
            <w:shd w:val="clear" w:color="auto" w:fill="auto"/>
            <w:noWrap/>
            <w:vAlign w:val="bottom"/>
            <w:hideMark/>
          </w:tcPr>
          <w:p w14:paraId="4B653CE6" w14:textId="77777777" w:rsidR="000C6138" w:rsidRPr="00D73D28" w:rsidRDefault="000C6138" w:rsidP="000C6138">
            <w:pPr>
              <w:spacing w:after="0" w:line="240" w:lineRule="auto"/>
              <w:rPr>
                <w:rFonts w:ascii="Calibri" w:eastAsia="Times New Roman" w:hAnsi="Calibri" w:cs="Times New Roman"/>
                <w:color w:val="0000FF"/>
              </w:rPr>
            </w:pPr>
            <w:r w:rsidRPr="00D73D28">
              <w:rPr>
                <w:rFonts w:ascii="Calibri" w:eastAsia="Times New Roman" w:hAnsi="Calibri" w:cs="Times New Roman"/>
                <w:color w:val="0000FF"/>
              </w:rPr>
              <w:t>Table 2. Match proportion results</w:t>
            </w:r>
          </w:p>
        </w:tc>
        <w:tc>
          <w:tcPr>
            <w:tcW w:w="1208" w:type="dxa"/>
            <w:tcBorders>
              <w:bottom w:val="single" w:sz="4" w:space="0" w:color="auto"/>
            </w:tcBorders>
            <w:shd w:val="clear" w:color="auto" w:fill="auto"/>
            <w:noWrap/>
            <w:vAlign w:val="bottom"/>
            <w:hideMark/>
          </w:tcPr>
          <w:p w14:paraId="05DE2EA2"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p>
        </w:tc>
        <w:tc>
          <w:tcPr>
            <w:tcW w:w="1187" w:type="dxa"/>
            <w:tcBorders>
              <w:bottom w:val="single" w:sz="4" w:space="0" w:color="auto"/>
            </w:tcBorders>
            <w:shd w:val="clear" w:color="auto" w:fill="auto"/>
            <w:noWrap/>
            <w:vAlign w:val="bottom"/>
            <w:hideMark/>
          </w:tcPr>
          <w:p w14:paraId="37AF9F9E" w14:textId="77777777" w:rsidR="000C6138" w:rsidRPr="000E49F6" w:rsidRDefault="000C6138" w:rsidP="000C6138">
            <w:pPr>
              <w:spacing w:after="0" w:line="240" w:lineRule="auto"/>
              <w:rPr>
                <w:rFonts w:ascii="Calibri" w:eastAsia="Times New Roman" w:hAnsi="Calibri" w:cs="Times New Roman"/>
                <w:color w:val="0000FF"/>
                <w:sz w:val="18"/>
                <w:szCs w:val="18"/>
              </w:rPr>
            </w:pPr>
          </w:p>
        </w:tc>
        <w:tc>
          <w:tcPr>
            <w:tcW w:w="840" w:type="dxa"/>
            <w:tcBorders>
              <w:bottom w:val="single" w:sz="4" w:space="0" w:color="auto"/>
            </w:tcBorders>
            <w:shd w:val="clear" w:color="auto" w:fill="auto"/>
            <w:noWrap/>
            <w:vAlign w:val="bottom"/>
            <w:hideMark/>
          </w:tcPr>
          <w:p w14:paraId="678B5506" w14:textId="77777777" w:rsidR="000C6138" w:rsidRPr="000E49F6" w:rsidRDefault="000C6138" w:rsidP="000C6138">
            <w:pPr>
              <w:spacing w:after="0" w:line="240" w:lineRule="auto"/>
              <w:rPr>
                <w:rFonts w:ascii="Calibri" w:eastAsia="Times New Roman" w:hAnsi="Calibri" w:cs="Times New Roman"/>
                <w:color w:val="0000FF"/>
                <w:sz w:val="18"/>
                <w:szCs w:val="18"/>
              </w:rPr>
            </w:pPr>
          </w:p>
        </w:tc>
        <w:tc>
          <w:tcPr>
            <w:tcW w:w="1020" w:type="dxa"/>
            <w:tcBorders>
              <w:bottom w:val="single" w:sz="4" w:space="0" w:color="auto"/>
            </w:tcBorders>
            <w:shd w:val="clear" w:color="auto" w:fill="auto"/>
            <w:noWrap/>
            <w:vAlign w:val="bottom"/>
            <w:hideMark/>
          </w:tcPr>
          <w:p w14:paraId="6749C535" w14:textId="77777777" w:rsidR="000C6138" w:rsidRPr="000E49F6" w:rsidRDefault="000C6138" w:rsidP="000C6138">
            <w:pPr>
              <w:spacing w:after="0" w:line="240" w:lineRule="auto"/>
              <w:rPr>
                <w:rFonts w:ascii="Calibri" w:eastAsia="Times New Roman" w:hAnsi="Calibri" w:cs="Times New Roman"/>
                <w:color w:val="0000FF"/>
                <w:sz w:val="18"/>
                <w:szCs w:val="18"/>
              </w:rPr>
            </w:pPr>
          </w:p>
        </w:tc>
      </w:tr>
      <w:tr w:rsidR="000E49F6" w:rsidRPr="000E49F6" w14:paraId="1037D100" w14:textId="77777777" w:rsidTr="00966ABF">
        <w:trPr>
          <w:trHeight w:val="225"/>
        </w:trPr>
        <w:tc>
          <w:tcPr>
            <w:tcW w:w="1407" w:type="dxa"/>
            <w:tcBorders>
              <w:top w:val="single" w:sz="4" w:space="0" w:color="auto"/>
            </w:tcBorders>
            <w:shd w:val="clear" w:color="auto" w:fill="auto"/>
            <w:noWrap/>
            <w:vAlign w:val="bottom"/>
            <w:hideMark/>
          </w:tcPr>
          <w:p w14:paraId="151973FE"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31" w:type="dxa"/>
            <w:tcBorders>
              <w:top w:val="single" w:sz="4" w:space="0" w:color="auto"/>
            </w:tcBorders>
            <w:shd w:val="clear" w:color="auto" w:fill="auto"/>
            <w:noWrap/>
            <w:vAlign w:val="bottom"/>
            <w:hideMark/>
          </w:tcPr>
          <w:p w14:paraId="0C839AA3"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407" w:type="dxa"/>
            <w:tcBorders>
              <w:top w:val="single" w:sz="4" w:space="0" w:color="auto"/>
            </w:tcBorders>
            <w:shd w:val="clear" w:color="auto" w:fill="auto"/>
            <w:noWrap/>
            <w:vAlign w:val="bottom"/>
            <w:hideMark/>
          </w:tcPr>
          <w:p w14:paraId="2FD01E02"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Denominator</w:t>
            </w:r>
          </w:p>
        </w:tc>
        <w:tc>
          <w:tcPr>
            <w:tcW w:w="1208" w:type="dxa"/>
            <w:tcBorders>
              <w:top w:val="single" w:sz="4" w:space="0" w:color="auto"/>
            </w:tcBorders>
            <w:shd w:val="clear" w:color="auto" w:fill="auto"/>
            <w:noWrap/>
            <w:vAlign w:val="bottom"/>
            <w:hideMark/>
          </w:tcPr>
          <w:p w14:paraId="5E1BEE71"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Numerator</w:t>
            </w:r>
          </w:p>
        </w:tc>
        <w:tc>
          <w:tcPr>
            <w:tcW w:w="1187" w:type="dxa"/>
            <w:tcBorders>
              <w:top w:val="single" w:sz="4" w:space="0" w:color="auto"/>
            </w:tcBorders>
            <w:shd w:val="clear" w:color="auto" w:fill="auto"/>
            <w:noWrap/>
            <w:vAlign w:val="bottom"/>
            <w:hideMark/>
          </w:tcPr>
          <w:p w14:paraId="70975C55"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Proportion</w:t>
            </w:r>
          </w:p>
        </w:tc>
        <w:tc>
          <w:tcPr>
            <w:tcW w:w="1860" w:type="dxa"/>
            <w:gridSpan w:val="2"/>
            <w:tcBorders>
              <w:top w:val="single" w:sz="4" w:space="0" w:color="auto"/>
            </w:tcBorders>
            <w:shd w:val="clear" w:color="auto" w:fill="auto"/>
            <w:noWrap/>
            <w:vAlign w:val="bottom"/>
            <w:hideMark/>
          </w:tcPr>
          <w:p w14:paraId="79BE2FAC"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95% Confidence Interval</w:t>
            </w:r>
          </w:p>
        </w:tc>
      </w:tr>
      <w:tr w:rsidR="000E49F6" w:rsidRPr="000E49F6" w14:paraId="7FFEB88F" w14:textId="77777777" w:rsidTr="00966ABF">
        <w:trPr>
          <w:trHeight w:val="225"/>
        </w:trPr>
        <w:tc>
          <w:tcPr>
            <w:tcW w:w="1407" w:type="dxa"/>
            <w:tcBorders>
              <w:bottom w:val="single" w:sz="4" w:space="0" w:color="auto"/>
            </w:tcBorders>
            <w:shd w:val="clear" w:color="auto" w:fill="auto"/>
            <w:noWrap/>
            <w:vAlign w:val="bottom"/>
            <w:hideMark/>
          </w:tcPr>
          <w:p w14:paraId="485995B0" w14:textId="77777777" w:rsidR="000C6138" w:rsidRPr="000E49F6" w:rsidRDefault="008C1C34" w:rsidP="008C1C34">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Match</w:t>
            </w:r>
          </w:p>
        </w:tc>
        <w:tc>
          <w:tcPr>
            <w:tcW w:w="1131" w:type="dxa"/>
            <w:tcBorders>
              <w:bottom w:val="single" w:sz="4" w:space="0" w:color="auto"/>
            </w:tcBorders>
            <w:shd w:val="clear" w:color="auto" w:fill="auto"/>
            <w:noWrap/>
            <w:vAlign w:val="bottom"/>
            <w:hideMark/>
          </w:tcPr>
          <w:p w14:paraId="2FD04C9E"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Scenario</w:t>
            </w:r>
          </w:p>
        </w:tc>
        <w:tc>
          <w:tcPr>
            <w:tcW w:w="1407" w:type="dxa"/>
            <w:tcBorders>
              <w:bottom w:val="single" w:sz="4" w:space="0" w:color="auto"/>
            </w:tcBorders>
            <w:shd w:val="clear" w:color="auto" w:fill="auto"/>
            <w:noWrap/>
            <w:vAlign w:val="bottom"/>
            <w:hideMark/>
          </w:tcPr>
          <w:p w14:paraId="65180E68"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n</w:t>
            </w:r>
          </w:p>
        </w:tc>
        <w:tc>
          <w:tcPr>
            <w:tcW w:w="1208" w:type="dxa"/>
            <w:tcBorders>
              <w:bottom w:val="single" w:sz="4" w:space="0" w:color="auto"/>
            </w:tcBorders>
            <w:shd w:val="clear" w:color="auto" w:fill="auto"/>
            <w:noWrap/>
            <w:vAlign w:val="bottom"/>
            <w:hideMark/>
          </w:tcPr>
          <w:p w14:paraId="66ED90C8"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x</w:t>
            </w:r>
          </w:p>
        </w:tc>
        <w:tc>
          <w:tcPr>
            <w:tcW w:w="1187" w:type="dxa"/>
            <w:tcBorders>
              <w:bottom w:val="single" w:sz="4" w:space="0" w:color="auto"/>
            </w:tcBorders>
            <w:shd w:val="clear" w:color="auto" w:fill="auto"/>
            <w:noWrap/>
            <w:vAlign w:val="bottom"/>
            <w:hideMark/>
          </w:tcPr>
          <w:p w14:paraId="42D8432A"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p = x/n</w:t>
            </w:r>
          </w:p>
        </w:tc>
        <w:tc>
          <w:tcPr>
            <w:tcW w:w="840" w:type="dxa"/>
            <w:tcBorders>
              <w:bottom w:val="single" w:sz="4" w:space="0" w:color="auto"/>
            </w:tcBorders>
            <w:shd w:val="clear" w:color="auto" w:fill="auto"/>
            <w:noWrap/>
            <w:vAlign w:val="bottom"/>
            <w:hideMark/>
          </w:tcPr>
          <w:p w14:paraId="7D957B6B"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LCL</w:t>
            </w:r>
          </w:p>
        </w:tc>
        <w:tc>
          <w:tcPr>
            <w:tcW w:w="1020" w:type="dxa"/>
            <w:tcBorders>
              <w:bottom w:val="single" w:sz="4" w:space="0" w:color="auto"/>
            </w:tcBorders>
            <w:shd w:val="clear" w:color="auto" w:fill="auto"/>
            <w:noWrap/>
            <w:vAlign w:val="bottom"/>
            <w:hideMark/>
          </w:tcPr>
          <w:p w14:paraId="6AACBDEA"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UCL</w:t>
            </w:r>
          </w:p>
        </w:tc>
      </w:tr>
      <w:tr w:rsidR="000E49F6" w:rsidRPr="000E49F6" w14:paraId="092890B5" w14:textId="77777777" w:rsidTr="00966ABF">
        <w:trPr>
          <w:trHeight w:val="240"/>
        </w:trPr>
        <w:tc>
          <w:tcPr>
            <w:tcW w:w="1407" w:type="dxa"/>
            <w:tcBorders>
              <w:top w:val="single" w:sz="4" w:space="0" w:color="auto"/>
            </w:tcBorders>
            <w:shd w:val="clear" w:color="auto" w:fill="auto"/>
            <w:noWrap/>
            <w:vAlign w:val="bottom"/>
            <w:hideMark/>
          </w:tcPr>
          <w:p w14:paraId="69FB3E22"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Total</w:t>
            </w:r>
          </w:p>
        </w:tc>
        <w:tc>
          <w:tcPr>
            <w:tcW w:w="1131" w:type="dxa"/>
            <w:tcBorders>
              <w:top w:val="single" w:sz="4" w:space="0" w:color="auto"/>
            </w:tcBorders>
            <w:shd w:val="clear" w:color="auto" w:fill="auto"/>
            <w:noWrap/>
            <w:vAlign w:val="bottom"/>
            <w:hideMark/>
          </w:tcPr>
          <w:p w14:paraId="668B85AD"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Exclude</w:t>
            </w:r>
          </w:p>
        </w:tc>
        <w:tc>
          <w:tcPr>
            <w:tcW w:w="1407" w:type="dxa"/>
            <w:tcBorders>
              <w:top w:val="single" w:sz="4" w:space="0" w:color="auto"/>
            </w:tcBorders>
            <w:shd w:val="clear" w:color="auto" w:fill="auto"/>
            <w:noWrap/>
            <w:vAlign w:val="bottom"/>
            <w:hideMark/>
          </w:tcPr>
          <w:p w14:paraId="11942A32"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71</w:t>
            </w:r>
          </w:p>
        </w:tc>
        <w:tc>
          <w:tcPr>
            <w:tcW w:w="1208" w:type="dxa"/>
            <w:tcBorders>
              <w:top w:val="single" w:sz="4" w:space="0" w:color="auto"/>
            </w:tcBorders>
            <w:shd w:val="clear" w:color="auto" w:fill="auto"/>
            <w:noWrap/>
            <w:vAlign w:val="bottom"/>
            <w:hideMark/>
          </w:tcPr>
          <w:p w14:paraId="7C238CAA"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59</w:t>
            </w:r>
          </w:p>
        </w:tc>
        <w:tc>
          <w:tcPr>
            <w:tcW w:w="1187" w:type="dxa"/>
            <w:tcBorders>
              <w:top w:val="single" w:sz="4" w:space="0" w:color="auto"/>
            </w:tcBorders>
            <w:shd w:val="clear" w:color="auto" w:fill="auto"/>
            <w:noWrap/>
            <w:vAlign w:val="bottom"/>
            <w:hideMark/>
          </w:tcPr>
          <w:p w14:paraId="7AD8410D"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0.831</w:t>
            </w:r>
          </w:p>
        </w:tc>
        <w:tc>
          <w:tcPr>
            <w:tcW w:w="840" w:type="dxa"/>
            <w:tcBorders>
              <w:top w:val="single" w:sz="4" w:space="0" w:color="auto"/>
            </w:tcBorders>
            <w:shd w:val="clear" w:color="auto" w:fill="auto"/>
            <w:noWrap/>
            <w:vAlign w:val="bottom"/>
            <w:hideMark/>
          </w:tcPr>
          <w:p w14:paraId="5544941F"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0.719</w:t>
            </w:r>
          </w:p>
        </w:tc>
        <w:tc>
          <w:tcPr>
            <w:tcW w:w="1020" w:type="dxa"/>
            <w:tcBorders>
              <w:top w:val="single" w:sz="4" w:space="0" w:color="auto"/>
            </w:tcBorders>
            <w:shd w:val="clear" w:color="auto" w:fill="auto"/>
            <w:noWrap/>
            <w:vAlign w:val="bottom"/>
            <w:hideMark/>
          </w:tcPr>
          <w:p w14:paraId="42F3419A"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0.906</w:t>
            </w:r>
          </w:p>
        </w:tc>
      </w:tr>
      <w:tr w:rsidR="000E49F6" w:rsidRPr="000E49F6" w14:paraId="07D0663C" w14:textId="77777777" w:rsidTr="00966ABF">
        <w:trPr>
          <w:trHeight w:val="240"/>
        </w:trPr>
        <w:tc>
          <w:tcPr>
            <w:tcW w:w="1407" w:type="dxa"/>
            <w:shd w:val="clear" w:color="auto" w:fill="auto"/>
            <w:noWrap/>
            <w:vAlign w:val="bottom"/>
            <w:hideMark/>
          </w:tcPr>
          <w:p w14:paraId="74442879"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31" w:type="dxa"/>
            <w:shd w:val="clear" w:color="auto" w:fill="auto"/>
            <w:noWrap/>
            <w:vAlign w:val="bottom"/>
            <w:hideMark/>
          </w:tcPr>
          <w:p w14:paraId="75D1970D"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As error</w:t>
            </w:r>
          </w:p>
        </w:tc>
        <w:tc>
          <w:tcPr>
            <w:tcW w:w="1407" w:type="dxa"/>
            <w:shd w:val="clear" w:color="auto" w:fill="auto"/>
            <w:noWrap/>
            <w:vAlign w:val="bottom"/>
            <w:hideMark/>
          </w:tcPr>
          <w:p w14:paraId="049CB98C"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73</w:t>
            </w:r>
          </w:p>
        </w:tc>
        <w:tc>
          <w:tcPr>
            <w:tcW w:w="1208" w:type="dxa"/>
            <w:shd w:val="clear" w:color="auto" w:fill="auto"/>
            <w:noWrap/>
            <w:vAlign w:val="bottom"/>
            <w:hideMark/>
          </w:tcPr>
          <w:p w14:paraId="0B86F206"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59</w:t>
            </w:r>
          </w:p>
        </w:tc>
        <w:tc>
          <w:tcPr>
            <w:tcW w:w="1187" w:type="dxa"/>
            <w:shd w:val="clear" w:color="auto" w:fill="auto"/>
            <w:noWrap/>
            <w:vAlign w:val="bottom"/>
            <w:hideMark/>
          </w:tcPr>
          <w:p w14:paraId="52FF9291"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0.808</w:t>
            </w:r>
          </w:p>
        </w:tc>
        <w:tc>
          <w:tcPr>
            <w:tcW w:w="840" w:type="dxa"/>
            <w:shd w:val="clear" w:color="auto" w:fill="auto"/>
            <w:noWrap/>
            <w:vAlign w:val="bottom"/>
            <w:hideMark/>
          </w:tcPr>
          <w:p w14:paraId="31A69BF8"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0.696</w:t>
            </w:r>
          </w:p>
        </w:tc>
        <w:tc>
          <w:tcPr>
            <w:tcW w:w="1020" w:type="dxa"/>
            <w:shd w:val="clear" w:color="auto" w:fill="auto"/>
            <w:noWrap/>
            <w:vAlign w:val="bottom"/>
            <w:hideMark/>
          </w:tcPr>
          <w:p w14:paraId="5FBA4405"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0.888</w:t>
            </w:r>
          </w:p>
        </w:tc>
      </w:tr>
      <w:tr w:rsidR="000E49F6" w:rsidRPr="000E49F6" w14:paraId="27FFC8C5" w14:textId="77777777" w:rsidTr="00966ABF">
        <w:trPr>
          <w:trHeight w:val="240"/>
        </w:trPr>
        <w:tc>
          <w:tcPr>
            <w:tcW w:w="1407" w:type="dxa"/>
            <w:shd w:val="clear" w:color="auto" w:fill="auto"/>
            <w:noWrap/>
            <w:vAlign w:val="bottom"/>
            <w:hideMark/>
          </w:tcPr>
          <w:p w14:paraId="60EECD48"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31" w:type="dxa"/>
            <w:shd w:val="clear" w:color="auto" w:fill="auto"/>
            <w:noWrap/>
            <w:vAlign w:val="bottom"/>
            <w:hideMark/>
          </w:tcPr>
          <w:p w14:paraId="444639EB"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As match</w:t>
            </w:r>
          </w:p>
        </w:tc>
        <w:tc>
          <w:tcPr>
            <w:tcW w:w="1407" w:type="dxa"/>
            <w:shd w:val="clear" w:color="auto" w:fill="auto"/>
            <w:noWrap/>
            <w:vAlign w:val="bottom"/>
            <w:hideMark/>
          </w:tcPr>
          <w:p w14:paraId="5528C263"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73</w:t>
            </w:r>
          </w:p>
        </w:tc>
        <w:tc>
          <w:tcPr>
            <w:tcW w:w="1208" w:type="dxa"/>
            <w:shd w:val="clear" w:color="auto" w:fill="auto"/>
            <w:noWrap/>
            <w:vAlign w:val="bottom"/>
            <w:hideMark/>
          </w:tcPr>
          <w:p w14:paraId="17B63DE3"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61</w:t>
            </w:r>
          </w:p>
        </w:tc>
        <w:tc>
          <w:tcPr>
            <w:tcW w:w="1187" w:type="dxa"/>
            <w:shd w:val="clear" w:color="auto" w:fill="auto"/>
            <w:noWrap/>
            <w:vAlign w:val="bottom"/>
            <w:hideMark/>
          </w:tcPr>
          <w:p w14:paraId="4570F2D9"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0.836</w:t>
            </w:r>
          </w:p>
        </w:tc>
        <w:tc>
          <w:tcPr>
            <w:tcW w:w="840" w:type="dxa"/>
            <w:shd w:val="clear" w:color="auto" w:fill="auto"/>
            <w:noWrap/>
            <w:vAlign w:val="bottom"/>
            <w:hideMark/>
          </w:tcPr>
          <w:p w14:paraId="19215051"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0.727</w:t>
            </w:r>
          </w:p>
        </w:tc>
        <w:tc>
          <w:tcPr>
            <w:tcW w:w="1020" w:type="dxa"/>
            <w:shd w:val="clear" w:color="auto" w:fill="auto"/>
            <w:noWrap/>
            <w:vAlign w:val="bottom"/>
            <w:hideMark/>
          </w:tcPr>
          <w:p w14:paraId="2E12F2F7"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0.909</w:t>
            </w:r>
          </w:p>
        </w:tc>
      </w:tr>
      <w:tr w:rsidR="000E49F6" w:rsidRPr="000E49F6" w14:paraId="7F2CE3F3" w14:textId="77777777" w:rsidTr="00966ABF">
        <w:trPr>
          <w:trHeight w:val="240"/>
        </w:trPr>
        <w:tc>
          <w:tcPr>
            <w:tcW w:w="1407" w:type="dxa"/>
            <w:shd w:val="clear" w:color="auto" w:fill="auto"/>
            <w:noWrap/>
            <w:vAlign w:val="bottom"/>
            <w:hideMark/>
          </w:tcPr>
          <w:p w14:paraId="1AC5FBA5"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Numerator</w:t>
            </w:r>
          </w:p>
        </w:tc>
        <w:tc>
          <w:tcPr>
            <w:tcW w:w="1131" w:type="dxa"/>
            <w:shd w:val="clear" w:color="auto" w:fill="auto"/>
            <w:noWrap/>
            <w:vAlign w:val="bottom"/>
            <w:hideMark/>
          </w:tcPr>
          <w:p w14:paraId="3853A6C2"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Exclude</w:t>
            </w:r>
          </w:p>
        </w:tc>
        <w:tc>
          <w:tcPr>
            <w:tcW w:w="1407" w:type="dxa"/>
            <w:shd w:val="clear" w:color="auto" w:fill="auto"/>
            <w:noWrap/>
            <w:vAlign w:val="bottom"/>
            <w:hideMark/>
          </w:tcPr>
          <w:p w14:paraId="7C3134B1"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68</w:t>
            </w:r>
          </w:p>
        </w:tc>
        <w:tc>
          <w:tcPr>
            <w:tcW w:w="1208" w:type="dxa"/>
            <w:shd w:val="clear" w:color="auto" w:fill="auto"/>
            <w:noWrap/>
            <w:vAlign w:val="bottom"/>
            <w:hideMark/>
          </w:tcPr>
          <w:p w14:paraId="06BF70CD"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59</w:t>
            </w:r>
          </w:p>
        </w:tc>
        <w:tc>
          <w:tcPr>
            <w:tcW w:w="1187" w:type="dxa"/>
            <w:shd w:val="clear" w:color="auto" w:fill="auto"/>
            <w:noWrap/>
            <w:vAlign w:val="bottom"/>
            <w:hideMark/>
          </w:tcPr>
          <w:p w14:paraId="79571DBE"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0.868</w:t>
            </w:r>
          </w:p>
        </w:tc>
        <w:tc>
          <w:tcPr>
            <w:tcW w:w="840" w:type="dxa"/>
            <w:shd w:val="clear" w:color="auto" w:fill="auto"/>
            <w:noWrap/>
            <w:vAlign w:val="bottom"/>
            <w:hideMark/>
          </w:tcPr>
          <w:p w14:paraId="1E1D07D9"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0.759</w:t>
            </w:r>
          </w:p>
        </w:tc>
        <w:tc>
          <w:tcPr>
            <w:tcW w:w="1020" w:type="dxa"/>
            <w:shd w:val="clear" w:color="auto" w:fill="auto"/>
            <w:noWrap/>
            <w:vAlign w:val="bottom"/>
            <w:hideMark/>
          </w:tcPr>
          <w:p w14:paraId="5AC2D331"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0.934</w:t>
            </w:r>
          </w:p>
        </w:tc>
      </w:tr>
      <w:tr w:rsidR="000E49F6" w:rsidRPr="000E49F6" w14:paraId="0F53F21A" w14:textId="77777777" w:rsidTr="00966ABF">
        <w:trPr>
          <w:trHeight w:val="240"/>
        </w:trPr>
        <w:tc>
          <w:tcPr>
            <w:tcW w:w="1407" w:type="dxa"/>
            <w:shd w:val="clear" w:color="auto" w:fill="auto"/>
            <w:noWrap/>
            <w:vAlign w:val="bottom"/>
            <w:hideMark/>
          </w:tcPr>
          <w:p w14:paraId="7831E9B8"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31" w:type="dxa"/>
            <w:shd w:val="clear" w:color="auto" w:fill="auto"/>
            <w:noWrap/>
            <w:vAlign w:val="bottom"/>
            <w:hideMark/>
          </w:tcPr>
          <w:p w14:paraId="2DE02F35"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As error</w:t>
            </w:r>
          </w:p>
        </w:tc>
        <w:tc>
          <w:tcPr>
            <w:tcW w:w="1407" w:type="dxa"/>
            <w:shd w:val="clear" w:color="auto" w:fill="auto"/>
            <w:noWrap/>
            <w:vAlign w:val="bottom"/>
            <w:hideMark/>
          </w:tcPr>
          <w:p w14:paraId="0C7FC55F"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70</w:t>
            </w:r>
          </w:p>
        </w:tc>
        <w:tc>
          <w:tcPr>
            <w:tcW w:w="1208" w:type="dxa"/>
            <w:shd w:val="clear" w:color="auto" w:fill="auto"/>
            <w:noWrap/>
            <w:vAlign w:val="bottom"/>
            <w:hideMark/>
          </w:tcPr>
          <w:p w14:paraId="1CC37B12"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59</w:t>
            </w:r>
          </w:p>
        </w:tc>
        <w:tc>
          <w:tcPr>
            <w:tcW w:w="1187" w:type="dxa"/>
            <w:shd w:val="clear" w:color="auto" w:fill="auto"/>
            <w:noWrap/>
            <w:vAlign w:val="bottom"/>
            <w:hideMark/>
          </w:tcPr>
          <w:p w14:paraId="125525CD"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0.843</w:t>
            </w:r>
          </w:p>
        </w:tc>
        <w:tc>
          <w:tcPr>
            <w:tcW w:w="840" w:type="dxa"/>
            <w:shd w:val="clear" w:color="auto" w:fill="auto"/>
            <w:noWrap/>
            <w:vAlign w:val="bottom"/>
            <w:hideMark/>
          </w:tcPr>
          <w:p w14:paraId="6797EF27"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0.732</w:t>
            </w:r>
          </w:p>
        </w:tc>
        <w:tc>
          <w:tcPr>
            <w:tcW w:w="1020" w:type="dxa"/>
            <w:shd w:val="clear" w:color="auto" w:fill="auto"/>
            <w:noWrap/>
            <w:vAlign w:val="bottom"/>
            <w:hideMark/>
          </w:tcPr>
          <w:p w14:paraId="4ABEA886"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0.915</w:t>
            </w:r>
          </w:p>
        </w:tc>
      </w:tr>
      <w:tr w:rsidR="000E49F6" w:rsidRPr="000E49F6" w14:paraId="224DE75F" w14:textId="77777777" w:rsidTr="00966ABF">
        <w:trPr>
          <w:trHeight w:val="240"/>
        </w:trPr>
        <w:tc>
          <w:tcPr>
            <w:tcW w:w="1407" w:type="dxa"/>
            <w:shd w:val="clear" w:color="auto" w:fill="auto"/>
            <w:noWrap/>
            <w:vAlign w:val="bottom"/>
            <w:hideMark/>
          </w:tcPr>
          <w:p w14:paraId="227B859F"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31" w:type="dxa"/>
            <w:shd w:val="clear" w:color="auto" w:fill="auto"/>
            <w:noWrap/>
            <w:vAlign w:val="bottom"/>
            <w:hideMark/>
          </w:tcPr>
          <w:p w14:paraId="77C1E4BF"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As match</w:t>
            </w:r>
          </w:p>
        </w:tc>
        <w:tc>
          <w:tcPr>
            <w:tcW w:w="1407" w:type="dxa"/>
            <w:shd w:val="clear" w:color="auto" w:fill="auto"/>
            <w:noWrap/>
            <w:vAlign w:val="bottom"/>
            <w:hideMark/>
          </w:tcPr>
          <w:p w14:paraId="6471783C"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70</w:t>
            </w:r>
          </w:p>
        </w:tc>
        <w:tc>
          <w:tcPr>
            <w:tcW w:w="1208" w:type="dxa"/>
            <w:shd w:val="clear" w:color="auto" w:fill="auto"/>
            <w:noWrap/>
            <w:vAlign w:val="bottom"/>
            <w:hideMark/>
          </w:tcPr>
          <w:p w14:paraId="701E7195"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61</w:t>
            </w:r>
          </w:p>
        </w:tc>
        <w:tc>
          <w:tcPr>
            <w:tcW w:w="1187" w:type="dxa"/>
            <w:shd w:val="clear" w:color="auto" w:fill="auto"/>
            <w:noWrap/>
            <w:vAlign w:val="bottom"/>
            <w:hideMark/>
          </w:tcPr>
          <w:p w14:paraId="5AF84E86"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0.871</w:t>
            </w:r>
          </w:p>
        </w:tc>
        <w:tc>
          <w:tcPr>
            <w:tcW w:w="840" w:type="dxa"/>
            <w:shd w:val="clear" w:color="auto" w:fill="auto"/>
            <w:noWrap/>
            <w:vAlign w:val="bottom"/>
            <w:hideMark/>
          </w:tcPr>
          <w:p w14:paraId="02E94C04"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0.765</w:t>
            </w:r>
          </w:p>
        </w:tc>
        <w:tc>
          <w:tcPr>
            <w:tcW w:w="1020" w:type="dxa"/>
            <w:shd w:val="clear" w:color="auto" w:fill="auto"/>
            <w:noWrap/>
            <w:vAlign w:val="bottom"/>
            <w:hideMark/>
          </w:tcPr>
          <w:p w14:paraId="4B15E70E"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0.936</w:t>
            </w:r>
          </w:p>
        </w:tc>
      </w:tr>
      <w:tr w:rsidR="000E49F6" w:rsidRPr="000E49F6" w14:paraId="102DC866" w14:textId="77777777" w:rsidTr="00966ABF">
        <w:trPr>
          <w:trHeight w:val="240"/>
        </w:trPr>
        <w:tc>
          <w:tcPr>
            <w:tcW w:w="1407" w:type="dxa"/>
            <w:shd w:val="clear" w:color="auto" w:fill="auto"/>
            <w:noWrap/>
            <w:vAlign w:val="bottom"/>
            <w:hideMark/>
          </w:tcPr>
          <w:p w14:paraId="21B1E57B"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Denominator</w:t>
            </w:r>
          </w:p>
        </w:tc>
        <w:tc>
          <w:tcPr>
            <w:tcW w:w="1131" w:type="dxa"/>
            <w:shd w:val="clear" w:color="auto" w:fill="auto"/>
            <w:noWrap/>
            <w:vAlign w:val="bottom"/>
            <w:hideMark/>
          </w:tcPr>
          <w:p w14:paraId="40BD5B7A"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Exclude</w:t>
            </w:r>
          </w:p>
        </w:tc>
        <w:tc>
          <w:tcPr>
            <w:tcW w:w="1407" w:type="dxa"/>
            <w:shd w:val="clear" w:color="auto" w:fill="auto"/>
            <w:noWrap/>
            <w:vAlign w:val="bottom"/>
            <w:hideMark/>
          </w:tcPr>
          <w:p w14:paraId="3B6B2F36"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71</w:t>
            </w:r>
          </w:p>
        </w:tc>
        <w:tc>
          <w:tcPr>
            <w:tcW w:w="1208" w:type="dxa"/>
            <w:shd w:val="clear" w:color="auto" w:fill="auto"/>
            <w:noWrap/>
            <w:vAlign w:val="bottom"/>
            <w:hideMark/>
          </w:tcPr>
          <w:p w14:paraId="19FF06EE"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68</w:t>
            </w:r>
          </w:p>
        </w:tc>
        <w:tc>
          <w:tcPr>
            <w:tcW w:w="1187" w:type="dxa"/>
            <w:shd w:val="clear" w:color="auto" w:fill="auto"/>
            <w:noWrap/>
            <w:vAlign w:val="bottom"/>
            <w:hideMark/>
          </w:tcPr>
          <w:p w14:paraId="67B9A9E8"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0.958</w:t>
            </w:r>
          </w:p>
        </w:tc>
        <w:tc>
          <w:tcPr>
            <w:tcW w:w="840" w:type="dxa"/>
            <w:shd w:val="clear" w:color="auto" w:fill="auto"/>
            <w:noWrap/>
            <w:vAlign w:val="bottom"/>
            <w:hideMark/>
          </w:tcPr>
          <w:p w14:paraId="58B81421"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0.873</w:t>
            </w:r>
          </w:p>
        </w:tc>
        <w:tc>
          <w:tcPr>
            <w:tcW w:w="1020" w:type="dxa"/>
            <w:shd w:val="clear" w:color="auto" w:fill="auto"/>
            <w:noWrap/>
            <w:vAlign w:val="bottom"/>
            <w:hideMark/>
          </w:tcPr>
          <w:p w14:paraId="28E91094"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0.989</w:t>
            </w:r>
          </w:p>
        </w:tc>
      </w:tr>
      <w:tr w:rsidR="000E49F6" w:rsidRPr="000E49F6" w14:paraId="3108ABC3" w14:textId="77777777" w:rsidTr="00966ABF">
        <w:trPr>
          <w:trHeight w:val="240"/>
        </w:trPr>
        <w:tc>
          <w:tcPr>
            <w:tcW w:w="1407" w:type="dxa"/>
            <w:shd w:val="clear" w:color="auto" w:fill="auto"/>
            <w:noWrap/>
            <w:vAlign w:val="bottom"/>
            <w:hideMark/>
          </w:tcPr>
          <w:p w14:paraId="476DA13C"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31" w:type="dxa"/>
            <w:shd w:val="clear" w:color="auto" w:fill="auto"/>
            <w:noWrap/>
            <w:vAlign w:val="bottom"/>
            <w:hideMark/>
          </w:tcPr>
          <w:p w14:paraId="53CF4CC4"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As error</w:t>
            </w:r>
          </w:p>
        </w:tc>
        <w:tc>
          <w:tcPr>
            <w:tcW w:w="1407" w:type="dxa"/>
            <w:shd w:val="clear" w:color="auto" w:fill="auto"/>
            <w:noWrap/>
            <w:vAlign w:val="bottom"/>
            <w:hideMark/>
          </w:tcPr>
          <w:p w14:paraId="52C0F077"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73</w:t>
            </w:r>
          </w:p>
        </w:tc>
        <w:tc>
          <w:tcPr>
            <w:tcW w:w="1208" w:type="dxa"/>
            <w:shd w:val="clear" w:color="auto" w:fill="auto"/>
            <w:noWrap/>
            <w:vAlign w:val="bottom"/>
            <w:hideMark/>
          </w:tcPr>
          <w:p w14:paraId="4ED5E956"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68</w:t>
            </w:r>
          </w:p>
        </w:tc>
        <w:tc>
          <w:tcPr>
            <w:tcW w:w="1187" w:type="dxa"/>
            <w:shd w:val="clear" w:color="auto" w:fill="auto"/>
            <w:noWrap/>
            <w:vAlign w:val="bottom"/>
            <w:hideMark/>
          </w:tcPr>
          <w:p w14:paraId="7F65557D"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0.932</w:t>
            </w:r>
          </w:p>
        </w:tc>
        <w:tc>
          <w:tcPr>
            <w:tcW w:w="840" w:type="dxa"/>
            <w:shd w:val="clear" w:color="auto" w:fill="auto"/>
            <w:noWrap/>
            <w:vAlign w:val="bottom"/>
            <w:hideMark/>
          </w:tcPr>
          <w:p w14:paraId="6D8DA706"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0.841</w:t>
            </w:r>
          </w:p>
        </w:tc>
        <w:tc>
          <w:tcPr>
            <w:tcW w:w="1020" w:type="dxa"/>
            <w:shd w:val="clear" w:color="auto" w:fill="auto"/>
            <w:noWrap/>
            <w:vAlign w:val="bottom"/>
            <w:hideMark/>
          </w:tcPr>
          <w:p w14:paraId="6E4D92E1"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0.975</w:t>
            </w:r>
          </w:p>
        </w:tc>
      </w:tr>
      <w:tr w:rsidR="000E49F6" w:rsidRPr="000E49F6" w14:paraId="639F0DC1" w14:textId="77777777" w:rsidTr="00966ABF">
        <w:trPr>
          <w:trHeight w:val="240"/>
        </w:trPr>
        <w:tc>
          <w:tcPr>
            <w:tcW w:w="1407" w:type="dxa"/>
            <w:tcBorders>
              <w:bottom w:val="single" w:sz="4" w:space="0" w:color="auto"/>
            </w:tcBorders>
            <w:shd w:val="clear" w:color="auto" w:fill="auto"/>
            <w:noWrap/>
            <w:vAlign w:val="bottom"/>
            <w:hideMark/>
          </w:tcPr>
          <w:p w14:paraId="34B23294"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 </w:t>
            </w:r>
          </w:p>
        </w:tc>
        <w:tc>
          <w:tcPr>
            <w:tcW w:w="1131" w:type="dxa"/>
            <w:tcBorders>
              <w:bottom w:val="single" w:sz="4" w:space="0" w:color="auto"/>
            </w:tcBorders>
            <w:shd w:val="clear" w:color="auto" w:fill="auto"/>
            <w:noWrap/>
            <w:vAlign w:val="bottom"/>
            <w:hideMark/>
          </w:tcPr>
          <w:p w14:paraId="334B3055" w14:textId="77777777" w:rsidR="000C6138" w:rsidRPr="000E49F6" w:rsidRDefault="000C6138" w:rsidP="000C6138">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As match</w:t>
            </w:r>
          </w:p>
        </w:tc>
        <w:tc>
          <w:tcPr>
            <w:tcW w:w="1407" w:type="dxa"/>
            <w:tcBorders>
              <w:bottom w:val="single" w:sz="4" w:space="0" w:color="auto"/>
            </w:tcBorders>
            <w:shd w:val="clear" w:color="auto" w:fill="auto"/>
            <w:noWrap/>
            <w:vAlign w:val="bottom"/>
            <w:hideMark/>
          </w:tcPr>
          <w:p w14:paraId="6689FB2D"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73</w:t>
            </w:r>
          </w:p>
        </w:tc>
        <w:tc>
          <w:tcPr>
            <w:tcW w:w="1208" w:type="dxa"/>
            <w:tcBorders>
              <w:bottom w:val="single" w:sz="4" w:space="0" w:color="auto"/>
            </w:tcBorders>
            <w:shd w:val="clear" w:color="auto" w:fill="auto"/>
            <w:noWrap/>
            <w:vAlign w:val="bottom"/>
            <w:hideMark/>
          </w:tcPr>
          <w:p w14:paraId="5675E66E"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70</w:t>
            </w:r>
          </w:p>
        </w:tc>
        <w:tc>
          <w:tcPr>
            <w:tcW w:w="1187" w:type="dxa"/>
            <w:tcBorders>
              <w:bottom w:val="single" w:sz="4" w:space="0" w:color="auto"/>
            </w:tcBorders>
            <w:shd w:val="clear" w:color="auto" w:fill="auto"/>
            <w:noWrap/>
            <w:vAlign w:val="bottom"/>
            <w:hideMark/>
          </w:tcPr>
          <w:p w14:paraId="0415F82F"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0.959</w:t>
            </w:r>
          </w:p>
        </w:tc>
        <w:tc>
          <w:tcPr>
            <w:tcW w:w="840" w:type="dxa"/>
            <w:tcBorders>
              <w:bottom w:val="single" w:sz="4" w:space="0" w:color="auto"/>
            </w:tcBorders>
            <w:shd w:val="clear" w:color="auto" w:fill="auto"/>
            <w:noWrap/>
            <w:vAlign w:val="bottom"/>
            <w:hideMark/>
          </w:tcPr>
          <w:p w14:paraId="59DEDDF7"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0.877</w:t>
            </w:r>
          </w:p>
        </w:tc>
        <w:tc>
          <w:tcPr>
            <w:tcW w:w="1020" w:type="dxa"/>
            <w:tcBorders>
              <w:bottom w:val="single" w:sz="4" w:space="0" w:color="auto"/>
            </w:tcBorders>
            <w:shd w:val="clear" w:color="auto" w:fill="auto"/>
            <w:noWrap/>
            <w:vAlign w:val="bottom"/>
            <w:hideMark/>
          </w:tcPr>
          <w:p w14:paraId="55F64417" w14:textId="77777777" w:rsidR="000C6138" w:rsidRPr="000E49F6" w:rsidRDefault="000C6138" w:rsidP="000C6138">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0.989</w:t>
            </w:r>
          </w:p>
        </w:tc>
      </w:tr>
    </w:tbl>
    <w:p w14:paraId="67DF986D" w14:textId="77777777" w:rsidR="002C3373" w:rsidRDefault="002C3373" w:rsidP="000C6138">
      <w:pPr>
        <w:autoSpaceDE w:val="0"/>
        <w:autoSpaceDN w:val="0"/>
        <w:adjustRightInd w:val="0"/>
        <w:spacing w:after="0" w:line="240" w:lineRule="auto"/>
        <w:rPr>
          <w:rFonts w:cstheme="minorHAnsi"/>
          <w:bCs/>
          <w:color w:val="0000FF"/>
        </w:rPr>
      </w:pPr>
    </w:p>
    <w:p w14:paraId="07E77C58" w14:textId="77777777" w:rsidR="008C1C34" w:rsidRDefault="008C1C34">
      <w:pPr>
        <w:rPr>
          <w:rFonts w:cstheme="minorHAnsi"/>
          <w:bCs/>
          <w:color w:val="0000FF"/>
        </w:rPr>
      </w:pPr>
    </w:p>
    <w:tbl>
      <w:tblPr>
        <w:tblW w:w="4259" w:type="dxa"/>
        <w:tblInd w:w="93" w:type="dxa"/>
        <w:tblLook w:val="04A0" w:firstRow="1" w:lastRow="0" w:firstColumn="1" w:lastColumn="0" w:noHBand="0" w:noVBand="1"/>
      </w:tblPr>
      <w:tblGrid>
        <w:gridCol w:w="1488"/>
        <w:gridCol w:w="768"/>
        <w:gridCol w:w="667"/>
        <w:gridCol w:w="1114"/>
        <w:gridCol w:w="222"/>
      </w:tblGrid>
      <w:tr w:rsidR="000E49F6" w:rsidRPr="000E49F6" w14:paraId="6D2FDB4E" w14:textId="77777777" w:rsidTr="009D4A01">
        <w:trPr>
          <w:trHeight w:val="585"/>
        </w:trPr>
        <w:tc>
          <w:tcPr>
            <w:tcW w:w="4259" w:type="dxa"/>
            <w:gridSpan w:val="5"/>
            <w:tcBorders>
              <w:top w:val="nil"/>
              <w:left w:val="nil"/>
              <w:bottom w:val="nil"/>
              <w:right w:val="nil"/>
            </w:tcBorders>
            <w:shd w:val="clear" w:color="auto" w:fill="auto"/>
            <w:vAlign w:val="bottom"/>
            <w:hideMark/>
          </w:tcPr>
          <w:p w14:paraId="569A0147" w14:textId="77777777" w:rsidR="00126D2F" w:rsidRPr="00D73D28" w:rsidRDefault="00126D2F" w:rsidP="00126D2F">
            <w:pPr>
              <w:spacing w:after="0" w:line="240" w:lineRule="auto"/>
              <w:rPr>
                <w:rFonts w:ascii="Calibri" w:eastAsia="Times New Roman" w:hAnsi="Calibri" w:cs="Times New Roman"/>
                <w:color w:val="0000FF"/>
              </w:rPr>
            </w:pPr>
            <w:r w:rsidRPr="00D73D28">
              <w:rPr>
                <w:rFonts w:ascii="Calibri" w:eastAsia="Times New Roman" w:hAnsi="Calibri" w:cs="Times New Roman"/>
                <w:color w:val="0000FF"/>
              </w:rPr>
              <w:lastRenderedPageBreak/>
              <w:t>Table 3. Distribution of Optimal ESRD Start counts for Region and Source.</w:t>
            </w:r>
          </w:p>
        </w:tc>
      </w:tr>
      <w:tr w:rsidR="000E49F6" w:rsidRPr="000E49F6" w14:paraId="6238FF57" w14:textId="77777777" w:rsidTr="009D4A01">
        <w:trPr>
          <w:trHeight w:val="300"/>
        </w:trPr>
        <w:tc>
          <w:tcPr>
            <w:tcW w:w="1488" w:type="dxa"/>
            <w:tcBorders>
              <w:top w:val="nil"/>
              <w:left w:val="nil"/>
              <w:bottom w:val="nil"/>
              <w:right w:val="nil"/>
            </w:tcBorders>
            <w:shd w:val="clear" w:color="auto" w:fill="auto"/>
            <w:noWrap/>
            <w:hideMark/>
          </w:tcPr>
          <w:p w14:paraId="5FFD295C" w14:textId="77777777" w:rsidR="00126D2F" w:rsidRPr="000E49F6" w:rsidRDefault="00126D2F" w:rsidP="00126D2F">
            <w:pPr>
              <w:spacing w:after="0" w:line="240" w:lineRule="auto"/>
              <w:rPr>
                <w:rFonts w:ascii="Calibri" w:eastAsia="Times New Roman" w:hAnsi="Calibri" w:cs="Times New Roman"/>
                <w:color w:val="0000FF"/>
                <w:sz w:val="18"/>
                <w:szCs w:val="18"/>
              </w:rPr>
            </w:pPr>
          </w:p>
        </w:tc>
        <w:tc>
          <w:tcPr>
            <w:tcW w:w="1435" w:type="dxa"/>
            <w:gridSpan w:val="2"/>
            <w:tcBorders>
              <w:top w:val="nil"/>
              <w:left w:val="nil"/>
              <w:bottom w:val="single" w:sz="4" w:space="0" w:color="auto"/>
              <w:right w:val="nil"/>
            </w:tcBorders>
            <w:shd w:val="clear" w:color="auto" w:fill="auto"/>
            <w:noWrap/>
            <w:hideMark/>
          </w:tcPr>
          <w:p w14:paraId="0E28892A" w14:textId="77777777" w:rsidR="00126D2F" w:rsidRPr="000E49F6" w:rsidRDefault="00126D2F" w:rsidP="00126D2F">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Source</w:t>
            </w:r>
          </w:p>
        </w:tc>
        <w:tc>
          <w:tcPr>
            <w:tcW w:w="1114" w:type="dxa"/>
            <w:tcBorders>
              <w:top w:val="nil"/>
              <w:left w:val="nil"/>
              <w:bottom w:val="nil"/>
              <w:right w:val="nil"/>
            </w:tcBorders>
            <w:shd w:val="clear" w:color="auto" w:fill="auto"/>
            <w:noWrap/>
            <w:hideMark/>
          </w:tcPr>
          <w:p w14:paraId="4422C276" w14:textId="77777777" w:rsidR="00126D2F" w:rsidRPr="000E49F6" w:rsidRDefault="00126D2F" w:rsidP="00126D2F">
            <w:pPr>
              <w:spacing w:after="0" w:line="240" w:lineRule="auto"/>
              <w:rPr>
                <w:rFonts w:ascii="Calibri" w:eastAsia="Times New Roman" w:hAnsi="Calibri" w:cs="Times New Roman"/>
                <w:color w:val="0000FF"/>
                <w:sz w:val="18"/>
                <w:szCs w:val="18"/>
              </w:rPr>
            </w:pPr>
          </w:p>
        </w:tc>
        <w:tc>
          <w:tcPr>
            <w:tcW w:w="222" w:type="dxa"/>
            <w:tcBorders>
              <w:top w:val="nil"/>
              <w:left w:val="nil"/>
              <w:bottom w:val="nil"/>
              <w:right w:val="nil"/>
            </w:tcBorders>
            <w:shd w:val="clear" w:color="auto" w:fill="auto"/>
            <w:noWrap/>
            <w:vAlign w:val="bottom"/>
            <w:hideMark/>
          </w:tcPr>
          <w:p w14:paraId="048AF72C" w14:textId="77777777" w:rsidR="00126D2F" w:rsidRPr="000E49F6" w:rsidRDefault="00126D2F" w:rsidP="00126D2F">
            <w:pPr>
              <w:spacing w:after="0" w:line="240" w:lineRule="auto"/>
              <w:rPr>
                <w:rFonts w:ascii="Calibri" w:eastAsia="Times New Roman" w:hAnsi="Calibri" w:cs="Times New Roman"/>
                <w:color w:val="0000FF"/>
                <w:sz w:val="18"/>
                <w:szCs w:val="18"/>
              </w:rPr>
            </w:pPr>
          </w:p>
        </w:tc>
      </w:tr>
      <w:tr w:rsidR="000E49F6" w:rsidRPr="000E49F6" w14:paraId="4F3F3B18" w14:textId="77777777" w:rsidTr="009D4A01">
        <w:trPr>
          <w:trHeight w:val="300"/>
        </w:trPr>
        <w:tc>
          <w:tcPr>
            <w:tcW w:w="1488" w:type="dxa"/>
            <w:tcBorders>
              <w:top w:val="nil"/>
              <w:left w:val="nil"/>
              <w:bottom w:val="single" w:sz="4" w:space="0" w:color="auto"/>
              <w:right w:val="nil"/>
            </w:tcBorders>
            <w:shd w:val="clear" w:color="auto" w:fill="auto"/>
            <w:noWrap/>
            <w:hideMark/>
          </w:tcPr>
          <w:p w14:paraId="3FA89AD3" w14:textId="77777777" w:rsidR="00126D2F" w:rsidRPr="000E49F6" w:rsidRDefault="00126D2F" w:rsidP="00126D2F">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Region</w:t>
            </w:r>
          </w:p>
        </w:tc>
        <w:tc>
          <w:tcPr>
            <w:tcW w:w="768" w:type="dxa"/>
            <w:tcBorders>
              <w:top w:val="nil"/>
              <w:left w:val="nil"/>
              <w:bottom w:val="single" w:sz="4" w:space="0" w:color="auto"/>
              <w:right w:val="nil"/>
            </w:tcBorders>
            <w:shd w:val="clear" w:color="auto" w:fill="auto"/>
            <w:noWrap/>
            <w:hideMark/>
          </w:tcPr>
          <w:p w14:paraId="424871E9" w14:textId="77777777" w:rsidR="00126D2F" w:rsidRPr="000E49F6" w:rsidRDefault="00126D2F" w:rsidP="00126D2F">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Yes</w:t>
            </w:r>
          </w:p>
        </w:tc>
        <w:tc>
          <w:tcPr>
            <w:tcW w:w="667" w:type="dxa"/>
            <w:tcBorders>
              <w:top w:val="nil"/>
              <w:left w:val="nil"/>
              <w:bottom w:val="single" w:sz="4" w:space="0" w:color="auto"/>
              <w:right w:val="nil"/>
            </w:tcBorders>
            <w:shd w:val="clear" w:color="auto" w:fill="auto"/>
            <w:noWrap/>
            <w:hideMark/>
          </w:tcPr>
          <w:p w14:paraId="7046C8A4" w14:textId="77777777" w:rsidR="00126D2F" w:rsidRPr="000E49F6" w:rsidRDefault="00126D2F" w:rsidP="00126D2F">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No</w:t>
            </w:r>
          </w:p>
        </w:tc>
        <w:tc>
          <w:tcPr>
            <w:tcW w:w="1114" w:type="dxa"/>
            <w:tcBorders>
              <w:top w:val="nil"/>
              <w:left w:val="nil"/>
              <w:bottom w:val="single" w:sz="4" w:space="0" w:color="auto"/>
              <w:right w:val="nil"/>
            </w:tcBorders>
            <w:shd w:val="clear" w:color="auto" w:fill="auto"/>
            <w:noWrap/>
            <w:hideMark/>
          </w:tcPr>
          <w:p w14:paraId="668C22FA" w14:textId="77777777" w:rsidR="00126D2F" w:rsidRPr="000E49F6" w:rsidRDefault="00126D2F" w:rsidP="00126D2F">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Total</w:t>
            </w:r>
          </w:p>
        </w:tc>
        <w:tc>
          <w:tcPr>
            <w:tcW w:w="222" w:type="dxa"/>
            <w:tcBorders>
              <w:top w:val="nil"/>
              <w:left w:val="nil"/>
              <w:bottom w:val="nil"/>
              <w:right w:val="nil"/>
            </w:tcBorders>
            <w:shd w:val="clear" w:color="auto" w:fill="auto"/>
            <w:noWrap/>
            <w:vAlign w:val="bottom"/>
            <w:hideMark/>
          </w:tcPr>
          <w:p w14:paraId="2926C423" w14:textId="77777777" w:rsidR="00126D2F" w:rsidRPr="000E49F6" w:rsidRDefault="00126D2F" w:rsidP="00126D2F">
            <w:pPr>
              <w:spacing w:after="0" w:line="240" w:lineRule="auto"/>
              <w:rPr>
                <w:rFonts w:ascii="Calibri" w:eastAsia="Times New Roman" w:hAnsi="Calibri" w:cs="Times New Roman"/>
                <w:color w:val="0000FF"/>
                <w:sz w:val="18"/>
                <w:szCs w:val="18"/>
              </w:rPr>
            </w:pPr>
          </w:p>
        </w:tc>
      </w:tr>
      <w:tr w:rsidR="000E49F6" w:rsidRPr="000E49F6" w14:paraId="3F17FE33" w14:textId="77777777" w:rsidTr="009D4A01">
        <w:trPr>
          <w:trHeight w:val="300"/>
        </w:trPr>
        <w:tc>
          <w:tcPr>
            <w:tcW w:w="1488" w:type="dxa"/>
            <w:tcBorders>
              <w:top w:val="nil"/>
              <w:left w:val="nil"/>
              <w:bottom w:val="nil"/>
              <w:right w:val="nil"/>
            </w:tcBorders>
            <w:shd w:val="clear" w:color="auto" w:fill="auto"/>
            <w:noWrap/>
            <w:hideMark/>
          </w:tcPr>
          <w:p w14:paraId="47CAF364" w14:textId="77777777" w:rsidR="00126D2F" w:rsidRPr="000E49F6" w:rsidRDefault="00126D2F" w:rsidP="00126D2F">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Yes</w:t>
            </w:r>
          </w:p>
        </w:tc>
        <w:tc>
          <w:tcPr>
            <w:tcW w:w="768" w:type="dxa"/>
            <w:tcBorders>
              <w:top w:val="nil"/>
              <w:left w:val="nil"/>
              <w:bottom w:val="nil"/>
              <w:right w:val="nil"/>
            </w:tcBorders>
            <w:shd w:val="clear" w:color="auto" w:fill="auto"/>
            <w:noWrap/>
            <w:hideMark/>
          </w:tcPr>
          <w:p w14:paraId="4FE81DD7" w14:textId="77777777" w:rsidR="00126D2F" w:rsidRPr="000E49F6" w:rsidRDefault="00126D2F" w:rsidP="00126D2F">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33</w:t>
            </w:r>
          </w:p>
        </w:tc>
        <w:tc>
          <w:tcPr>
            <w:tcW w:w="667" w:type="dxa"/>
            <w:tcBorders>
              <w:top w:val="nil"/>
              <w:left w:val="nil"/>
              <w:bottom w:val="nil"/>
              <w:right w:val="nil"/>
            </w:tcBorders>
            <w:shd w:val="clear" w:color="auto" w:fill="auto"/>
            <w:noWrap/>
            <w:hideMark/>
          </w:tcPr>
          <w:p w14:paraId="16CDAB22" w14:textId="77777777" w:rsidR="00126D2F" w:rsidRPr="000E49F6" w:rsidRDefault="00126D2F" w:rsidP="00126D2F">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2</w:t>
            </w:r>
          </w:p>
        </w:tc>
        <w:tc>
          <w:tcPr>
            <w:tcW w:w="1114" w:type="dxa"/>
            <w:tcBorders>
              <w:top w:val="nil"/>
              <w:left w:val="nil"/>
              <w:bottom w:val="nil"/>
              <w:right w:val="nil"/>
            </w:tcBorders>
            <w:shd w:val="clear" w:color="auto" w:fill="auto"/>
            <w:noWrap/>
            <w:hideMark/>
          </w:tcPr>
          <w:p w14:paraId="6B2AEBA6" w14:textId="77777777" w:rsidR="00126D2F" w:rsidRPr="000E49F6" w:rsidRDefault="00126D2F" w:rsidP="00126D2F">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35</w:t>
            </w:r>
          </w:p>
        </w:tc>
        <w:tc>
          <w:tcPr>
            <w:tcW w:w="222" w:type="dxa"/>
            <w:tcBorders>
              <w:top w:val="nil"/>
              <w:left w:val="nil"/>
              <w:bottom w:val="nil"/>
              <w:right w:val="nil"/>
            </w:tcBorders>
            <w:shd w:val="clear" w:color="auto" w:fill="auto"/>
            <w:noWrap/>
            <w:vAlign w:val="bottom"/>
            <w:hideMark/>
          </w:tcPr>
          <w:p w14:paraId="689F3743" w14:textId="77777777" w:rsidR="00126D2F" w:rsidRPr="000E49F6" w:rsidRDefault="00126D2F" w:rsidP="00126D2F">
            <w:pPr>
              <w:spacing w:after="0" w:line="240" w:lineRule="auto"/>
              <w:rPr>
                <w:rFonts w:ascii="Calibri" w:eastAsia="Times New Roman" w:hAnsi="Calibri" w:cs="Times New Roman"/>
                <w:color w:val="0000FF"/>
                <w:sz w:val="18"/>
                <w:szCs w:val="18"/>
              </w:rPr>
            </w:pPr>
          </w:p>
        </w:tc>
      </w:tr>
      <w:tr w:rsidR="000E49F6" w:rsidRPr="000E49F6" w14:paraId="60F1F3AE" w14:textId="77777777" w:rsidTr="009D4A01">
        <w:trPr>
          <w:trHeight w:val="300"/>
        </w:trPr>
        <w:tc>
          <w:tcPr>
            <w:tcW w:w="1488" w:type="dxa"/>
            <w:tcBorders>
              <w:top w:val="nil"/>
              <w:left w:val="nil"/>
              <w:bottom w:val="single" w:sz="4" w:space="0" w:color="auto"/>
              <w:right w:val="nil"/>
            </w:tcBorders>
            <w:shd w:val="clear" w:color="auto" w:fill="auto"/>
            <w:noWrap/>
            <w:hideMark/>
          </w:tcPr>
          <w:p w14:paraId="167FC3D8" w14:textId="77777777" w:rsidR="00126D2F" w:rsidRPr="000E49F6" w:rsidRDefault="00126D2F" w:rsidP="00126D2F">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No</w:t>
            </w:r>
          </w:p>
        </w:tc>
        <w:tc>
          <w:tcPr>
            <w:tcW w:w="768" w:type="dxa"/>
            <w:tcBorders>
              <w:top w:val="nil"/>
              <w:left w:val="nil"/>
              <w:bottom w:val="single" w:sz="4" w:space="0" w:color="auto"/>
              <w:right w:val="nil"/>
            </w:tcBorders>
            <w:shd w:val="clear" w:color="auto" w:fill="auto"/>
            <w:noWrap/>
            <w:hideMark/>
          </w:tcPr>
          <w:p w14:paraId="3E88FCBA" w14:textId="77777777" w:rsidR="00126D2F" w:rsidRPr="000E49F6" w:rsidRDefault="00126D2F" w:rsidP="00126D2F">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7</w:t>
            </w:r>
          </w:p>
        </w:tc>
        <w:tc>
          <w:tcPr>
            <w:tcW w:w="667" w:type="dxa"/>
            <w:tcBorders>
              <w:top w:val="nil"/>
              <w:left w:val="nil"/>
              <w:bottom w:val="single" w:sz="4" w:space="0" w:color="auto"/>
              <w:right w:val="nil"/>
            </w:tcBorders>
            <w:shd w:val="clear" w:color="auto" w:fill="auto"/>
            <w:noWrap/>
            <w:hideMark/>
          </w:tcPr>
          <w:p w14:paraId="28543B72" w14:textId="77777777" w:rsidR="00126D2F" w:rsidRPr="000E49F6" w:rsidRDefault="00126D2F" w:rsidP="00126D2F">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26</w:t>
            </w:r>
          </w:p>
        </w:tc>
        <w:tc>
          <w:tcPr>
            <w:tcW w:w="1114" w:type="dxa"/>
            <w:tcBorders>
              <w:top w:val="nil"/>
              <w:left w:val="nil"/>
              <w:bottom w:val="single" w:sz="4" w:space="0" w:color="auto"/>
              <w:right w:val="nil"/>
            </w:tcBorders>
            <w:shd w:val="clear" w:color="auto" w:fill="auto"/>
            <w:noWrap/>
            <w:hideMark/>
          </w:tcPr>
          <w:p w14:paraId="42795004" w14:textId="77777777" w:rsidR="00126D2F" w:rsidRPr="000E49F6" w:rsidRDefault="00126D2F" w:rsidP="00126D2F">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33</w:t>
            </w:r>
          </w:p>
        </w:tc>
        <w:tc>
          <w:tcPr>
            <w:tcW w:w="222" w:type="dxa"/>
            <w:tcBorders>
              <w:top w:val="nil"/>
              <w:left w:val="nil"/>
              <w:bottom w:val="nil"/>
              <w:right w:val="nil"/>
            </w:tcBorders>
            <w:shd w:val="clear" w:color="auto" w:fill="auto"/>
            <w:noWrap/>
            <w:vAlign w:val="bottom"/>
            <w:hideMark/>
          </w:tcPr>
          <w:p w14:paraId="42FF8DDB" w14:textId="77777777" w:rsidR="00126D2F" w:rsidRPr="000E49F6" w:rsidRDefault="00126D2F" w:rsidP="00126D2F">
            <w:pPr>
              <w:spacing w:after="0" w:line="240" w:lineRule="auto"/>
              <w:rPr>
                <w:rFonts w:ascii="Calibri" w:eastAsia="Times New Roman" w:hAnsi="Calibri" w:cs="Times New Roman"/>
                <w:color w:val="0000FF"/>
                <w:sz w:val="18"/>
                <w:szCs w:val="18"/>
              </w:rPr>
            </w:pPr>
          </w:p>
        </w:tc>
      </w:tr>
      <w:tr w:rsidR="000E49F6" w:rsidRPr="000E49F6" w14:paraId="328C55B8" w14:textId="77777777" w:rsidTr="009D4A01">
        <w:trPr>
          <w:trHeight w:val="300"/>
        </w:trPr>
        <w:tc>
          <w:tcPr>
            <w:tcW w:w="1488" w:type="dxa"/>
            <w:tcBorders>
              <w:top w:val="nil"/>
              <w:left w:val="nil"/>
              <w:bottom w:val="nil"/>
              <w:right w:val="nil"/>
            </w:tcBorders>
            <w:shd w:val="clear" w:color="auto" w:fill="auto"/>
            <w:noWrap/>
            <w:hideMark/>
          </w:tcPr>
          <w:p w14:paraId="3D1E5458" w14:textId="77777777" w:rsidR="00126D2F" w:rsidRPr="000E49F6" w:rsidRDefault="00126D2F" w:rsidP="00126D2F">
            <w:pPr>
              <w:spacing w:after="0" w:line="240" w:lineRule="auto"/>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Total</w:t>
            </w:r>
          </w:p>
        </w:tc>
        <w:tc>
          <w:tcPr>
            <w:tcW w:w="768" w:type="dxa"/>
            <w:tcBorders>
              <w:top w:val="nil"/>
              <w:left w:val="nil"/>
              <w:bottom w:val="nil"/>
              <w:right w:val="nil"/>
            </w:tcBorders>
            <w:shd w:val="clear" w:color="auto" w:fill="auto"/>
            <w:noWrap/>
            <w:hideMark/>
          </w:tcPr>
          <w:p w14:paraId="4F9690A8" w14:textId="77777777" w:rsidR="00126D2F" w:rsidRPr="000E49F6" w:rsidRDefault="00126D2F" w:rsidP="00126D2F">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40</w:t>
            </w:r>
          </w:p>
        </w:tc>
        <w:tc>
          <w:tcPr>
            <w:tcW w:w="667" w:type="dxa"/>
            <w:tcBorders>
              <w:top w:val="nil"/>
              <w:left w:val="nil"/>
              <w:bottom w:val="nil"/>
              <w:right w:val="nil"/>
            </w:tcBorders>
            <w:shd w:val="clear" w:color="auto" w:fill="auto"/>
            <w:noWrap/>
            <w:hideMark/>
          </w:tcPr>
          <w:p w14:paraId="5E384AF5" w14:textId="77777777" w:rsidR="00126D2F" w:rsidRPr="000E49F6" w:rsidRDefault="00126D2F" w:rsidP="00126D2F">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28</w:t>
            </w:r>
          </w:p>
        </w:tc>
        <w:tc>
          <w:tcPr>
            <w:tcW w:w="1114" w:type="dxa"/>
            <w:tcBorders>
              <w:top w:val="nil"/>
              <w:left w:val="nil"/>
              <w:bottom w:val="nil"/>
              <w:right w:val="nil"/>
            </w:tcBorders>
            <w:shd w:val="clear" w:color="auto" w:fill="auto"/>
            <w:noWrap/>
            <w:hideMark/>
          </w:tcPr>
          <w:p w14:paraId="30A06F3F" w14:textId="77777777" w:rsidR="00126D2F" w:rsidRPr="000E49F6" w:rsidRDefault="00126D2F" w:rsidP="00126D2F">
            <w:pPr>
              <w:spacing w:after="0" w:line="240" w:lineRule="auto"/>
              <w:jc w:val="center"/>
              <w:rPr>
                <w:rFonts w:ascii="Calibri" w:eastAsia="Times New Roman" w:hAnsi="Calibri" w:cs="Times New Roman"/>
                <w:color w:val="0000FF"/>
                <w:sz w:val="18"/>
                <w:szCs w:val="18"/>
              </w:rPr>
            </w:pPr>
            <w:r w:rsidRPr="000E49F6">
              <w:rPr>
                <w:rFonts w:ascii="Calibri" w:eastAsia="Times New Roman" w:hAnsi="Calibri" w:cs="Times New Roman"/>
                <w:color w:val="0000FF"/>
                <w:sz w:val="18"/>
                <w:szCs w:val="18"/>
              </w:rPr>
              <w:t>68</w:t>
            </w:r>
          </w:p>
        </w:tc>
        <w:tc>
          <w:tcPr>
            <w:tcW w:w="222" w:type="dxa"/>
            <w:tcBorders>
              <w:top w:val="nil"/>
              <w:left w:val="nil"/>
              <w:bottom w:val="nil"/>
              <w:right w:val="nil"/>
            </w:tcBorders>
            <w:shd w:val="clear" w:color="auto" w:fill="auto"/>
            <w:noWrap/>
            <w:vAlign w:val="bottom"/>
            <w:hideMark/>
          </w:tcPr>
          <w:p w14:paraId="15D8A05A" w14:textId="77777777" w:rsidR="00126D2F" w:rsidRPr="000E49F6" w:rsidRDefault="00126D2F" w:rsidP="00126D2F">
            <w:pPr>
              <w:spacing w:after="0" w:line="240" w:lineRule="auto"/>
              <w:rPr>
                <w:rFonts w:ascii="Calibri" w:eastAsia="Times New Roman" w:hAnsi="Calibri" w:cs="Times New Roman"/>
                <w:color w:val="0000FF"/>
                <w:sz w:val="18"/>
                <w:szCs w:val="18"/>
              </w:rPr>
            </w:pPr>
          </w:p>
        </w:tc>
      </w:tr>
    </w:tbl>
    <w:p w14:paraId="4CC13016" w14:textId="77777777" w:rsidR="009638BD" w:rsidRDefault="009638BD" w:rsidP="00F019D5">
      <w:pPr>
        <w:autoSpaceDE w:val="0"/>
        <w:autoSpaceDN w:val="0"/>
        <w:adjustRightInd w:val="0"/>
        <w:spacing w:after="0" w:line="240" w:lineRule="auto"/>
        <w:rPr>
          <w:rFonts w:cstheme="minorHAnsi"/>
          <w:bCs/>
          <w:color w:val="0000FF"/>
        </w:rPr>
      </w:pPr>
    </w:p>
    <w:p w14:paraId="2A5E9755" w14:textId="77777777" w:rsidR="007F2779" w:rsidRDefault="007F2779" w:rsidP="00F019D5">
      <w:pPr>
        <w:autoSpaceDE w:val="0"/>
        <w:autoSpaceDN w:val="0"/>
        <w:adjustRightInd w:val="0"/>
        <w:spacing w:after="0" w:line="240" w:lineRule="auto"/>
        <w:rPr>
          <w:rFonts w:cstheme="minorHAnsi"/>
          <w:bCs/>
          <w:color w:val="0000FF"/>
        </w:rPr>
      </w:pPr>
    </w:p>
    <w:tbl>
      <w:tblPr>
        <w:tblW w:w="9483" w:type="dxa"/>
        <w:tblInd w:w="93" w:type="dxa"/>
        <w:tblLook w:val="04A0" w:firstRow="1" w:lastRow="0" w:firstColumn="1" w:lastColumn="0" w:noHBand="0" w:noVBand="1"/>
      </w:tblPr>
      <w:tblGrid>
        <w:gridCol w:w="915"/>
        <w:gridCol w:w="1260"/>
        <w:gridCol w:w="1020"/>
        <w:gridCol w:w="1320"/>
        <w:gridCol w:w="1350"/>
        <w:gridCol w:w="536"/>
        <w:gridCol w:w="454"/>
        <w:gridCol w:w="1350"/>
        <w:gridCol w:w="1278"/>
      </w:tblGrid>
      <w:tr w:rsidR="000E49F6" w:rsidRPr="000E49F6" w14:paraId="7F21B7EC" w14:textId="77777777" w:rsidTr="00645353">
        <w:trPr>
          <w:trHeight w:val="204"/>
        </w:trPr>
        <w:tc>
          <w:tcPr>
            <w:tcW w:w="9483" w:type="dxa"/>
            <w:gridSpan w:val="9"/>
          </w:tcPr>
          <w:p w14:paraId="09E05B78" w14:textId="77777777" w:rsidR="00971C89" w:rsidRPr="00D73D28" w:rsidRDefault="00971C89" w:rsidP="00314B40">
            <w:pPr>
              <w:spacing w:after="0" w:line="240" w:lineRule="auto"/>
              <w:rPr>
                <w:rFonts w:eastAsia="Times New Roman" w:cs="Times New Roman"/>
                <w:color w:val="0000FF"/>
              </w:rPr>
            </w:pPr>
            <w:r w:rsidRPr="00D73D28">
              <w:rPr>
                <w:rFonts w:eastAsia="Times New Roman" w:cs="Times New Roman"/>
                <w:color w:val="0000FF"/>
              </w:rPr>
              <w:t>Table 4. Optimal ESRD Start metric test results: match proportion, prevalence, sensitivity, specificity, predictive value (95% confidence interval)</w:t>
            </w:r>
          </w:p>
        </w:tc>
      </w:tr>
      <w:tr w:rsidR="000E49F6" w:rsidRPr="000E49F6" w14:paraId="0851547C" w14:textId="77777777" w:rsidTr="00645353">
        <w:trPr>
          <w:trHeight w:val="204"/>
        </w:trPr>
        <w:tc>
          <w:tcPr>
            <w:tcW w:w="915" w:type="dxa"/>
            <w:shd w:val="clear" w:color="auto" w:fill="auto"/>
            <w:noWrap/>
            <w:vAlign w:val="bottom"/>
            <w:hideMark/>
          </w:tcPr>
          <w:p w14:paraId="4B99D4D1" w14:textId="77777777" w:rsidR="003750A0" w:rsidRPr="000E49F6" w:rsidRDefault="003750A0" w:rsidP="007F2779">
            <w:pPr>
              <w:spacing w:after="0" w:line="240" w:lineRule="auto"/>
              <w:rPr>
                <w:rFonts w:eastAsia="Times New Roman" w:cs="Times New Roman"/>
                <w:color w:val="0000FF"/>
                <w:sz w:val="18"/>
                <w:szCs w:val="18"/>
              </w:rPr>
            </w:pPr>
            <w:r w:rsidRPr="000E49F6">
              <w:rPr>
                <w:rFonts w:eastAsia="Times New Roman" w:cs="Times New Roman"/>
                <w:color w:val="0000FF"/>
                <w:sz w:val="18"/>
                <w:szCs w:val="18"/>
              </w:rPr>
              <w:t> </w:t>
            </w:r>
          </w:p>
        </w:tc>
        <w:tc>
          <w:tcPr>
            <w:tcW w:w="1260" w:type="dxa"/>
            <w:shd w:val="clear" w:color="auto" w:fill="auto"/>
            <w:noWrap/>
            <w:vAlign w:val="bottom"/>
            <w:hideMark/>
          </w:tcPr>
          <w:p w14:paraId="678627F8" w14:textId="77777777" w:rsidR="003750A0" w:rsidRPr="000E49F6" w:rsidRDefault="003750A0" w:rsidP="007F2779">
            <w:pPr>
              <w:spacing w:after="0" w:line="240" w:lineRule="auto"/>
              <w:rPr>
                <w:rFonts w:eastAsia="Times New Roman" w:cs="Times New Roman"/>
                <w:color w:val="0000FF"/>
                <w:sz w:val="18"/>
                <w:szCs w:val="18"/>
              </w:rPr>
            </w:pPr>
            <w:r w:rsidRPr="000E49F6">
              <w:rPr>
                <w:rFonts w:eastAsia="Times New Roman" w:cs="Times New Roman"/>
                <w:color w:val="0000FF"/>
                <w:sz w:val="18"/>
                <w:szCs w:val="18"/>
              </w:rPr>
              <w:t> </w:t>
            </w:r>
          </w:p>
        </w:tc>
        <w:tc>
          <w:tcPr>
            <w:tcW w:w="1020" w:type="dxa"/>
            <w:shd w:val="clear" w:color="auto" w:fill="auto"/>
            <w:noWrap/>
            <w:vAlign w:val="bottom"/>
            <w:hideMark/>
          </w:tcPr>
          <w:p w14:paraId="20B85154" w14:textId="77777777" w:rsidR="003750A0" w:rsidRPr="000E49F6" w:rsidRDefault="003750A0" w:rsidP="007F2779">
            <w:pPr>
              <w:spacing w:after="0" w:line="240" w:lineRule="auto"/>
              <w:rPr>
                <w:rFonts w:eastAsia="Times New Roman" w:cs="Times New Roman"/>
                <w:color w:val="0000FF"/>
                <w:sz w:val="18"/>
                <w:szCs w:val="18"/>
              </w:rPr>
            </w:pPr>
            <w:r w:rsidRPr="000E49F6">
              <w:rPr>
                <w:rFonts w:eastAsia="Times New Roman" w:cs="Times New Roman"/>
                <w:color w:val="0000FF"/>
                <w:sz w:val="18"/>
                <w:szCs w:val="18"/>
              </w:rPr>
              <w:t> </w:t>
            </w:r>
          </w:p>
        </w:tc>
        <w:tc>
          <w:tcPr>
            <w:tcW w:w="1320" w:type="dxa"/>
            <w:shd w:val="clear" w:color="auto" w:fill="auto"/>
            <w:noWrap/>
            <w:vAlign w:val="bottom"/>
            <w:hideMark/>
          </w:tcPr>
          <w:p w14:paraId="5A14BD22"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w:t>
            </w:r>
          </w:p>
        </w:tc>
        <w:tc>
          <w:tcPr>
            <w:tcW w:w="1350" w:type="dxa"/>
            <w:shd w:val="clear" w:color="auto" w:fill="auto"/>
            <w:noWrap/>
            <w:vAlign w:val="bottom"/>
            <w:hideMark/>
          </w:tcPr>
          <w:p w14:paraId="68A8B557"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w:t>
            </w:r>
          </w:p>
        </w:tc>
        <w:tc>
          <w:tcPr>
            <w:tcW w:w="536" w:type="dxa"/>
          </w:tcPr>
          <w:p w14:paraId="2B41AB57" w14:textId="77777777" w:rsidR="003750A0" w:rsidRPr="000E49F6" w:rsidRDefault="003750A0" w:rsidP="007F2779">
            <w:pPr>
              <w:spacing w:after="0" w:line="240" w:lineRule="auto"/>
              <w:jc w:val="center"/>
              <w:rPr>
                <w:rFonts w:eastAsia="Times New Roman" w:cs="Times New Roman"/>
                <w:color w:val="0000FF"/>
                <w:sz w:val="18"/>
                <w:szCs w:val="18"/>
              </w:rPr>
            </w:pPr>
          </w:p>
        </w:tc>
        <w:tc>
          <w:tcPr>
            <w:tcW w:w="454" w:type="dxa"/>
          </w:tcPr>
          <w:p w14:paraId="1156EF31" w14:textId="77777777" w:rsidR="003750A0" w:rsidRPr="000E49F6" w:rsidRDefault="003750A0" w:rsidP="007F2779">
            <w:pPr>
              <w:spacing w:after="0" w:line="240" w:lineRule="auto"/>
              <w:jc w:val="center"/>
              <w:rPr>
                <w:rFonts w:eastAsia="Times New Roman" w:cs="Times New Roman"/>
                <w:color w:val="0000FF"/>
                <w:sz w:val="18"/>
                <w:szCs w:val="18"/>
              </w:rPr>
            </w:pPr>
          </w:p>
        </w:tc>
        <w:tc>
          <w:tcPr>
            <w:tcW w:w="2628" w:type="dxa"/>
            <w:gridSpan w:val="2"/>
            <w:tcBorders>
              <w:bottom w:val="single" w:sz="4" w:space="0" w:color="auto"/>
            </w:tcBorders>
            <w:shd w:val="clear" w:color="auto" w:fill="auto"/>
            <w:noWrap/>
            <w:vAlign w:val="bottom"/>
            <w:hideMark/>
          </w:tcPr>
          <w:p w14:paraId="4F22E252"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Predictive Value</w:t>
            </w:r>
          </w:p>
        </w:tc>
      </w:tr>
      <w:tr w:rsidR="000E49F6" w:rsidRPr="000E49F6" w14:paraId="3480D9A3" w14:textId="77777777" w:rsidTr="00645353">
        <w:trPr>
          <w:trHeight w:val="204"/>
        </w:trPr>
        <w:tc>
          <w:tcPr>
            <w:tcW w:w="915" w:type="dxa"/>
            <w:tcBorders>
              <w:bottom w:val="single" w:sz="4" w:space="0" w:color="auto"/>
            </w:tcBorders>
            <w:shd w:val="clear" w:color="auto" w:fill="auto"/>
            <w:noWrap/>
            <w:vAlign w:val="bottom"/>
            <w:hideMark/>
          </w:tcPr>
          <w:p w14:paraId="3322D3B8" w14:textId="77777777" w:rsidR="003750A0" w:rsidRPr="000E49F6" w:rsidRDefault="003750A0"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Scenario</w:t>
            </w:r>
          </w:p>
        </w:tc>
        <w:tc>
          <w:tcPr>
            <w:tcW w:w="1260" w:type="dxa"/>
            <w:tcBorders>
              <w:bottom w:val="single" w:sz="4" w:space="0" w:color="auto"/>
            </w:tcBorders>
            <w:shd w:val="clear" w:color="auto" w:fill="auto"/>
            <w:noWrap/>
            <w:vAlign w:val="bottom"/>
            <w:hideMark/>
          </w:tcPr>
          <w:p w14:paraId="5A20F5EF" w14:textId="77777777" w:rsidR="003750A0" w:rsidRPr="000E49F6" w:rsidRDefault="003750A0"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Proportion</w:t>
            </w:r>
          </w:p>
        </w:tc>
        <w:tc>
          <w:tcPr>
            <w:tcW w:w="1020" w:type="dxa"/>
            <w:tcBorders>
              <w:bottom w:val="single" w:sz="4" w:space="0" w:color="auto"/>
            </w:tcBorders>
            <w:shd w:val="clear" w:color="auto" w:fill="auto"/>
            <w:noWrap/>
            <w:vAlign w:val="bottom"/>
            <w:hideMark/>
          </w:tcPr>
          <w:p w14:paraId="3D87C597" w14:textId="77777777" w:rsidR="003750A0" w:rsidRPr="000E49F6" w:rsidRDefault="003750A0"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Prevalence</w:t>
            </w:r>
          </w:p>
        </w:tc>
        <w:tc>
          <w:tcPr>
            <w:tcW w:w="1320" w:type="dxa"/>
            <w:tcBorders>
              <w:bottom w:val="single" w:sz="4" w:space="0" w:color="auto"/>
            </w:tcBorders>
            <w:shd w:val="clear" w:color="auto" w:fill="auto"/>
            <w:noWrap/>
            <w:vAlign w:val="bottom"/>
            <w:hideMark/>
          </w:tcPr>
          <w:p w14:paraId="1CB3FDAF" w14:textId="77777777" w:rsidR="003750A0" w:rsidRPr="000E49F6" w:rsidRDefault="003750A0"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Sensitivity</w:t>
            </w:r>
          </w:p>
        </w:tc>
        <w:tc>
          <w:tcPr>
            <w:tcW w:w="1350" w:type="dxa"/>
            <w:tcBorders>
              <w:bottom w:val="single" w:sz="4" w:space="0" w:color="auto"/>
            </w:tcBorders>
            <w:shd w:val="clear" w:color="auto" w:fill="auto"/>
            <w:noWrap/>
            <w:vAlign w:val="bottom"/>
            <w:hideMark/>
          </w:tcPr>
          <w:p w14:paraId="4017F585" w14:textId="77777777" w:rsidR="003750A0" w:rsidRPr="000E49F6" w:rsidRDefault="003750A0"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Specificity</w:t>
            </w:r>
          </w:p>
        </w:tc>
        <w:tc>
          <w:tcPr>
            <w:tcW w:w="536" w:type="dxa"/>
            <w:tcBorders>
              <w:bottom w:val="single" w:sz="4" w:space="0" w:color="auto"/>
            </w:tcBorders>
          </w:tcPr>
          <w:p w14:paraId="7232CC13" w14:textId="77777777" w:rsidR="003750A0" w:rsidRPr="000E49F6" w:rsidRDefault="00645353"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LR+</w:t>
            </w:r>
          </w:p>
        </w:tc>
        <w:tc>
          <w:tcPr>
            <w:tcW w:w="454" w:type="dxa"/>
            <w:tcBorders>
              <w:bottom w:val="single" w:sz="4" w:space="0" w:color="auto"/>
            </w:tcBorders>
          </w:tcPr>
          <w:p w14:paraId="21CBF029" w14:textId="77777777" w:rsidR="003750A0" w:rsidRPr="000E49F6" w:rsidRDefault="003750A0"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LR-</w:t>
            </w:r>
          </w:p>
        </w:tc>
        <w:tc>
          <w:tcPr>
            <w:tcW w:w="1350" w:type="dxa"/>
            <w:tcBorders>
              <w:bottom w:val="single" w:sz="4" w:space="0" w:color="auto"/>
            </w:tcBorders>
            <w:shd w:val="clear" w:color="auto" w:fill="auto"/>
            <w:noWrap/>
            <w:vAlign w:val="bottom"/>
            <w:hideMark/>
          </w:tcPr>
          <w:p w14:paraId="27C92718" w14:textId="77777777" w:rsidR="003750A0" w:rsidRPr="000E49F6" w:rsidRDefault="003750A0"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Positive</w:t>
            </w:r>
          </w:p>
        </w:tc>
        <w:tc>
          <w:tcPr>
            <w:tcW w:w="1278" w:type="dxa"/>
            <w:tcBorders>
              <w:bottom w:val="single" w:sz="4" w:space="0" w:color="auto"/>
            </w:tcBorders>
            <w:shd w:val="clear" w:color="auto" w:fill="auto"/>
            <w:noWrap/>
            <w:vAlign w:val="bottom"/>
            <w:hideMark/>
          </w:tcPr>
          <w:p w14:paraId="6AED8128" w14:textId="77777777" w:rsidR="003750A0" w:rsidRPr="000E49F6" w:rsidRDefault="003750A0"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Negative</w:t>
            </w:r>
          </w:p>
        </w:tc>
      </w:tr>
      <w:tr w:rsidR="000E49F6" w:rsidRPr="000E49F6" w14:paraId="6BEEEF52" w14:textId="77777777" w:rsidTr="00645353">
        <w:trPr>
          <w:trHeight w:val="204"/>
        </w:trPr>
        <w:tc>
          <w:tcPr>
            <w:tcW w:w="915" w:type="dxa"/>
            <w:tcBorders>
              <w:top w:val="single" w:sz="4" w:space="0" w:color="auto"/>
            </w:tcBorders>
            <w:shd w:val="clear" w:color="auto" w:fill="auto"/>
            <w:noWrap/>
            <w:vAlign w:val="bottom"/>
            <w:hideMark/>
          </w:tcPr>
          <w:p w14:paraId="4E2A10AA" w14:textId="77777777" w:rsidR="003750A0" w:rsidRPr="000E49F6" w:rsidRDefault="003750A0" w:rsidP="00F65E12">
            <w:pPr>
              <w:spacing w:after="0" w:line="240" w:lineRule="auto"/>
              <w:rPr>
                <w:rFonts w:eastAsia="Times New Roman" w:cs="Times New Roman"/>
                <w:color w:val="0000FF"/>
                <w:sz w:val="18"/>
                <w:szCs w:val="18"/>
              </w:rPr>
            </w:pPr>
            <w:r w:rsidRPr="000E49F6">
              <w:rPr>
                <w:rFonts w:eastAsia="Times New Roman" w:cs="Times New Roman"/>
                <w:color w:val="0000FF"/>
                <w:sz w:val="18"/>
                <w:szCs w:val="18"/>
              </w:rPr>
              <w:t>Exclude</w:t>
            </w:r>
          </w:p>
        </w:tc>
        <w:tc>
          <w:tcPr>
            <w:tcW w:w="1260" w:type="dxa"/>
            <w:tcBorders>
              <w:top w:val="single" w:sz="4" w:space="0" w:color="auto"/>
            </w:tcBorders>
            <w:shd w:val="clear" w:color="auto" w:fill="auto"/>
            <w:noWrap/>
            <w:vAlign w:val="bottom"/>
            <w:hideMark/>
          </w:tcPr>
          <w:p w14:paraId="3ECE2A6A" w14:textId="77777777" w:rsidR="003750A0" w:rsidRPr="000E49F6" w:rsidRDefault="003750A0"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0.868 (59/68)</w:t>
            </w:r>
          </w:p>
        </w:tc>
        <w:tc>
          <w:tcPr>
            <w:tcW w:w="1020" w:type="dxa"/>
            <w:tcBorders>
              <w:top w:val="single" w:sz="4" w:space="0" w:color="auto"/>
            </w:tcBorders>
            <w:shd w:val="clear" w:color="auto" w:fill="auto"/>
            <w:noWrap/>
            <w:vAlign w:val="bottom"/>
            <w:hideMark/>
          </w:tcPr>
          <w:p w14:paraId="063E0A7D"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0.588</w:t>
            </w:r>
          </w:p>
        </w:tc>
        <w:tc>
          <w:tcPr>
            <w:tcW w:w="1320" w:type="dxa"/>
            <w:tcBorders>
              <w:top w:val="single" w:sz="4" w:space="0" w:color="auto"/>
            </w:tcBorders>
            <w:shd w:val="clear" w:color="auto" w:fill="auto"/>
            <w:vAlign w:val="bottom"/>
            <w:hideMark/>
          </w:tcPr>
          <w:p w14:paraId="1525190E"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0.825</w:t>
            </w:r>
          </w:p>
        </w:tc>
        <w:tc>
          <w:tcPr>
            <w:tcW w:w="1350" w:type="dxa"/>
            <w:tcBorders>
              <w:top w:val="single" w:sz="4" w:space="0" w:color="auto"/>
            </w:tcBorders>
            <w:shd w:val="clear" w:color="auto" w:fill="auto"/>
            <w:vAlign w:val="bottom"/>
            <w:hideMark/>
          </w:tcPr>
          <w:p w14:paraId="4B3EF80A"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0.929</w:t>
            </w:r>
          </w:p>
        </w:tc>
        <w:tc>
          <w:tcPr>
            <w:tcW w:w="536" w:type="dxa"/>
            <w:tcBorders>
              <w:top w:val="single" w:sz="4" w:space="0" w:color="auto"/>
            </w:tcBorders>
          </w:tcPr>
          <w:p w14:paraId="49BE7C30" w14:textId="77777777" w:rsidR="003750A0" w:rsidRPr="000E49F6" w:rsidRDefault="003750A0" w:rsidP="00971C8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11.5</w:t>
            </w:r>
          </w:p>
        </w:tc>
        <w:tc>
          <w:tcPr>
            <w:tcW w:w="454" w:type="dxa"/>
            <w:tcBorders>
              <w:top w:val="single" w:sz="4" w:space="0" w:color="auto"/>
            </w:tcBorders>
          </w:tcPr>
          <w:p w14:paraId="2BAF0E23" w14:textId="77777777" w:rsidR="003750A0" w:rsidRPr="000E49F6" w:rsidRDefault="003750A0" w:rsidP="003750A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0.2</w:t>
            </w:r>
          </w:p>
        </w:tc>
        <w:tc>
          <w:tcPr>
            <w:tcW w:w="1350" w:type="dxa"/>
            <w:tcBorders>
              <w:top w:val="single" w:sz="4" w:space="0" w:color="auto"/>
            </w:tcBorders>
            <w:shd w:val="clear" w:color="auto" w:fill="auto"/>
            <w:vAlign w:val="bottom"/>
            <w:hideMark/>
          </w:tcPr>
          <w:p w14:paraId="75BE203D"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0.943</w:t>
            </w:r>
          </w:p>
        </w:tc>
        <w:tc>
          <w:tcPr>
            <w:tcW w:w="1278" w:type="dxa"/>
            <w:tcBorders>
              <w:top w:val="single" w:sz="4" w:space="0" w:color="auto"/>
            </w:tcBorders>
            <w:shd w:val="clear" w:color="auto" w:fill="auto"/>
            <w:vAlign w:val="bottom"/>
            <w:hideMark/>
          </w:tcPr>
          <w:p w14:paraId="19E7C7F6"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0.788</w:t>
            </w:r>
          </w:p>
        </w:tc>
      </w:tr>
      <w:tr w:rsidR="000E49F6" w:rsidRPr="000E49F6" w14:paraId="4D69AF9F" w14:textId="77777777" w:rsidTr="00645353">
        <w:trPr>
          <w:trHeight w:val="204"/>
        </w:trPr>
        <w:tc>
          <w:tcPr>
            <w:tcW w:w="915" w:type="dxa"/>
            <w:shd w:val="clear" w:color="auto" w:fill="auto"/>
            <w:noWrap/>
            <w:vAlign w:val="bottom"/>
            <w:hideMark/>
          </w:tcPr>
          <w:p w14:paraId="48601D84" w14:textId="77777777" w:rsidR="003750A0" w:rsidRPr="000E49F6" w:rsidRDefault="003750A0" w:rsidP="00F65E12">
            <w:pPr>
              <w:spacing w:after="0" w:line="240" w:lineRule="auto"/>
              <w:rPr>
                <w:rFonts w:eastAsia="Times New Roman" w:cs="Times New Roman"/>
                <w:color w:val="0000FF"/>
                <w:sz w:val="18"/>
                <w:szCs w:val="18"/>
              </w:rPr>
            </w:pPr>
          </w:p>
        </w:tc>
        <w:tc>
          <w:tcPr>
            <w:tcW w:w="1260" w:type="dxa"/>
            <w:shd w:val="clear" w:color="auto" w:fill="auto"/>
            <w:noWrap/>
            <w:vAlign w:val="bottom"/>
            <w:hideMark/>
          </w:tcPr>
          <w:p w14:paraId="2A592D31" w14:textId="77777777" w:rsidR="003750A0" w:rsidRPr="000E49F6" w:rsidRDefault="003750A0"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(0.759, 0.934)</w:t>
            </w:r>
          </w:p>
        </w:tc>
        <w:tc>
          <w:tcPr>
            <w:tcW w:w="1020" w:type="dxa"/>
            <w:shd w:val="clear" w:color="auto" w:fill="auto"/>
            <w:noWrap/>
            <w:vAlign w:val="bottom"/>
            <w:hideMark/>
          </w:tcPr>
          <w:p w14:paraId="3A277B48"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w:t>
            </w:r>
          </w:p>
        </w:tc>
        <w:tc>
          <w:tcPr>
            <w:tcW w:w="1320" w:type="dxa"/>
            <w:shd w:val="clear" w:color="auto" w:fill="auto"/>
            <w:vAlign w:val="bottom"/>
            <w:hideMark/>
          </w:tcPr>
          <w:p w14:paraId="17B141C4"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xml:space="preserve"> (0.666, 0.921)</w:t>
            </w:r>
          </w:p>
        </w:tc>
        <w:tc>
          <w:tcPr>
            <w:tcW w:w="1350" w:type="dxa"/>
            <w:shd w:val="clear" w:color="auto" w:fill="auto"/>
            <w:vAlign w:val="bottom"/>
            <w:hideMark/>
          </w:tcPr>
          <w:p w14:paraId="0634B00F"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xml:space="preserve"> (0.75, 0.988)</w:t>
            </w:r>
          </w:p>
        </w:tc>
        <w:tc>
          <w:tcPr>
            <w:tcW w:w="536" w:type="dxa"/>
          </w:tcPr>
          <w:p w14:paraId="2E52D73D" w14:textId="77777777" w:rsidR="003750A0" w:rsidRPr="000E49F6" w:rsidRDefault="003750A0" w:rsidP="007F2779">
            <w:pPr>
              <w:spacing w:after="0" w:line="240" w:lineRule="auto"/>
              <w:jc w:val="center"/>
              <w:rPr>
                <w:rFonts w:eastAsia="Times New Roman" w:cs="Times New Roman"/>
                <w:color w:val="0000FF"/>
                <w:sz w:val="18"/>
                <w:szCs w:val="18"/>
              </w:rPr>
            </w:pPr>
          </w:p>
        </w:tc>
        <w:tc>
          <w:tcPr>
            <w:tcW w:w="454" w:type="dxa"/>
          </w:tcPr>
          <w:p w14:paraId="3B1803F2" w14:textId="77777777" w:rsidR="003750A0" w:rsidRPr="000E49F6" w:rsidRDefault="003750A0" w:rsidP="003750A0">
            <w:pPr>
              <w:spacing w:after="0" w:line="240" w:lineRule="auto"/>
              <w:jc w:val="center"/>
              <w:rPr>
                <w:rFonts w:eastAsia="Times New Roman" w:cs="Times New Roman"/>
                <w:color w:val="0000FF"/>
                <w:sz w:val="18"/>
                <w:szCs w:val="18"/>
              </w:rPr>
            </w:pPr>
          </w:p>
        </w:tc>
        <w:tc>
          <w:tcPr>
            <w:tcW w:w="1350" w:type="dxa"/>
            <w:shd w:val="clear" w:color="auto" w:fill="auto"/>
            <w:vAlign w:val="bottom"/>
            <w:hideMark/>
          </w:tcPr>
          <w:p w14:paraId="235C2B04"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xml:space="preserve"> (0.795, 0.99)</w:t>
            </w:r>
          </w:p>
        </w:tc>
        <w:tc>
          <w:tcPr>
            <w:tcW w:w="1278" w:type="dxa"/>
            <w:shd w:val="clear" w:color="auto" w:fill="auto"/>
            <w:vAlign w:val="bottom"/>
            <w:hideMark/>
          </w:tcPr>
          <w:p w14:paraId="21EAF29A"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xml:space="preserve"> (0.606, 0.904)</w:t>
            </w:r>
          </w:p>
        </w:tc>
      </w:tr>
      <w:tr w:rsidR="000E49F6" w:rsidRPr="000E49F6" w14:paraId="4FB63BFC" w14:textId="77777777" w:rsidTr="00645353">
        <w:trPr>
          <w:trHeight w:val="204"/>
        </w:trPr>
        <w:tc>
          <w:tcPr>
            <w:tcW w:w="915" w:type="dxa"/>
            <w:shd w:val="clear" w:color="auto" w:fill="auto"/>
            <w:noWrap/>
            <w:vAlign w:val="bottom"/>
            <w:hideMark/>
          </w:tcPr>
          <w:p w14:paraId="6A835102" w14:textId="77777777" w:rsidR="003750A0" w:rsidRPr="000E49F6" w:rsidRDefault="003750A0" w:rsidP="00F65E12">
            <w:pPr>
              <w:spacing w:after="0" w:line="240" w:lineRule="auto"/>
              <w:rPr>
                <w:rFonts w:eastAsia="Times New Roman" w:cs="Times New Roman"/>
                <w:color w:val="0000FF"/>
                <w:sz w:val="18"/>
                <w:szCs w:val="18"/>
              </w:rPr>
            </w:pPr>
            <w:r w:rsidRPr="000E49F6">
              <w:rPr>
                <w:rFonts w:eastAsia="Times New Roman" w:cs="Times New Roman"/>
                <w:color w:val="0000FF"/>
                <w:sz w:val="18"/>
                <w:szCs w:val="18"/>
              </w:rPr>
              <w:t>As error</w:t>
            </w:r>
          </w:p>
        </w:tc>
        <w:tc>
          <w:tcPr>
            <w:tcW w:w="1260" w:type="dxa"/>
            <w:shd w:val="clear" w:color="auto" w:fill="auto"/>
            <w:noWrap/>
            <w:vAlign w:val="bottom"/>
            <w:hideMark/>
          </w:tcPr>
          <w:p w14:paraId="4AC7A94B" w14:textId="77777777" w:rsidR="003750A0" w:rsidRPr="000E49F6" w:rsidRDefault="003750A0"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0.843 (59/70)</w:t>
            </w:r>
          </w:p>
        </w:tc>
        <w:tc>
          <w:tcPr>
            <w:tcW w:w="1020" w:type="dxa"/>
            <w:shd w:val="clear" w:color="auto" w:fill="auto"/>
            <w:noWrap/>
            <w:vAlign w:val="bottom"/>
            <w:hideMark/>
          </w:tcPr>
          <w:p w14:paraId="68B68DD7"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0.571</w:t>
            </w:r>
          </w:p>
        </w:tc>
        <w:tc>
          <w:tcPr>
            <w:tcW w:w="1320" w:type="dxa"/>
            <w:shd w:val="clear" w:color="auto" w:fill="auto"/>
            <w:vAlign w:val="bottom"/>
            <w:hideMark/>
          </w:tcPr>
          <w:p w14:paraId="3E6C6B04"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0.786</w:t>
            </w:r>
          </w:p>
        </w:tc>
        <w:tc>
          <w:tcPr>
            <w:tcW w:w="1350" w:type="dxa"/>
            <w:shd w:val="clear" w:color="auto" w:fill="auto"/>
            <w:vAlign w:val="bottom"/>
            <w:hideMark/>
          </w:tcPr>
          <w:p w14:paraId="6052403C"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0.867</w:t>
            </w:r>
          </w:p>
        </w:tc>
        <w:tc>
          <w:tcPr>
            <w:tcW w:w="536" w:type="dxa"/>
          </w:tcPr>
          <w:p w14:paraId="4E771816"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5.9</w:t>
            </w:r>
          </w:p>
        </w:tc>
        <w:tc>
          <w:tcPr>
            <w:tcW w:w="454" w:type="dxa"/>
          </w:tcPr>
          <w:p w14:paraId="49E3D91C"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0.3</w:t>
            </w:r>
          </w:p>
        </w:tc>
        <w:tc>
          <w:tcPr>
            <w:tcW w:w="1350" w:type="dxa"/>
            <w:shd w:val="clear" w:color="auto" w:fill="auto"/>
            <w:vAlign w:val="bottom"/>
            <w:hideMark/>
          </w:tcPr>
          <w:p w14:paraId="450CEE33"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0.892</w:t>
            </w:r>
          </w:p>
        </w:tc>
        <w:tc>
          <w:tcPr>
            <w:tcW w:w="1278" w:type="dxa"/>
            <w:shd w:val="clear" w:color="auto" w:fill="auto"/>
            <w:vAlign w:val="bottom"/>
            <w:hideMark/>
          </w:tcPr>
          <w:p w14:paraId="1C1AEB01"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0.743</w:t>
            </w:r>
          </w:p>
        </w:tc>
      </w:tr>
      <w:tr w:rsidR="000E49F6" w:rsidRPr="000E49F6" w14:paraId="65694A47" w14:textId="77777777" w:rsidTr="00645353">
        <w:trPr>
          <w:trHeight w:val="204"/>
        </w:trPr>
        <w:tc>
          <w:tcPr>
            <w:tcW w:w="915" w:type="dxa"/>
            <w:shd w:val="clear" w:color="auto" w:fill="auto"/>
            <w:noWrap/>
            <w:vAlign w:val="bottom"/>
            <w:hideMark/>
          </w:tcPr>
          <w:p w14:paraId="1D281C59" w14:textId="77777777" w:rsidR="003750A0" w:rsidRPr="000E49F6" w:rsidRDefault="003750A0" w:rsidP="00F65E12">
            <w:pPr>
              <w:spacing w:after="0" w:line="240" w:lineRule="auto"/>
              <w:rPr>
                <w:rFonts w:eastAsia="Times New Roman" w:cs="Times New Roman"/>
                <w:color w:val="0000FF"/>
                <w:sz w:val="18"/>
                <w:szCs w:val="18"/>
              </w:rPr>
            </w:pPr>
          </w:p>
        </w:tc>
        <w:tc>
          <w:tcPr>
            <w:tcW w:w="1260" w:type="dxa"/>
            <w:shd w:val="clear" w:color="auto" w:fill="auto"/>
            <w:noWrap/>
            <w:vAlign w:val="bottom"/>
            <w:hideMark/>
          </w:tcPr>
          <w:p w14:paraId="26D44818" w14:textId="77777777" w:rsidR="003750A0" w:rsidRPr="000E49F6" w:rsidRDefault="003750A0"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(0.732, 0.915)</w:t>
            </w:r>
          </w:p>
        </w:tc>
        <w:tc>
          <w:tcPr>
            <w:tcW w:w="1020" w:type="dxa"/>
            <w:shd w:val="clear" w:color="auto" w:fill="auto"/>
            <w:noWrap/>
            <w:vAlign w:val="bottom"/>
            <w:hideMark/>
          </w:tcPr>
          <w:p w14:paraId="38DE7851"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w:t>
            </w:r>
          </w:p>
        </w:tc>
        <w:tc>
          <w:tcPr>
            <w:tcW w:w="1320" w:type="dxa"/>
            <w:shd w:val="clear" w:color="auto" w:fill="auto"/>
            <w:vAlign w:val="bottom"/>
            <w:hideMark/>
          </w:tcPr>
          <w:p w14:paraId="49BA8CB9"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xml:space="preserve"> (0.628, 0.892)</w:t>
            </w:r>
          </w:p>
        </w:tc>
        <w:tc>
          <w:tcPr>
            <w:tcW w:w="1350" w:type="dxa"/>
            <w:shd w:val="clear" w:color="auto" w:fill="auto"/>
            <w:vAlign w:val="bottom"/>
            <w:hideMark/>
          </w:tcPr>
          <w:p w14:paraId="14B5721F"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xml:space="preserve"> (0.684, 0.956)</w:t>
            </w:r>
          </w:p>
        </w:tc>
        <w:tc>
          <w:tcPr>
            <w:tcW w:w="536" w:type="dxa"/>
          </w:tcPr>
          <w:p w14:paraId="0FE7CBBB" w14:textId="77777777" w:rsidR="003750A0" w:rsidRPr="000E49F6" w:rsidRDefault="003750A0" w:rsidP="007F2779">
            <w:pPr>
              <w:spacing w:after="0" w:line="240" w:lineRule="auto"/>
              <w:jc w:val="center"/>
              <w:rPr>
                <w:rFonts w:eastAsia="Times New Roman" w:cs="Times New Roman"/>
                <w:color w:val="0000FF"/>
                <w:sz w:val="18"/>
                <w:szCs w:val="18"/>
              </w:rPr>
            </w:pPr>
          </w:p>
        </w:tc>
        <w:tc>
          <w:tcPr>
            <w:tcW w:w="454" w:type="dxa"/>
          </w:tcPr>
          <w:p w14:paraId="4A7F8ED0" w14:textId="77777777" w:rsidR="003750A0" w:rsidRPr="000E49F6" w:rsidRDefault="003750A0" w:rsidP="007F2779">
            <w:pPr>
              <w:spacing w:after="0" w:line="240" w:lineRule="auto"/>
              <w:jc w:val="center"/>
              <w:rPr>
                <w:rFonts w:eastAsia="Times New Roman" w:cs="Times New Roman"/>
                <w:color w:val="0000FF"/>
                <w:sz w:val="18"/>
                <w:szCs w:val="18"/>
              </w:rPr>
            </w:pPr>
          </w:p>
        </w:tc>
        <w:tc>
          <w:tcPr>
            <w:tcW w:w="1350" w:type="dxa"/>
            <w:shd w:val="clear" w:color="auto" w:fill="auto"/>
            <w:vAlign w:val="bottom"/>
            <w:hideMark/>
          </w:tcPr>
          <w:p w14:paraId="1A969F27"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xml:space="preserve"> (0.736, 0.965)</w:t>
            </w:r>
          </w:p>
        </w:tc>
        <w:tc>
          <w:tcPr>
            <w:tcW w:w="1278" w:type="dxa"/>
            <w:shd w:val="clear" w:color="auto" w:fill="auto"/>
            <w:vAlign w:val="bottom"/>
            <w:hideMark/>
          </w:tcPr>
          <w:p w14:paraId="1F6449A0"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xml:space="preserve"> (0.564, 0.869)</w:t>
            </w:r>
          </w:p>
        </w:tc>
      </w:tr>
      <w:tr w:rsidR="000E49F6" w:rsidRPr="000E49F6" w14:paraId="312E71CF" w14:textId="77777777" w:rsidTr="00645353">
        <w:trPr>
          <w:trHeight w:val="204"/>
        </w:trPr>
        <w:tc>
          <w:tcPr>
            <w:tcW w:w="915" w:type="dxa"/>
            <w:shd w:val="clear" w:color="auto" w:fill="auto"/>
            <w:noWrap/>
            <w:vAlign w:val="bottom"/>
            <w:hideMark/>
          </w:tcPr>
          <w:p w14:paraId="135366C1" w14:textId="77777777" w:rsidR="003750A0" w:rsidRPr="000E49F6" w:rsidRDefault="003750A0" w:rsidP="00F65E12">
            <w:pPr>
              <w:spacing w:after="0" w:line="240" w:lineRule="auto"/>
              <w:rPr>
                <w:rFonts w:eastAsia="Times New Roman" w:cs="Times New Roman"/>
                <w:color w:val="0000FF"/>
                <w:sz w:val="18"/>
                <w:szCs w:val="18"/>
              </w:rPr>
            </w:pPr>
            <w:r w:rsidRPr="000E49F6">
              <w:rPr>
                <w:rFonts w:eastAsia="Times New Roman" w:cs="Times New Roman"/>
                <w:color w:val="0000FF"/>
                <w:sz w:val="18"/>
                <w:szCs w:val="18"/>
              </w:rPr>
              <w:t>As match</w:t>
            </w:r>
          </w:p>
        </w:tc>
        <w:tc>
          <w:tcPr>
            <w:tcW w:w="1260" w:type="dxa"/>
            <w:shd w:val="clear" w:color="auto" w:fill="auto"/>
            <w:noWrap/>
            <w:vAlign w:val="bottom"/>
            <w:hideMark/>
          </w:tcPr>
          <w:p w14:paraId="0199AF3E" w14:textId="77777777" w:rsidR="003750A0" w:rsidRPr="000E49F6" w:rsidRDefault="003750A0" w:rsidP="00314B40">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0.871 (61/70)</w:t>
            </w:r>
          </w:p>
        </w:tc>
        <w:tc>
          <w:tcPr>
            <w:tcW w:w="1020" w:type="dxa"/>
            <w:shd w:val="clear" w:color="auto" w:fill="auto"/>
            <w:noWrap/>
            <w:vAlign w:val="bottom"/>
            <w:hideMark/>
          </w:tcPr>
          <w:p w14:paraId="7FE488AE"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0.600</w:t>
            </w:r>
          </w:p>
        </w:tc>
        <w:tc>
          <w:tcPr>
            <w:tcW w:w="1320" w:type="dxa"/>
            <w:shd w:val="clear" w:color="auto" w:fill="auto"/>
            <w:vAlign w:val="bottom"/>
            <w:hideMark/>
          </w:tcPr>
          <w:p w14:paraId="7D5C6D06"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0.833</w:t>
            </w:r>
          </w:p>
        </w:tc>
        <w:tc>
          <w:tcPr>
            <w:tcW w:w="1350" w:type="dxa"/>
            <w:shd w:val="clear" w:color="auto" w:fill="auto"/>
            <w:vAlign w:val="bottom"/>
            <w:hideMark/>
          </w:tcPr>
          <w:p w14:paraId="5DCF879F"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0.933</w:t>
            </w:r>
          </w:p>
        </w:tc>
        <w:tc>
          <w:tcPr>
            <w:tcW w:w="536" w:type="dxa"/>
          </w:tcPr>
          <w:p w14:paraId="7D92D61E"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12.5</w:t>
            </w:r>
          </w:p>
        </w:tc>
        <w:tc>
          <w:tcPr>
            <w:tcW w:w="454" w:type="dxa"/>
          </w:tcPr>
          <w:p w14:paraId="052D4AAB" w14:textId="77777777" w:rsidR="003750A0" w:rsidRPr="000E49F6" w:rsidRDefault="00645353" w:rsidP="00645353">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w:t>
            </w:r>
            <w:r w:rsidR="003750A0" w:rsidRPr="000E49F6">
              <w:rPr>
                <w:rFonts w:eastAsia="Times New Roman" w:cs="Times New Roman"/>
                <w:color w:val="0000FF"/>
                <w:sz w:val="18"/>
                <w:szCs w:val="18"/>
              </w:rPr>
              <w:t>.</w:t>
            </w:r>
            <w:r w:rsidRPr="000E49F6">
              <w:rPr>
                <w:rFonts w:eastAsia="Times New Roman" w:cs="Times New Roman"/>
                <w:color w:val="0000FF"/>
                <w:sz w:val="18"/>
                <w:szCs w:val="18"/>
              </w:rPr>
              <w:t>2</w:t>
            </w:r>
          </w:p>
        </w:tc>
        <w:tc>
          <w:tcPr>
            <w:tcW w:w="1350" w:type="dxa"/>
            <w:shd w:val="clear" w:color="auto" w:fill="auto"/>
            <w:vAlign w:val="bottom"/>
            <w:hideMark/>
          </w:tcPr>
          <w:p w14:paraId="359628B6"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0.946</w:t>
            </w:r>
          </w:p>
        </w:tc>
        <w:tc>
          <w:tcPr>
            <w:tcW w:w="1278" w:type="dxa"/>
            <w:shd w:val="clear" w:color="auto" w:fill="auto"/>
            <w:vAlign w:val="bottom"/>
            <w:hideMark/>
          </w:tcPr>
          <w:p w14:paraId="5CA4967F"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0.800</w:t>
            </w:r>
          </w:p>
        </w:tc>
      </w:tr>
      <w:tr w:rsidR="000E49F6" w:rsidRPr="000E49F6" w14:paraId="7A5BB87B" w14:textId="77777777" w:rsidTr="00645353">
        <w:trPr>
          <w:trHeight w:val="204"/>
        </w:trPr>
        <w:tc>
          <w:tcPr>
            <w:tcW w:w="915" w:type="dxa"/>
            <w:tcBorders>
              <w:bottom w:val="single" w:sz="4" w:space="0" w:color="auto"/>
            </w:tcBorders>
            <w:shd w:val="clear" w:color="auto" w:fill="auto"/>
            <w:noWrap/>
            <w:vAlign w:val="bottom"/>
            <w:hideMark/>
          </w:tcPr>
          <w:p w14:paraId="5DD0ECB6" w14:textId="77777777" w:rsidR="003750A0" w:rsidRPr="000E49F6" w:rsidRDefault="003750A0" w:rsidP="00F65E12">
            <w:pPr>
              <w:spacing w:after="0" w:line="240" w:lineRule="auto"/>
              <w:rPr>
                <w:rFonts w:eastAsia="Times New Roman" w:cs="Times New Roman"/>
                <w:color w:val="0000FF"/>
                <w:sz w:val="18"/>
                <w:szCs w:val="18"/>
              </w:rPr>
            </w:pPr>
            <w:r w:rsidRPr="000E49F6">
              <w:rPr>
                <w:rFonts w:eastAsia="Times New Roman" w:cs="Times New Roman"/>
                <w:color w:val="0000FF"/>
                <w:sz w:val="18"/>
                <w:szCs w:val="18"/>
              </w:rPr>
              <w:t> </w:t>
            </w:r>
          </w:p>
        </w:tc>
        <w:tc>
          <w:tcPr>
            <w:tcW w:w="1260" w:type="dxa"/>
            <w:tcBorders>
              <w:bottom w:val="single" w:sz="4" w:space="0" w:color="auto"/>
            </w:tcBorders>
            <w:shd w:val="clear" w:color="auto" w:fill="auto"/>
            <w:noWrap/>
            <w:vAlign w:val="bottom"/>
            <w:hideMark/>
          </w:tcPr>
          <w:p w14:paraId="3315EC24" w14:textId="77777777" w:rsidR="003750A0" w:rsidRPr="000E49F6" w:rsidRDefault="003750A0" w:rsidP="00A85DBD">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(0.765, 0.936)</w:t>
            </w:r>
          </w:p>
        </w:tc>
        <w:tc>
          <w:tcPr>
            <w:tcW w:w="1020" w:type="dxa"/>
            <w:tcBorders>
              <w:bottom w:val="single" w:sz="4" w:space="0" w:color="auto"/>
            </w:tcBorders>
            <w:shd w:val="clear" w:color="auto" w:fill="auto"/>
            <w:noWrap/>
            <w:vAlign w:val="bottom"/>
            <w:hideMark/>
          </w:tcPr>
          <w:p w14:paraId="6B10FBBD"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w:t>
            </w:r>
          </w:p>
        </w:tc>
        <w:tc>
          <w:tcPr>
            <w:tcW w:w="1320" w:type="dxa"/>
            <w:tcBorders>
              <w:bottom w:val="single" w:sz="4" w:space="0" w:color="auto"/>
            </w:tcBorders>
            <w:shd w:val="clear" w:color="auto" w:fill="auto"/>
            <w:vAlign w:val="bottom"/>
            <w:hideMark/>
          </w:tcPr>
          <w:p w14:paraId="059679A0"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xml:space="preserve"> (0.68, 0.925)</w:t>
            </w:r>
          </w:p>
        </w:tc>
        <w:tc>
          <w:tcPr>
            <w:tcW w:w="1350" w:type="dxa"/>
            <w:tcBorders>
              <w:bottom w:val="single" w:sz="4" w:space="0" w:color="auto"/>
            </w:tcBorders>
            <w:shd w:val="clear" w:color="auto" w:fill="auto"/>
            <w:vAlign w:val="bottom"/>
            <w:hideMark/>
          </w:tcPr>
          <w:p w14:paraId="78C49B41"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xml:space="preserve"> (0.765, 0.988)</w:t>
            </w:r>
          </w:p>
        </w:tc>
        <w:tc>
          <w:tcPr>
            <w:tcW w:w="536" w:type="dxa"/>
            <w:tcBorders>
              <w:bottom w:val="single" w:sz="4" w:space="0" w:color="auto"/>
            </w:tcBorders>
          </w:tcPr>
          <w:p w14:paraId="29850C4B" w14:textId="77777777" w:rsidR="003750A0" w:rsidRPr="000E49F6" w:rsidRDefault="003750A0" w:rsidP="007F2779">
            <w:pPr>
              <w:spacing w:after="0" w:line="240" w:lineRule="auto"/>
              <w:jc w:val="center"/>
              <w:rPr>
                <w:rFonts w:eastAsia="Times New Roman" w:cs="Times New Roman"/>
                <w:color w:val="0000FF"/>
                <w:sz w:val="18"/>
                <w:szCs w:val="18"/>
              </w:rPr>
            </w:pPr>
          </w:p>
        </w:tc>
        <w:tc>
          <w:tcPr>
            <w:tcW w:w="454" w:type="dxa"/>
            <w:tcBorders>
              <w:bottom w:val="single" w:sz="4" w:space="0" w:color="auto"/>
            </w:tcBorders>
          </w:tcPr>
          <w:p w14:paraId="70356080" w14:textId="77777777" w:rsidR="003750A0" w:rsidRPr="000E49F6" w:rsidRDefault="003750A0" w:rsidP="007F2779">
            <w:pPr>
              <w:spacing w:after="0" w:line="240" w:lineRule="auto"/>
              <w:jc w:val="center"/>
              <w:rPr>
                <w:rFonts w:eastAsia="Times New Roman" w:cs="Times New Roman"/>
                <w:color w:val="0000FF"/>
                <w:sz w:val="18"/>
                <w:szCs w:val="18"/>
              </w:rPr>
            </w:pPr>
          </w:p>
        </w:tc>
        <w:tc>
          <w:tcPr>
            <w:tcW w:w="1350" w:type="dxa"/>
            <w:tcBorders>
              <w:bottom w:val="single" w:sz="4" w:space="0" w:color="auto"/>
            </w:tcBorders>
            <w:shd w:val="clear" w:color="auto" w:fill="auto"/>
            <w:vAlign w:val="bottom"/>
            <w:hideMark/>
          </w:tcPr>
          <w:p w14:paraId="4AC404BD"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xml:space="preserve"> (0.805, 0.991)</w:t>
            </w:r>
          </w:p>
        </w:tc>
        <w:tc>
          <w:tcPr>
            <w:tcW w:w="1278" w:type="dxa"/>
            <w:tcBorders>
              <w:bottom w:val="single" w:sz="4" w:space="0" w:color="auto"/>
            </w:tcBorders>
            <w:shd w:val="clear" w:color="auto" w:fill="auto"/>
            <w:vAlign w:val="bottom"/>
            <w:hideMark/>
          </w:tcPr>
          <w:p w14:paraId="5CF69269" w14:textId="77777777" w:rsidR="003750A0" w:rsidRPr="000E49F6" w:rsidRDefault="003750A0" w:rsidP="007F2779">
            <w:pPr>
              <w:spacing w:after="0" w:line="240" w:lineRule="auto"/>
              <w:jc w:val="center"/>
              <w:rPr>
                <w:rFonts w:eastAsia="Times New Roman" w:cs="Times New Roman"/>
                <w:color w:val="0000FF"/>
                <w:sz w:val="18"/>
                <w:szCs w:val="18"/>
              </w:rPr>
            </w:pPr>
            <w:r w:rsidRPr="000E49F6">
              <w:rPr>
                <w:rFonts w:eastAsia="Times New Roman" w:cs="Times New Roman"/>
                <w:color w:val="0000FF"/>
                <w:sz w:val="18"/>
                <w:szCs w:val="18"/>
              </w:rPr>
              <w:t xml:space="preserve"> (0.625, 0.909)</w:t>
            </w:r>
          </w:p>
        </w:tc>
      </w:tr>
    </w:tbl>
    <w:p w14:paraId="7C56733F" w14:textId="77777777" w:rsidR="00A85AF0" w:rsidRDefault="00A85AF0" w:rsidP="00DB3627">
      <w:pPr>
        <w:autoSpaceDE w:val="0"/>
        <w:autoSpaceDN w:val="0"/>
        <w:adjustRightInd w:val="0"/>
        <w:spacing w:after="0" w:line="240" w:lineRule="auto"/>
        <w:rPr>
          <w:rFonts w:cstheme="minorHAnsi"/>
          <w:b/>
          <w:bCs/>
        </w:rPr>
      </w:pPr>
    </w:p>
    <w:p w14:paraId="2BC14DEE" w14:textId="77777777" w:rsidR="00D72262"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31D7780E" w14:textId="77777777" w:rsidR="00E06848" w:rsidRDefault="00E06848" w:rsidP="00DB3627">
      <w:pPr>
        <w:autoSpaceDE w:val="0"/>
        <w:autoSpaceDN w:val="0"/>
        <w:adjustRightInd w:val="0"/>
        <w:spacing w:after="0" w:line="240" w:lineRule="auto"/>
        <w:rPr>
          <w:rFonts w:cstheme="minorHAnsi"/>
          <w:bCs/>
        </w:rPr>
      </w:pPr>
    </w:p>
    <w:p w14:paraId="32258DB3" w14:textId="77777777" w:rsidR="00430CF8" w:rsidRPr="00344CD6" w:rsidRDefault="00430CF8" w:rsidP="00DB3627">
      <w:pPr>
        <w:autoSpaceDE w:val="0"/>
        <w:autoSpaceDN w:val="0"/>
        <w:adjustRightInd w:val="0"/>
        <w:spacing w:after="0" w:line="240" w:lineRule="auto"/>
        <w:rPr>
          <w:rFonts w:cstheme="minorHAnsi"/>
          <w:bCs/>
          <w:color w:val="0000FF"/>
        </w:rPr>
      </w:pPr>
      <w:r w:rsidRPr="00344CD6">
        <w:rPr>
          <w:rFonts w:cstheme="minorHAnsi"/>
          <w:bCs/>
          <w:color w:val="0000FF"/>
        </w:rPr>
        <w:t xml:space="preserve">At the element level, the </w:t>
      </w:r>
      <w:r w:rsidR="00E260E1">
        <w:rPr>
          <w:rFonts w:cstheme="minorHAnsi"/>
          <w:bCs/>
          <w:color w:val="0000FF"/>
        </w:rPr>
        <w:t xml:space="preserve">accuracy of </w:t>
      </w:r>
      <w:r w:rsidRPr="00344CD6">
        <w:rPr>
          <w:rFonts w:cstheme="minorHAnsi"/>
          <w:bCs/>
          <w:color w:val="0000FF"/>
        </w:rPr>
        <w:t xml:space="preserve">region </w:t>
      </w:r>
      <w:r w:rsidR="00E260E1">
        <w:rPr>
          <w:rFonts w:cstheme="minorHAnsi"/>
          <w:bCs/>
          <w:color w:val="0000FF"/>
        </w:rPr>
        <w:t>data compared to the s</w:t>
      </w:r>
      <w:r w:rsidRPr="00344CD6">
        <w:rPr>
          <w:rFonts w:cstheme="minorHAnsi"/>
          <w:bCs/>
          <w:color w:val="0000FF"/>
        </w:rPr>
        <w:t xml:space="preserve">ource </w:t>
      </w:r>
      <w:r w:rsidR="00474BC3">
        <w:rPr>
          <w:rFonts w:cstheme="minorHAnsi"/>
          <w:bCs/>
          <w:color w:val="0000FF"/>
        </w:rPr>
        <w:t>i</w:t>
      </w:r>
      <w:r w:rsidR="00E260E1">
        <w:rPr>
          <w:rFonts w:cstheme="minorHAnsi"/>
          <w:bCs/>
          <w:color w:val="0000FF"/>
        </w:rPr>
        <w:t>s</w:t>
      </w:r>
      <w:r w:rsidR="00544826">
        <w:rPr>
          <w:rFonts w:cstheme="minorHAnsi"/>
          <w:bCs/>
          <w:color w:val="0000FF"/>
        </w:rPr>
        <w:t xml:space="preserve"> </w:t>
      </w:r>
      <w:r w:rsidRPr="00344CD6">
        <w:rPr>
          <w:rFonts w:cstheme="minorHAnsi"/>
          <w:bCs/>
          <w:color w:val="0000FF"/>
        </w:rPr>
        <w:t>good to excellent</w:t>
      </w:r>
      <w:r w:rsidR="00344CD6" w:rsidRPr="00344CD6">
        <w:rPr>
          <w:rFonts w:cstheme="minorHAnsi"/>
          <w:bCs/>
          <w:color w:val="0000FF"/>
        </w:rPr>
        <w:t xml:space="preserve"> with </w:t>
      </w:r>
      <w:r w:rsidR="00E260E1">
        <w:rPr>
          <w:rFonts w:cstheme="minorHAnsi"/>
          <w:bCs/>
          <w:color w:val="0000FF"/>
        </w:rPr>
        <w:t>a match in the denominator of .96, in the numerator of .87, and total match of .83</w:t>
      </w:r>
      <w:r w:rsidRPr="00344CD6">
        <w:rPr>
          <w:rFonts w:cstheme="minorHAnsi"/>
          <w:bCs/>
          <w:color w:val="0000FF"/>
        </w:rPr>
        <w:t xml:space="preserve">. </w:t>
      </w:r>
      <w:r w:rsidR="00E260E1">
        <w:rPr>
          <w:rFonts w:cstheme="minorHAnsi"/>
          <w:bCs/>
          <w:color w:val="0000FF"/>
        </w:rPr>
        <w:t xml:space="preserve">At the 95% confidence level these proportions </w:t>
      </w:r>
      <w:r w:rsidR="00474BC3">
        <w:rPr>
          <w:rFonts w:cstheme="minorHAnsi"/>
          <w:bCs/>
          <w:color w:val="0000FF"/>
        </w:rPr>
        <w:t>a</w:t>
      </w:r>
      <w:r w:rsidR="00E260E1">
        <w:rPr>
          <w:rFonts w:cstheme="minorHAnsi"/>
          <w:bCs/>
          <w:color w:val="0000FF"/>
        </w:rPr>
        <w:t xml:space="preserve">re not significantly different from our hypothesized proportion of .9. </w:t>
      </w:r>
      <w:r w:rsidRPr="00344CD6">
        <w:rPr>
          <w:rFonts w:cstheme="minorHAnsi"/>
          <w:bCs/>
          <w:color w:val="0000FF"/>
        </w:rPr>
        <w:t xml:space="preserve">The region data is a valid representation of the </w:t>
      </w:r>
      <w:r w:rsidR="00344CD6" w:rsidRPr="00344CD6">
        <w:rPr>
          <w:rFonts w:cstheme="minorHAnsi"/>
          <w:bCs/>
          <w:color w:val="0000FF"/>
        </w:rPr>
        <w:t>source at the element level.</w:t>
      </w:r>
    </w:p>
    <w:p w14:paraId="65B9D2FC" w14:textId="77777777" w:rsidR="00344CD6" w:rsidRPr="00344CD6" w:rsidRDefault="00344CD6" w:rsidP="00DB3627">
      <w:pPr>
        <w:autoSpaceDE w:val="0"/>
        <w:autoSpaceDN w:val="0"/>
        <w:adjustRightInd w:val="0"/>
        <w:spacing w:after="0" w:line="240" w:lineRule="auto"/>
        <w:rPr>
          <w:rFonts w:cstheme="minorHAnsi"/>
          <w:bCs/>
          <w:color w:val="0000FF"/>
        </w:rPr>
      </w:pPr>
    </w:p>
    <w:p w14:paraId="24DFE7EA" w14:textId="77777777" w:rsidR="0004185C" w:rsidRDefault="00344CD6" w:rsidP="00E260E1">
      <w:pPr>
        <w:autoSpaceDE w:val="0"/>
        <w:autoSpaceDN w:val="0"/>
        <w:adjustRightInd w:val="0"/>
        <w:spacing w:after="0" w:line="240" w:lineRule="auto"/>
        <w:rPr>
          <w:rFonts w:cstheme="minorHAnsi"/>
          <w:bCs/>
          <w:color w:val="0000FF"/>
        </w:rPr>
      </w:pPr>
      <w:r w:rsidRPr="00344CD6">
        <w:rPr>
          <w:rFonts w:cstheme="minorHAnsi"/>
          <w:bCs/>
          <w:color w:val="0000FF"/>
        </w:rPr>
        <w:t xml:space="preserve">At the performance </w:t>
      </w:r>
      <w:r w:rsidR="00E260E1">
        <w:rPr>
          <w:rFonts w:cstheme="minorHAnsi"/>
          <w:bCs/>
          <w:color w:val="0000FF"/>
        </w:rPr>
        <w:t xml:space="preserve">metric </w:t>
      </w:r>
      <w:r w:rsidRPr="00344CD6">
        <w:rPr>
          <w:rFonts w:cstheme="minorHAnsi"/>
          <w:bCs/>
          <w:color w:val="0000FF"/>
        </w:rPr>
        <w:t xml:space="preserve">level, </w:t>
      </w:r>
      <w:r w:rsidR="00940CF9">
        <w:rPr>
          <w:rFonts w:cstheme="minorHAnsi"/>
          <w:bCs/>
          <w:color w:val="0000FF"/>
        </w:rPr>
        <w:t xml:space="preserve">accuracy </w:t>
      </w:r>
      <w:r w:rsidR="00474BC3">
        <w:rPr>
          <w:rFonts w:cstheme="minorHAnsi"/>
          <w:bCs/>
          <w:color w:val="0000FF"/>
        </w:rPr>
        <w:t>i</w:t>
      </w:r>
      <w:r w:rsidR="00940CF9">
        <w:rPr>
          <w:rFonts w:cstheme="minorHAnsi"/>
          <w:bCs/>
          <w:color w:val="0000FF"/>
        </w:rPr>
        <w:t>s very good where the region assessment matche</w:t>
      </w:r>
      <w:r w:rsidR="00474BC3">
        <w:rPr>
          <w:rFonts w:cstheme="minorHAnsi"/>
          <w:bCs/>
          <w:color w:val="0000FF"/>
        </w:rPr>
        <w:t>s</w:t>
      </w:r>
      <w:r w:rsidR="00940CF9">
        <w:rPr>
          <w:rFonts w:cstheme="minorHAnsi"/>
          <w:bCs/>
          <w:color w:val="0000FF"/>
        </w:rPr>
        <w:t xml:space="preserve"> the source with a proportion of .87 (59/68) and the 95% CI encompasses values from good to excellent (.76, .93). With a sensitivity proportion of .82, the region assessment </w:t>
      </w:r>
      <w:r w:rsidR="00474BC3">
        <w:rPr>
          <w:rFonts w:cstheme="minorHAnsi"/>
          <w:bCs/>
          <w:color w:val="0000FF"/>
        </w:rPr>
        <w:t>i</w:t>
      </w:r>
      <w:r w:rsidR="00940CF9">
        <w:rPr>
          <w:rFonts w:cstheme="minorHAnsi"/>
          <w:bCs/>
          <w:color w:val="0000FF"/>
        </w:rPr>
        <w:t xml:space="preserve">s very good at identifying cases that </w:t>
      </w:r>
      <w:r w:rsidR="00474BC3">
        <w:rPr>
          <w:rFonts w:cstheme="minorHAnsi"/>
          <w:bCs/>
          <w:color w:val="0000FF"/>
        </w:rPr>
        <w:t>a</w:t>
      </w:r>
      <w:r w:rsidR="00940CF9">
        <w:rPr>
          <w:rFonts w:cstheme="minorHAnsi"/>
          <w:bCs/>
          <w:color w:val="0000FF"/>
        </w:rPr>
        <w:t>re true optimal ESRD starts</w:t>
      </w:r>
      <w:r w:rsidR="00BE554F">
        <w:rPr>
          <w:rFonts w:cstheme="minorHAnsi"/>
          <w:bCs/>
          <w:color w:val="0000FF"/>
        </w:rPr>
        <w:t xml:space="preserve"> with a 95% confidence that the accuracy </w:t>
      </w:r>
      <w:r w:rsidR="00474BC3">
        <w:rPr>
          <w:rFonts w:cstheme="minorHAnsi"/>
          <w:bCs/>
          <w:color w:val="0000FF"/>
        </w:rPr>
        <w:t>i</w:t>
      </w:r>
      <w:r w:rsidR="00BE554F">
        <w:rPr>
          <w:rFonts w:cstheme="minorHAnsi"/>
          <w:bCs/>
          <w:color w:val="0000FF"/>
        </w:rPr>
        <w:t>s wi</w:t>
      </w:r>
      <w:r w:rsidR="00A21978">
        <w:rPr>
          <w:rFonts w:cstheme="minorHAnsi"/>
          <w:bCs/>
          <w:color w:val="0000FF"/>
        </w:rPr>
        <w:t xml:space="preserve">thin .67 to .92. Specificity, the </w:t>
      </w:r>
      <w:r w:rsidR="00BE554F">
        <w:rPr>
          <w:rFonts w:cstheme="minorHAnsi"/>
          <w:bCs/>
          <w:color w:val="0000FF"/>
        </w:rPr>
        <w:t>probability that the region assessment correctly identifie</w:t>
      </w:r>
      <w:r w:rsidR="00474BC3">
        <w:rPr>
          <w:rFonts w:cstheme="minorHAnsi"/>
          <w:bCs/>
          <w:color w:val="0000FF"/>
        </w:rPr>
        <w:t>s</w:t>
      </w:r>
      <w:r w:rsidR="00BE554F">
        <w:rPr>
          <w:rFonts w:cstheme="minorHAnsi"/>
          <w:bCs/>
          <w:color w:val="0000FF"/>
        </w:rPr>
        <w:t xml:space="preserve"> cases that </w:t>
      </w:r>
      <w:r w:rsidR="00474BC3">
        <w:rPr>
          <w:rFonts w:cstheme="minorHAnsi"/>
          <w:bCs/>
          <w:color w:val="0000FF"/>
        </w:rPr>
        <w:t>a</w:t>
      </w:r>
      <w:r w:rsidR="00544826">
        <w:rPr>
          <w:rFonts w:cstheme="minorHAnsi"/>
          <w:bCs/>
          <w:color w:val="0000FF"/>
        </w:rPr>
        <w:t>r</w:t>
      </w:r>
      <w:r w:rsidR="00BE554F">
        <w:rPr>
          <w:rFonts w:cstheme="minorHAnsi"/>
          <w:bCs/>
          <w:color w:val="0000FF"/>
        </w:rPr>
        <w:t xml:space="preserve">e not optimal ESRD starts, </w:t>
      </w:r>
      <w:r w:rsidR="00474BC3">
        <w:rPr>
          <w:rFonts w:cstheme="minorHAnsi"/>
          <w:bCs/>
          <w:color w:val="0000FF"/>
        </w:rPr>
        <w:t>i</w:t>
      </w:r>
      <w:r w:rsidR="00BE554F">
        <w:rPr>
          <w:rFonts w:cstheme="minorHAnsi"/>
          <w:bCs/>
          <w:color w:val="0000FF"/>
        </w:rPr>
        <w:t xml:space="preserve">s excellent, </w:t>
      </w:r>
      <w:r w:rsidR="00A21978">
        <w:rPr>
          <w:rFonts w:cstheme="minorHAnsi"/>
          <w:bCs/>
          <w:color w:val="0000FF"/>
        </w:rPr>
        <w:t xml:space="preserve">.93. </w:t>
      </w:r>
    </w:p>
    <w:p w14:paraId="3CD0B1BB" w14:textId="77777777" w:rsidR="0004185C" w:rsidRDefault="0004185C" w:rsidP="00E260E1">
      <w:pPr>
        <w:autoSpaceDE w:val="0"/>
        <w:autoSpaceDN w:val="0"/>
        <w:adjustRightInd w:val="0"/>
        <w:spacing w:after="0" w:line="240" w:lineRule="auto"/>
        <w:rPr>
          <w:rFonts w:cstheme="minorHAnsi"/>
          <w:bCs/>
          <w:color w:val="0000FF"/>
        </w:rPr>
      </w:pPr>
    </w:p>
    <w:p w14:paraId="2D3F35D7" w14:textId="77777777" w:rsidR="00EA0658" w:rsidRDefault="00A21978" w:rsidP="00E260E1">
      <w:pPr>
        <w:autoSpaceDE w:val="0"/>
        <w:autoSpaceDN w:val="0"/>
        <w:adjustRightInd w:val="0"/>
        <w:spacing w:after="0" w:line="240" w:lineRule="auto"/>
        <w:rPr>
          <w:rFonts w:cstheme="minorHAnsi"/>
          <w:bCs/>
          <w:color w:val="0000FF"/>
        </w:rPr>
      </w:pPr>
      <w:r>
        <w:rPr>
          <w:rFonts w:cstheme="minorHAnsi"/>
          <w:bCs/>
          <w:color w:val="0000FF"/>
        </w:rPr>
        <w:t>The probability of a true optimal ESRD start among cases identifie</w:t>
      </w:r>
      <w:r w:rsidR="00474BC3">
        <w:rPr>
          <w:rFonts w:cstheme="minorHAnsi"/>
          <w:bCs/>
          <w:color w:val="0000FF"/>
        </w:rPr>
        <w:t>d</w:t>
      </w:r>
      <w:r>
        <w:rPr>
          <w:rFonts w:cstheme="minorHAnsi"/>
          <w:bCs/>
          <w:color w:val="0000FF"/>
        </w:rPr>
        <w:t xml:space="preserve"> by the region as optimal ESRD start, the positive predictive value (PPV), </w:t>
      </w:r>
      <w:r w:rsidR="00474BC3">
        <w:rPr>
          <w:rFonts w:cstheme="minorHAnsi"/>
          <w:bCs/>
          <w:color w:val="0000FF"/>
        </w:rPr>
        <w:t>i</w:t>
      </w:r>
      <w:r>
        <w:rPr>
          <w:rFonts w:cstheme="minorHAnsi"/>
          <w:bCs/>
          <w:color w:val="0000FF"/>
        </w:rPr>
        <w:t>s excellent at .94. Conversely, identification of a true non-optimal ESRD start</w:t>
      </w:r>
      <w:r w:rsidR="00544826">
        <w:rPr>
          <w:rFonts w:cstheme="minorHAnsi"/>
          <w:bCs/>
          <w:color w:val="0000FF"/>
        </w:rPr>
        <w:t xml:space="preserve"> among region reported cases as non-optimal ESRD starts</w:t>
      </w:r>
      <w:r>
        <w:rPr>
          <w:rFonts w:cstheme="minorHAnsi"/>
          <w:bCs/>
          <w:color w:val="0000FF"/>
        </w:rPr>
        <w:t xml:space="preserve">, negative predictive value (NPV), </w:t>
      </w:r>
      <w:r w:rsidR="00474BC3">
        <w:rPr>
          <w:rFonts w:cstheme="minorHAnsi"/>
          <w:bCs/>
          <w:color w:val="0000FF"/>
        </w:rPr>
        <w:t>i</w:t>
      </w:r>
      <w:r>
        <w:rPr>
          <w:rFonts w:cstheme="minorHAnsi"/>
          <w:bCs/>
          <w:color w:val="0000FF"/>
        </w:rPr>
        <w:t xml:space="preserve">s good at .79. Both PPV and NPV </w:t>
      </w:r>
      <w:r w:rsidR="00C1671C">
        <w:rPr>
          <w:rFonts w:cstheme="minorHAnsi"/>
          <w:bCs/>
          <w:color w:val="0000FF"/>
        </w:rPr>
        <w:t>are dependent upon prevalence of true optimal ESRD starts. As the use of optimal ESRD starts increase</w:t>
      </w:r>
      <w:r w:rsidR="00EA0658">
        <w:rPr>
          <w:rFonts w:cstheme="minorHAnsi"/>
          <w:bCs/>
          <w:color w:val="0000FF"/>
        </w:rPr>
        <w:t xml:space="preserve"> (prevalence)</w:t>
      </w:r>
      <w:r w:rsidR="00C1671C">
        <w:rPr>
          <w:rFonts w:cstheme="minorHAnsi"/>
          <w:bCs/>
          <w:color w:val="0000FF"/>
        </w:rPr>
        <w:t xml:space="preserve">, the PPV increases and NPV decreases. </w:t>
      </w:r>
    </w:p>
    <w:p w14:paraId="6D0149F3" w14:textId="77777777" w:rsidR="00EA0658" w:rsidRDefault="00EA0658" w:rsidP="00E260E1">
      <w:pPr>
        <w:autoSpaceDE w:val="0"/>
        <w:autoSpaceDN w:val="0"/>
        <w:adjustRightInd w:val="0"/>
        <w:spacing w:after="0" w:line="240" w:lineRule="auto"/>
        <w:rPr>
          <w:rFonts w:cstheme="minorHAnsi"/>
          <w:bCs/>
          <w:color w:val="0000FF"/>
        </w:rPr>
      </w:pPr>
    </w:p>
    <w:p w14:paraId="657EEF1A" w14:textId="77777777" w:rsidR="00E260E1" w:rsidRPr="001278C9" w:rsidRDefault="00EA0658" w:rsidP="00E260E1">
      <w:pPr>
        <w:autoSpaceDE w:val="0"/>
        <w:autoSpaceDN w:val="0"/>
        <w:adjustRightInd w:val="0"/>
        <w:spacing w:after="0" w:line="240" w:lineRule="auto"/>
        <w:rPr>
          <w:rFonts w:cstheme="minorHAnsi"/>
          <w:bCs/>
          <w:color w:val="0000FF"/>
        </w:rPr>
      </w:pPr>
      <w:proofErr w:type="gramStart"/>
      <w:r>
        <w:rPr>
          <w:rFonts w:cstheme="minorHAnsi"/>
          <w:bCs/>
          <w:color w:val="0000FF"/>
        </w:rPr>
        <w:t xml:space="preserve">A third pair of test assessments, based upon the sensitivity and specificity values, </w:t>
      </w:r>
      <w:r w:rsidR="00474BC3">
        <w:rPr>
          <w:rFonts w:cstheme="minorHAnsi"/>
          <w:bCs/>
          <w:color w:val="0000FF"/>
        </w:rPr>
        <w:t>a</w:t>
      </w:r>
      <w:r>
        <w:rPr>
          <w:rFonts w:cstheme="minorHAnsi"/>
          <w:bCs/>
          <w:color w:val="0000FF"/>
        </w:rPr>
        <w:t>re</w:t>
      </w:r>
      <w:proofErr w:type="gramEnd"/>
      <w:r>
        <w:rPr>
          <w:rFonts w:cstheme="minorHAnsi"/>
          <w:bCs/>
          <w:color w:val="0000FF"/>
        </w:rPr>
        <w:t xml:space="preserve"> the likelihood ratios. </w:t>
      </w:r>
      <w:r w:rsidR="00474BC3">
        <w:rPr>
          <w:rFonts w:cstheme="minorHAnsi"/>
          <w:bCs/>
          <w:color w:val="0000FF"/>
        </w:rPr>
        <w:t xml:space="preserve">This pair is independent of the prevalence of the optimal ESRD start. </w:t>
      </w:r>
      <w:r w:rsidR="00C1671C">
        <w:rPr>
          <w:rFonts w:cstheme="minorHAnsi"/>
          <w:bCs/>
          <w:color w:val="0000FF"/>
        </w:rPr>
        <w:t xml:space="preserve">The positive likelihood ratio (LR+), </w:t>
      </w:r>
      <w:r>
        <w:rPr>
          <w:rFonts w:cstheme="minorHAnsi"/>
          <w:bCs/>
          <w:color w:val="0000FF"/>
        </w:rPr>
        <w:t xml:space="preserve">sensitivity/(1 – specificity), </w:t>
      </w:r>
      <w:r w:rsidR="00474BC3">
        <w:rPr>
          <w:rFonts w:cstheme="minorHAnsi"/>
          <w:bCs/>
          <w:color w:val="0000FF"/>
        </w:rPr>
        <w:t xml:space="preserve">is </w:t>
      </w:r>
      <w:r w:rsidR="00C1671C">
        <w:rPr>
          <w:rFonts w:cstheme="minorHAnsi"/>
          <w:bCs/>
          <w:color w:val="0000FF"/>
        </w:rPr>
        <w:t>the odds of a true optimal ESRD start</w:t>
      </w:r>
      <w:r w:rsidR="00CB462C">
        <w:rPr>
          <w:rFonts w:cstheme="minorHAnsi"/>
          <w:bCs/>
          <w:color w:val="0000FF"/>
        </w:rPr>
        <w:t xml:space="preserve"> among region cases identified as an optimal ESRD start </w:t>
      </w:r>
      <w:r>
        <w:rPr>
          <w:rFonts w:cstheme="minorHAnsi"/>
          <w:bCs/>
          <w:color w:val="0000FF"/>
        </w:rPr>
        <w:t xml:space="preserve">(sensitivity) </w:t>
      </w:r>
      <w:r w:rsidR="00CB462C">
        <w:rPr>
          <w:rFonts w:cstheme="minorHAnsi"/>
          <w:bCs/>
          <w:color w:val="0000FF"/>
        </w:rPr>
        <w:t>compared to region cases identified as a non-optimal ESRD start</w:t>
      </w:r>
      <w:r>
        <w:rPr>
          <w:rFonts w:cstheme="minorHAnsi"/>
          <w:bCs/>
          <w:color w:val="0000FF"/>
        </w:rPr>
        <w:t xml:space="preserve"> (</w:t>
      </w:r>
      <w:r w:rsidR="00CB462C">
        <w:rPr>
          <w:rFonts w:cstheme="minorHAnsi"/>
          <w:bCs/>
          <w:color w:val="0000FF"/>
        </w:rPr>
        <w:t>(1-specificity)</w:t>
      </w:r>
      <w:r w:rsidR="00D10E5D">
        <w:rPr>
          <w:rFonts w:cstheme="minorHAnsi"/>
          <w:bCs/>
          <w:color w:val="0000FF"/>
        </w:rPr>
        <w:t xml:space="preserve"> </w:t>
      </w:r>
      <w:r w:rsidR="00306157">
        <w:rPr>
          <w:rFonts w:cstheme="minorHAnsi"/>
          <w:bCs/>
          <w:color w:val="0000FF"/>
        </w:rPr>
        <w:t>i</w:t>
      </w:r>
      <w:r w:rsidR="00CB462C">
        <w:rPr>
          <w:rFonts w:cstheme="minorHAnsi"/>
          <w:bCs/>
          <w:color w:val="0000FF"/>
        </w:rPr>
        <w:t>s 11.6</w:t>
      </w:r>
      <w:r w:rsidR="00D10E5D">
        <w:rPr>
          <w:rFonts w:cstheme="minorHAnsi"/>
          <w:bCs/>
          <w:color w:val="0000FF"/>
        </w:rPr>
        <w:t>. That is, the region correctly identifie</w:t>
      </w:r>
      <w:r w:rsidR="00306157">
        <w:rPr>
          <w:rFonts w:cstheme="minorHAnsi"/>
          <w:bCs/>
          <w:color w:val="0000FF"/>
        </w:rPr>
        <w:t>s</w:t>
      </w:r>
      <w:r w:rsidR="00D10E5D">
        <w:rPr>
          <w:rFonts w:cstheme="minorHAnsi"/>
          <w:bCs/>
          <w:color w:val="0000FF"/>
        </w:rPr>
        <w:t xml:space="preserve"> a true optimal ESRD start 11.6 times more often than it incorrectly identifie</w:t>
      </w:r>
      <w:r w:rsidR="00306157">
        <w:rPr>
          <w:rFonts w:cstheme="minorHAnsi"/>
          <w:bCs/>
          <w:color w:val="0000FF"/>
        </w:rPr>
        <w:t>s</w:t>
      </w:r>
      <w:r w:rsidR="00D10E5D">
        <w:rPr>
          <w:rFonts w:cstheme="minorHAnsi"/>
          <w:bCs/>
          <w:color w:val="0000FF"/>
        </w:rPr>
        <w:t xml:space="preserve"> a non-optimal ESRD start as optimal. This</w:t>
      </w:r>
      <w:r w:rsidR="00306157">
        <w:rPr>
          <w:rFonts w:cstheme="minorHAnsi"/>
          <w:bCs/>
          <w:color w:val="0000FF"/>
        </w:rPr>
        <w:t xml:space="preserve"> is more than double the generally accepted </w:t>
      </w:r>
      <w:r w:rsidR="00CB462C">
        <w:rPr>
          <w:rFonts w:cstheme="minorHAnsi"/>
          <w:bCs/>
          <w:color w:val="0000FF"/>
        </w:rPr>
        <w:t xml:space="preserve">rule that a test should </w:t>
      </w:r>
      <w:r w:rsidR="00D10E5D">
        <w:rPr>
          <w:rFonts w:cstheme="minorHAnsi"/>
          <w:bCs/>
          <w:color w:val="0000FF"/>
        </w:rPr>
        <w:t xml:space="preserve">have a ratio </w:t>
      </w:r>
      <w:r w:rsidR="00CB462C">
        <w:rPr>
          <w:rFonts w:cstheme="minorHAnsi"/>
          <w:bCs/>
          <w:color w:val="0000FF"/>
        </w:rPr>
        <w:t xml:space="preserve">greater than 5. The negative likelihood ratio (LR-), </w:t>
      </w:r>
      <w:r w:rsidR="00CB462C">
        <w:rPr>
          <w:rFonts w:cstheme="minorHAnsi"/>
          <w:bCs/>
          <w:color w:val="0000FF"/>
        </w:rPr>
        <w:lastRenderedPageBreak/>
        <w:t xml:space="preserve">calculated as (1-sensitivity)/specificity, </w:t>
      </w:r>
      <w:r w:rsidR="00306157">
        <w:rPr>
          <w:rFonts w:cstheme="minorHAnsi"/>
          <w:bCs/>
          <w:color w:val="0000FF"/>
        </w:rPr>
        <w:t xml:space="preserve">is </w:t>
      </w:r>
      <w:r w:rsidR="00CB462C">
        <w:rPr>
          <w:rFonts w:cstheme="minorHAnsi"/>
          <w:bCs/>
          <w:color w:val="0000FF"/>
        </w:rPr>
        <w:t xml:space="preserve">the odds of a </w:t>
      </w:r>
      <w:r w:rsidR="0004185C">
        <w:rPr>
          <w:rFonts w:cstheme="minorHAnsi"/>
          <w:bCs/>
          <w:color w:val="0000FF"/>
        </w:rPr>
        <w:t xml:space="preserve">true </w:t>
      </w:r>
      <w:r w:rsidR="00CB462C">
        <w:rPr>
          <w:rFonts w:cstheme="minorHAnsi"/>
          <w:bCs/>
          <w:color w:val="0000FF"/>
        </w:rPr>
        <w:t xml:space="preserve">optimal ESRD start among </w:t>
      </w:r>
      <w:r w:rsidR="00306157">
        <w:rPr>
          <w:rFonts w:cstheme="minorHAnsi"/>
          <w:bCs/>
          <w:color w:val="0000FF"/>
        </w:rPr>
        <w:t xml:space="preserve">cases </w:t>
      </w:r>
      <w:r w:rsidR="0004185C">
        <w:rPr>
          <w:rFonts w:cstheme="minorHAnsi"/>
          <w:bCs/>
          <w:color w:val="0000FF"/>
        </w:rPr>
        <w:t xml:space="preserve">identified by the </w:t>
      </w:r>
      <w:r w:rsidR="00CB462C">
        <w:rPr>
          <w:rFonts w:cstheme="minorHAnsi"/>
          <w:bCs/>
          <w:color w:val="0000FF"/>
        </w:rPr>
        <w:t xml:space="preserve">region </w:t>
      </w:r>
      <w:r w:rsidR="0004185C">
        <w:rPr>
          <w:rFonts w:cstheme="minorHAnsi"/>
          <w:bCs/>
          <w:color w:val="0000FF"/>
        </w:rPr>
        <w:t>as non-optimal</w:t>
      </w:r>
      <w:r w:rsidR="00CB462C">
        <w:rPr>
          <w:rFonts w:cstheme="minorHAnsi"/>
          <w:bCs/>
          <w:color w:val="0000FF"/>
        </w:rPr>
        <w:t xml:space="preserve"> compared to region </w:t>
      </w:r>
      <w:r w:rsidR="0004185C">
        <w:rPr>
          <w:rFonts w:cstheme="minorHAnsi"/>
          <w:bCs/>
          <w:color w:val="0000FF"/>
        </w:rPr>
        <w:t xml:space="preserve">correctly </w:t>
      </w:r>
      <w:r w:rsidR="00CB462C">
        <w:rPr>
          <w:rFonts w:cstheme="minorHAnsi"/>
          <w:bCs/>
          <w:color w:val="0000FF"/>
        </w:rPr>
        <w:t>identified non-optimal ESRD start</w:t>
      </w:r>
      <w:r w:rsidR="0004185C">
        <w:rPr>
          <w:rFonts w:cstheme="minorHAnsi"/>
          <w:bCs/>
          <w:color w:val="0000FF"/>
        </w:rPr>
        <w:t>s among non-optimal</w:t>
      </w:r>
      <w:r w:rsidR="00CB462C">
        <w:rPr>
          <w:rFonts w:cstheme="minorHAnsi"/>
          <w:bCs/>
          <w:color w:val="0000FF"/>
        </w:rPr>
        <w:t xml:space="preserve">. </w:t>
      </w:r>
      <w:r w:rsidR="00306157">
        <w:rPr>
          <w:rFonts w:cstheme="minorHAnsi"/>
          <w:bCs/>
          <w:color w:val="0000FF"/>
        </w:rPr>
        <w:t xml:space="preserve">The resulting </w:t>
      </w:r>
      <w:proofErr w:type="gramStart"/>
      <w:r w:rsidR="00306157">
        <w:rPr>
          <w:rFonts w:cstheme="minorHAnsi"/>
          <w:bCs/>
          <w:color w:val="0000FF"/>
        </w:rPr>
        <w:t xml:space="preserve">odds, </w:t>
      </w:r>
      <w:r w:rsidR="0004185C">
        <w:rPr>
          <w:rFonts w:cstheme="minorHAnsi"/>
          <w:bCs/>
          <w:color w:val="0000FF"/>
        </w:rPr>
        <w:t>.19</w:t>
      </w:r>
      <w:r w:rsidR="00306157">
        <w:rPr>
          <w:rFonts w:cstheme="minorHAnsi"/>
          <w:bCs/>
          <w:color w:val="0000FF"/>
        </w:rPr>
        <w:t>, meets</w:t>
      </w:r>
      <w:proofErr w:type="gramEnd"/>
      <w:r w:rsidR="0004185C">
        <w:rPr>
          <w:rFonts w:cstheme="minorHAnsi"/>
          <w:bCs/>
          <w:color w:val="0000FF"/>
        </w:rPr>
        <w:t xml:space="preserve"> the </w:t>
      </w:r>
      <w:r w:rsidR="00CB462C">
        <w:rPr>
          <w:rFonts w:cstheme="minorHAnsi"/>
          <w:bCs/>
          <w:color w:val="0000FF"/>
        </w:rPr>
        <w:t>general</w:t>
      </w:r>
      <w:r w:rsidR="0004185C">
        <w:rPr>
          <w:rFonts w:cstheme="minorHAnsi"/>
          <w:bCs/>
          <w:color w:val="0000FF"/>
        </w:rPr>
        <w:t>ly</w:t>
      </w:r>
      <w:r w:rsidR="00CB462C">
        <w:rPr>
          <w:rFonts w:cstheme="minorHAnsi"/>
          <w:bCs/>
          <w:color w:val="0000FF"/>
        </w:rPr>
        <w:t xml:space="preserve"> accepte</w:t>
      </w:r>
      <w:r w:rsidR="0004185C">
        <w:rPr>
          <w:rFonts w:cstheme="minorHAnsi"/>
          <w:bCs/>
          <w:color w:val="0000FF"/>
        </w:rPr>
        <w:t>d threshold that a LR- should be</w:t>
      </w:r>
      <w:r w:rsidR="00CB462C">
        <w:rPr>
          <w:rFonts w:cstheme="minorHAnsi"/>
          <w:bCs/>
          <w:color w:val="0000FF"/>
        </w:rPr>
        <w:t xml:space="preserve"> less than 0.2.</w:t>
      </w:r>
      <w:r w:rsidR="00BE554F">
        <w:rPr>
          <w:rFonts w:cstheme="minorHAnsi"/>
          <w:bCs/>
          <w:color w:val="0000FF"/>
        </w:rPr>
        <w:t xml:space="preserve"> </w:t>
      </w:r>
    </w:p>
    <w:p w14:paraId="51A7B427"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29B711BD"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6F3043C4"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
            <w:bCs/>
            <w:color w:val="0000FF"/>
          </w:rPr>
          <w:id w:val="854622499"/>
        </w:sdtPr>
        <w:sdtContent>
          <w:sdt>
            <w:sdtPr>
              <w:rPr>
                <w:rFonts w:cstheme="minorHAnsi"/>
                <w:bCs/>
                <w:color w:val="0000FF"/>
              </w:rPr>
              <w:id w:val="1258017340"/>
            </w:sdtPr>
            <w:sdtContent>
              <w:sdt>
                <w:sdtPr>
                  <w:rPr>
                    <w:rFonts w:cstheme="minorHAnsi"/>
                    <w:b/>
                    <w:bCs/>
                    <w:color w:val="0000FF"/>
                  </w:rPr>
                  <w:id w:val="1264805943"/>
                </w:sdtPr>
                <w:sdtContent>
                  <w:r w:rsidR="00A42D64" w:rsidRPr="00372EF7">
                    <w:rPr>
                      <w:rFonts w:ascii="MS Gothic" w:eastAsia="MS Gothic" w:hAnsi="MS Gothic" w:cstheme="minorHAnsi" w:hint="eastAsia"/>
                      <w:b/>
                      <w:bCs/>
                      <w:color w:val="0000FF"/>
                    </w:rPr>
                    <w:t>☒</w:t>
                  </w:r>
                </w:sdtContent>
              </w:sdt>
            </w:sdtContent>
          </w:sdt>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29A4BAAE" w14:textId="77777777" w:rsidR="00001D73" w:rsidRDefault="00001D73" w:rsidP="00DB3627">
      <w:pPr>
        <w:autoSpaceDE w:val="0"/>
        <w:autoSpaceDN w:val="0"/>
        <w:adjustRightInd w:val="0"/>
        <w:spacing w:after="0" w:line="240" w:lineRule="auto"/>
        <w:rPr>
          <w:rFonts w:cstheme="minorHAnsi"/>
          <w:b/>
          <w:bCs/>
        </w:rPr>
      </w:pPr>
    </w:p>
    <w:p w14:paraId="2F9A5E15" w14:textId="77777777" w:rsidR="002B1C5D" w:rsidRPr="00323EB0" w:rsidRDefault="00092566" w:rsidP="00A42D64">
      <w:pPr>
        <w:autoSpaceDE w:val="0"/>
        <w:autoSpaceDN w:val="0"/>
        <w:adjustRightInd w:val="0"/>
        <w:spacing w:after="0" w:line="240" w:lineRule="auto"/>
        <w:rPr>
          <w:rFonts w:cs="ArialMT"/>
          <w:color w:val="0000FF"/>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proofErr w:type="gramStart"/>
      <w:r w:rsidR="00833325" w:rsidRPr="00A25024">
        <w:rPr>
          <w:rFonts w:cstheme="minorHAnsi"/>
          <w:bCs/>
        </w:rPr>
        <w:t>)</w:t>
      </w:r>
      <w:proofErr w:type="gramEnd"/>
      <w:r w:rsidR="00833325" w:rsidRPr="00A25024">
        <w:rPr>
          <w:rFonts w:cstheme="minorHAnsi"/>
          <w:bCs/>
        </w:rPr>
        <w:br/>
      </w:r>
      <w:r w:rsidR="00A156A2">
        <w:rPr>
          <w:rFonts w:cs="ArialMT"/>
          <w:color w:val="0000FF"/>
        </w:rPr>
        <w:t xml:space="preserve">NA. </w:t>
      </w:r>
      <w:r w:rsidR="00A42D64">
        <w:rPr>
          <w:rFonts w:cs="ArialMT"/>
          <w:color w:val="0000FF"/>
        </w:rPr>
        <w:t>No exclusions.</w:t>
      </w:r>
    </w:p>
    <w:p w14:paraId="5018204C" w14:textId="77777777" w:rsidR="00323EB0" w:rsidRPr="00323EB0" w:rsidRDefault="00323EB0" w:rsidP="00323EB0">
      <w:pPr>
        <w:autoSpaceDE w:val="0"/>
        <w:autoSpaceDN w:val="0"/>
        <w:adjustRightInd w:val="0"/>
        <w:spacing w:after="0" w:line="240" w:lineRule="auto"/>
        <w:rPr>
          <w:rFonts w:cstheme="minorHAnsi"/>
          <w:bCs/>
        </w:rPr>
      </w:pPr>
    </w:p>
    <w:p w14:paraId="489BE730" w14:textId="77777777"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roofErr w:type="gramStart"/>
      <w:r w:rsidR="00A156A2">
        <w:rPr>
          <w:rFonts w:cstheme="minorHAnsi"/>
          <w:bCs/>
          <w:color w:val="0000FF"/>
        </w:rPr>
        <w:t>NA.</w:t>
      </w:r>
      <w:proofErr w:type="gramEnd"/>
      <w:r w:rsidR="00A156A2">
        <w:rPr>
          <w:rFonts w:cstheme="minorHAnsi"/>
          <w:bCs/>
          <w:color w:val="0000FF"/>
        </w:rPr>
        <w:t xml:space="preserve"> </w:t>
      </w:r>
      <w:r w:rsidR="00686437" w:rsidRPr="00652D9B">
        <w:rPr>
          <w:rFonts w:cstheme="minorHAnsi"/>
          <w:bCs/>
          <w:color w:val="0000FF"/>
        </w:rPr>
        <w:t>N</w:t>
      </w:r>
      <w:r w:rsidR="00686437">
        <w:rPr>
          <w:rFonts w:cstheme="minorHAnsi"/>
          <w:bCs/>
          <w:color w:val="0000FF"/>
        </w:rPr>
        <w:t>o exclusion</w:t>
      </w:r>
      <w:r w:rsidR="00A156A2">
        <w:rPr>
          <w:rFonts w:cstheme="minorHAnsi"/>
          <w:bCs/>
          <w:color w:val="0000FF"/>
        </w:rPr>
        <w:t>s</w:t>
      </w:r>
      <w:r w:rsidR="00A42D64">
        <w:rPr>
          <w:rFonts w:cstheme="minorHAnsi"/>
          <w:bCs/>
          <w:color w:val="0000FF"/>
        </w:rPr>
        <w:t>.</w:t>
      </w:r>
    </w:p>
    <w:p w14:paraId="200105A4" w14:textId="77777777" w:rsidR="00092566" w:rsidRPr="00092566" w:rsidRDefault="00092566" w:rsidP="00092566">
      <w:pPr>
        <w:autoSpaceDE w:val="0"/>
        <w:autoSpaceDN w:val="0"/>
        <w:adjustRightInd w:val="0"/>
        <w:spacing w:after="0" w:line="240" w:lineRule="auto"/>
        <w:rPr>
          <w:rFonts w:cstheme="minorHAnsi"/>
          <w:bCs/>
        </w:rPr>
      </w:pPr>
    </w:p>
    <w:p w14:paraId="624218F4" w14:textId="77777777"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652D9B" w:rsidRPr="00652D9B">
        <w:rPr>
          <w:rFonts w:cstheme="minorHAnsi"/>
          <w:bCs/>
          <w:color w:val="0000FF"/>
        </w:rPr>
        <w:t>NA</w:t>
      </w:r>
      <w:r w:rsidR="00A156A2">
        <w:rPr>
          <w:rFonts w:cstheme="minorHAnsi"/>
          <w:bCs/>
          <w:color w:val="0000FF"/>
        </w:rPr>
        <w:t>. No exclusions.</w:t>
      </w:r>
    </w:p>
    <w:p w14:paraId="1CC42135"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2B3ABC8E" w14:textId="77777777" w:rsidR="003218F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003218FB">
        <w:rPr>
          <w:rFonts w:cstheme="minorHAnsi"/>
          <w:b/>
          <w:bCs/>
        </w:rPr>
        <w:t xml:space="preserve"> </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7606650" w14:textId="77777777" w:rsidR="00D55306" w:rsidRPr="0086464B" w:rsidRDefault="00D55306" w:rsidP="00AC1D8E">
      <w:pPr>
        <w:autoSpaceDE w:val="0"/>
        <w:autoSpaceDN w:val="0"/>
        <w:adjustRightInd w:val="0"/>
        <w:spacing w:after="0" w:line="240" w:lineRule="auto"/>
        <w:rPr>
          <w:rFonts w:cstheme="minorHAnsi"/>
          <w:b/>
          <w:bCs/>
          <w:i/>
        </w:rPr>
      </w:pPr>
      <w:r>
        <w:rPr>
          <w:rFonts w:cstheme="minorHAnsi"/>
          <w:bCs/>
          <w:color w:val="0000FF"/>
        </w:rPr>
        <w:t>The optimal ESRD start is a process measure. This section, 2b4</w:t>
      </w:r>
      <w:r w:rsidR="00A46DAB">
        <w:rPr>
          <w:rFonts w:cstheme="minorHAnsi"/>
          <w:bCs/>
          <w:color w:val="0000FF"/>
        </w:rPr>
        <w:t>,</w:t>
      </w:r>
      <w:r>
        <w:rPr>
          <w:rFonts w:cstheme="minorHAnsi"/>
          <w:bCs/>
          <w:color w:val="0000FF"/>
        </w:rPr>
        <w:t xml:space="preserve"> is skipped per instructions.</w:t>
      </w:r>
    </w:p>
    <w:p w14:paraId="1841AC8F" w14:textId="77777777" w:rsidR="008871A9" w:rsidRDefault="008871A9" w:rsidP="00092566">
      <w:pPr>
        <w:autoSpaceDE w:val="0"/>
        <w:autoSpaceDN w:val="0"/>
        <w:adjustRightInd w:val="0"/>
        <w:spacing w:after="0" w:line="240" w:lineRule="auto"/>
        <w:rPr>
          <w:rFonts w:cstheme="minorHAnsi"/>
          <w:b/>
          <w:bCs/>
        </w:rPr>
      </w:pPr>
    </w:p>
    <w:p w14:paraId="2A85A4D8"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r w:rsidR="003218FB">
        <w:rPr>
          <w:rFonts w:cstheme="minorHAnsi"/>
          <w:b/>
          <w:bCs/>
        </w:rPr>
        <w:t xml:space="preserve"> </w:t>
      </w:r>
      <w:r w:rsidR="00E8454B" w:rsidRPr="00E8454B">
        <w:rPr>
          <w:rFonts w:cstheme="minorHAnsi"/>
          <w:bCs/>
          <w:color w:val="0000FF"/>
        </w:rPr>
        <w:t>NA</w:t>
      </w:r>
    </w:p>
    <w:p w14:paraId="6411C377" w14:textId="77777777" w:rsidR="00033038" w:rsidRPr="005232D6" w:rsidRDefault="00930DBB" w:rsidP="00092566">
      <w:pPr>
        <w:autoSpaceDE w:val="0"/>
        <w:autoSpaceDN w:val="0"/>
        <w:adjustRightInd w:val="0"/>
        <w:spacing w:after="0" w:line="240" w:lineRule="auto"/>
        <w:rPr>
          <w:rFonts w:cstheme="minorHAnsi"/>
          <w:b/>
          <w:bCs/>
        </w:rPr>
      </w:pPr>
      <w:sdt>
        <w:sdtPr>
          <w:rPr>
            <w:rFonts w:cstheme="minorHAnsi"/>
            <w:bCs/>
            <w:color w:val="0000FF"/>
          </w:rPr>
          <w:id w:val="-1450705013"/>
        </w:sdtPr>
        <w:sdtContent>
          <w:r w:rsidR="006D3C10">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188493A2" w14:textId="77777777" w:rsidR="00743E46" w:rsidRPr="005232D6" w:rsidRDefault="00930DBB" w:rsidP="00092566">
      <w:pPr>
        <w:autoSpaceDE w:val="0"/>
        <w:autoSpaceDN w:val="0"/>
        <w:adjustRightInd w:val="0"/>
        <w:spacing w:after="0" w:line="240" w:lineRule="auto"/>
        <w:rPr>
          <w:rFonts w:cstheme="minorHAnsi"/>
          <w:b/>
          <w:bCs/>
        </w:rPr>
      </w:pPr>
      <w:sdt>
        <w:sdtPr>
          <w:rPr>
            <w:rFonts w:cstheme="minorHAnsi"/>
            <w:bCs/>
            <w:color w:val="0000FF"/>
          </w:rPr>
          <w:id w:val="-912162535"/>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31207ACE" w14:textId="77777777" w:rsidR="00743E46" w:rsidRPr="005232D6" w:rsidRDefault="00930DBB" w:rsidP="00092566">
      <w:pPr>
        <w:autoSpaceDE w:val="0"/>
        <w:autoSpaceDN w:val="0"/>
        <w:adjustRightInd w:val="0"/>
        <w:spacing w:after="0" w:line="240" w:lineRule="auto"/>
        <w:rPr>
          <w:rFonts w:cstheme="minorHAnsi"/>
          <w:b/>
          <w:bCs/>
        </w:rPr>
      </w:pPr>
      <w:sdt>
        <w:sdtPr>
          <w:rPr>
            <w:rFonts w:cstheme="minorHAnsi"/>
            <w:bCs/>
            <w:color w:val="0000FF"/>
          </w:rPr>
          <w:id w:val="-1831823302"/>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4613F937" w14:textId="77777777" w:rsidR="00743E46" w:rsidRPr="005232D6" w:rsidRDefault="00930DBB" w:rsidP="00092566">
      <w:pPr>
        <w:autoSpaceDE w:val="0"/>
        <w:autoSpaceDN w:val="0"/>
        <w:adjustRightInd w:val="0"/>
        <w:spacing w:after="0" w:line="240" w:lineRule="auto"/>
        <w:rPr>
          <w:rFonts w:cstheme="minorHAnsi"/>
          <w:b/>
          <w:bCs/>
        </w:rPr>
      </w:pPr>
      <w:sdt>
        <w:sdtPr>
          <w:rPr>
            <w:rFonts w:cstheme="minorHAnsi"/>
            <w:bCs/>
            <w:color w:val="0000FF"/>
          </w:rPr>
          <w:id w:val="2076930997"/>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74C9EA8" w14:textId="77777777" w:rsidR="00743E46" w:rsidRDefault="00743E46" w:rsidP="00092566">
      <w:pPr>
        <w:autoSpaceDE w:val="0"/>
        <w:autoSpaceDN w:val="0"/>
        <w:adjustRightInd w:val="0"/>
        <w:spacing w:after="0" w:line="240" w:lineRule="auto"/>
        <w:rPr>
          <w:rFonts w:cstheme="minorHAnsi"/>
          <w:b/>
          <w:bCs/>
        </w:rPr>
      </w:pPr>
    </w:p>
    <w:p w14:paraId="216F472F" w14:textId="77777777" w:rsidR="00092566" w:rsidRPr="00885818" w:rsidRDefault="00743E46" w:rsidP="00092566">
      <w:pPr>
        <w:autoSpaceDE w:val="0"/>
        <w:autoSpaceDN w:val="0"/>
        <w:adjustRightInd w:val="0"/>
        <w:spacing w:after="0" w:line="240" w:lineRule="auto"/>
        <w:rPr>
          <w:rFonts w:cstheme="minorHAnsi"/>
          <w:bCs/>
          <w:i/>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3218FB">
        <w:rPr>
          <w:rFonts w:cstheme="minorHAnsi"/>
          <w:bCs/>
        </w:rPr>
        <w:t xml:space="preserve"> </w:t>
      </w:r>
      <w:proofErr w:type="gramStart"/>
      <w:r w:rsidR="00144669">
        <w:rPr>
          <w:rFonts w:cstheme="minorHAnsi"/>
          <w:bCs/>
          <w:color w:val="0000FF"/>
        </w:rPr>
        <w:t>NA.</w:t>
      </w:r>
      <w:proofErr w:type="gramEnd"/>
      <w:r w:rsidR="00144669">
        <w:rPr>
          <w:rFonts w:cstheme="minorHAnsi"/>
          <w:bCs/>
          <w:color w:val="0000FF"/>
        </w:rPr>
        <w:t xml:space="preserve"> This is a process measure.</w:t>
      </w:r>
    </w:p>
    <w:p w14:paraId="450A99BC" w14:textId="77777777" w:rsidR="00092566" w:rsidRPr="00A25024" w:rsidRDefault="00092566" w:rsidP="00092566">
      <w:pPr>
        <w:pStyle w:val="ListParagraph"/>
        <w:autoSpaceDE w:val="0"/>
        <w:autoSpaceDN w:val="0"/>
        <w:adjustRightInd w:val="0"/>
        <w:spacing w:after="0" w:line="240" w:lineRule="auto"/>
        <w:ind w:left="360"/>
        <w:rPr>
          <w:rFonts w:cstheme="minorHAnsi"/>
          <w:bCs/>
        </w:rPr>
      </w:pPr>
    </w:p>
    <w:p w14:paraId="42B89BF6" w14:textId="77777777"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003218FB">
        <w:rPr>
          <w:rFonts w:cstheme="minorHAnsi"/>
          <w:bCs/>
        </w:rPr>
        <w:t xml:space="preserve"> </w:t>
      </w:r>
      <w:r w:rsidR="003218FB" w:rsidRPr="00652D9B">
        <w:rPr>
          <w:rFonts w:cstheme="minorHAnsi"/>
          <w:bCs/>
          <w:color w:val="0000FF"/>
        </w:rPr>
        <w:t>NA</w:t>
      </w:r>
    </w:p>
    <w:p w14:paraId="3F43FDF7" w14:textId="77777777" w:rsidR="00001D73" w:rsidRPr="00001D73" w:rsidRDefault="00001D73" w:rsidP="00001D73">
      <w:pPr>
        <w:autoSpaceDE w:val="0"/>
        <w:autoSpaceDN w:val="0"/>
        <w:adjustRightInd w:val="0"/>
        <w:spacing w:after="0" w:line="240" w:lineRule="auto"/>
        <w:rPr>
          <w:rFonts w:cstheme="minorHAnsi"/>
          <w:bCs/>
        </w:rPr>
      </w:pPr>
    </w:p>
    <w:p w14:paraId="2E72BF27" w14:textId="77777777"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3218FB">
        <w:rPr>
          <w:rFonts w:cstheme="minorHAnsi"/>
          <w:b/>
          <w:bCs/>
        </w:rPr>
        <w:t xml:space="preserve"> </w:t>
      </w:r>
      <w:r w:rsidR="003218FB" w:rsidRPr="00652D9B">
        <w:rPr>
          <w:rFonts w:cstheme="minorHAnsi"/>
          <w:bCs/>
          <w:color w:val="0000FF"/>
        </w:rPr>
        <w:t>NA</w:t>
      </w:r>
    </w:p>
    <w:p w14:paraId="031C0D85" w14:textId="77777777" w:rsidR="00001D73" w:rsidRPr="00001D73" w:rsidRDefault="00001D73" w:rsidP="00001D73">
      <w:pPr>
        <w:autoSpaceDE w:val="0"/>
        <w:autoSpaceDN w:val="0"/>
        <w:adjustRightInd w:val="0"/>
        <w:spacing w:after="0" w:line="240" w:lineRule="auto"/>
        <w:rPr>
          <w:rFonts w:cstheme="minorHAnsi"/>
          <w:b/>
          <w:bCs/>
        </w:rPr>
      </w:pPr>
    </w:p>
    <w:p w14:paraId="663F4C54" w14:textId="77777777" w:rsidR="00092566" w:rsidRPr="003218FB" w:rsidRDefault="00E1508F" w:rsidP="00092566">
      <w:pPr>
        <w:autoSpaceDE w:val="0"/>
        <w:autoSpaceDN w:val="0"/>
        <w:adjustRightInd w:val="0"/>
        <w:spacing w:after="0" w:line="240" w:lineRule="auto"/>
        <w:rPr>
          <w:rFonts w:cstheme="minorHAnsi"/>
          <w:b/>
          <w:bCs/>
        </w:rPr>
      </w:pPr>
      <w:r>
        <w:rPr>
          <w:rFonts w:cstheme="minorHAnsi"/>
          <w:b/>
          <w:bCs/>
        </w:rPr>
        <w:lastRenderedPageBreak/>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3218FB">
        <w:rPr>
          <w:rFonts w:cstheme="minorHAnsi"/>
          <w:bCs/>
        </w:rPr>
        <w:t xml:space="preserve"> </w:t>
      </w:r>
      <w:r w:rsidR="003218FB" w:rsidRPr="00652D9B">
        <w:rPr>
          <w:rFonts w:cstheme="minorHAnsi"/>
          <w:bCs/>
          <w:color w:val="0000FF"/>
        </w:rPr>
        <w:t>NA</w:t>
      </w:r>
    </w:p>
    <w:p w14:paraId="25602862" w14:textId="77777777" w:rsidR="00092566" w:rsidRPr="00A25024" w:rsidRDefault="00092566" w:rsidP="00092566">
      <w:pPr>
        <w:autoSpaceDE w:val="0"/>
        <w:autoSpaceDN w:val="0"/>
        <w:adjustRightInd w:val="0"/>
        <w:spacing w:after="0" w:line="240" w:lineRule="auto"/>
        <w:rPr>
          <w:rFonts w:cstheme="minorHAnsi"/>
          <w:bCs/>
        </w:rPr>
      </w:pPr>
    </w:p>
    <w:p w14:paraId="74F9F75D"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34939ABB" w14:textId="77777777" w:rsidR="00743E46" w:rsidRDefault="00743E46" w:rsidP="00092566">
      <w:pPr>
        <w:autoSpaceDE w:val="0"/>
        <w:autoSpaceDN w:val="0"/>
        <w:adjustRightInd w:val="0"/>
        <w:spacing w:after="0" w:line="240" w:lineRule="auto"/>
        <w:rPr>
          <w:rFonts w:cstheme="minorHAnsi"/>
          <w:b/>
          <w:bCs/>
        </w:rPr>
      </w:pPr>
    </w:p>
    <w:p w14:paraId="1DA3B9CC" w14:textId="77777777"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3218FB" w:rsidRPr="00652D9B">
        <w:rPr>
          <w:rFonts w:cstheme="minorHAnsi"/>
          <w:bCs/>
          <w:color w:val="0000FF"/>
        </w:rPr>
        <w:t>NA</w:t>
      </w:r>
      <w:r w:rsidR="00092566" w:rsidRPr="00001D73">
        <w:rPr>
          <w:rFonts w:cstheme="minorHAnsi"/>
          <w:b/>
        </w:rPr>
        <w:br/>
      </w:r>
    </w:p>
    <w:p w14:paraId="2D1B93FD" w14:textId="77777777"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3218FB" w:rsidRPr="00652D9B">
        <w:rPr>
          <w:rFonts w:cstheme="minorHAnsi"/>
          <w:bCs/>
          <w:color w:val="0000FF"/>
        </w:rPr>
        <w:t>NA</w:t>
      </w:r>
      <w:r w:rsidR="00092566" w:rsidRPr="00A25024">
        <w:rPr>
          <w:rFonts w:cstheme="minorHAnsi"/>
          <w:bCs/>
        </w:rPr>
        <w:br/>
      </w:r>
    </w:p>
    <w:p w14:paraId="16091253" w14:textId="77777777"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r w:rsidR="00092566" w:rsidRPr="00A25024">
        <w:rPr>
          <w:rFonts w:cstheme="minorHAnsi"/>
          <w:bCs/>
        </w:rPr>
        <w:t>:</w:t>
      </w:r>
      <w:r w:rsidR="003218FB" w:rsidRPr="00652D9B">
        <w:rPr>
          <w:rFonts w:cstheme="minorHAnsi"/>
          <w:bCs/>
          <w:color w:val="0000FF"/>
        </w:rPr>
        <w:t xml:space="preserve"> NA</w:t>
      </w:r>
      <w:r w:rsidR="00092566" w:rsidRPr="00A25024">
        <w:rPr>
          <w:rFonts w:cstheme="minorHAnsi"/>
          <w:bCs/>
        </w:rPr>
        <w:br/>
      </w:r>
    </w:p>
    <w:p w14:paraId="7510C394" w14:textId="77777777" w:rsidR="00092566" w:rsidRDefault="00743E46" w:rsidP="003218FB">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r w:rsidR="003218FB" w:rsidRPr="00652D9B">
        <w:rPr>
          <w:rFonts w:cstheme="minorHAnsi"/>
          <w:bCs/>
          <w:color w:val="0000FF"/>
        </w:rPr>
        <w:t>NA</w:t>
      </w:r>
    </w:p>
    <w:p w14:paraId="1F2C0545" w14:textId="77777777" w:rsidR="003218FB" w:rsidRPr="003218FB" w:rsidRDefault="003218FB" w:rsidP="003218FB">
      <w:pPr>
        <w:autoSpaceDE w:val="0"/>
        <w:autoSpaceDN w:val="0"/>
        <w:adjustRightInd w:val="0"/>
        <w:spacing w:after="0" w:line="240" w:lineRule="auto"/>
        <w:rPr>
          <w:rFonts w:cstheme="minorHAnsi"/>
          <w:bCs/>
        </w:rPr>
      </w:pPr>
    </w:p>
    <w:p w14:paraId="76D2EF52"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3218FB">
        <w:rPr>
          <w:rFonts w:cstheme="minorHAnsi"/>
          <w:bCs/>
        </w:rPr>
        <w:t xml:space="preserve"> </w:t>
      </w:r>
      <w:r w:rsidR="003218FB" w:rsidRPr="00652D9B">
        <w:rPr>
          <w:rFonts w:cstheme="minorHAnsi"/>
          <w:bCs/>
          <w:color w:val="0000FF"/>
        </w:rPr>
        <w:t>NA</w:t>
      </w:r>
      <w:r w:rsidR="00092566" w:rsidRPr="00A25024">
        <w:rPr>
          <w:rFonts w:cstheme="minorHAnsi"/>
          <w:bCs/>
        </w:rPr>
        <w:br/>
      </w:r>
    </w:p>
    <w:p w14:paraId="15341307" w14:textId="77777777"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r w:rsidR="003218FB">
        <w:rPr>
          <w:rFonts w:cstheme="minorHAnsi"/>
        </w:rPr>
        <w:t xml:space="preserve"> </w:t>
      </w:r>
      <w:r w:rsidR="003218FB" w:rsidRPr="00652D9B">
        <w:rPr>
          <w:rFonts w:cstheme="minorHAnsi"/>
          <w:bCs/>
          <w:color w:val="0000FF"/>
        </w:rPr>
        <w:t>NA</w:t>
      </w:r>
    </w:p>
    <w:p w14:paraId="09CABF4D"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42199296" w14:textId="77777777"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14:paraId="6A19655F" w14:textId="77777777" w:rsidR="00FC4A84" w:rsidRDefault="00D61410" w:rsidP="00553A4D">
      <w:pPr>
        <w:autoSpaceDE w:val="0"/>
        <w:autoSpaceDN w:val="0"/>
        <w:adjustRightInd w:val="0"/>
        <w:spacing w:after="0" w:line="240" w:lineRule="auto"/>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w:t>
      </w:r>
      <w:r w:rsidR="000B3CAD">
        <w:rPr>
          <w:rFonts w:cstheme="minorHAnsi"/>
          <w:bCs/>
          <w:i/>
        </w:rPr>
        <w:t>.</w:t>
      </w:r>
      <w:r w:rsidRPr="00A25024">
        <w:rPr>
          <w:rFonts w:cstheme="minorHAnsi"/>
          <w:bCs/>
          <w:i/>
        </w:rPr>
        <w:t xml:space="preserve"> </w:t>
      </w:r>
    </w:p>
    <w:p w14:paraId="6B52E864" w14:textId="77777777" w:rsidR="001E2344" w:rsidRDefault="001E2344" w:rsidP="00553A4D">
      <w:pPr>
        <w:autoSpaceDE w:val="0"/>
        <w:autoSpaceDN w:val="0"/>
        <w:adjustRightInd w:val="0"/>
        <w:spacing w:after="0" w:line="240" w:lineRule="auto"/>
        <w:rPr>
          <w:rFonts w:cstheme="minorHAnsi"/>
          <w:bCs/>
          <w:i/>
        </w:rPr>
      </w:pPr>
    </w:p>
    <w:p w14:paraId="66AA4055" w14:textId="77777777" w:rsidR="00F72B42" w:rsidRPr="00F72B42" w:rsidRDefault="00D55306" w:rsidP="009742C8">
      <w:pPr>
        <w:autoSpaceDE w:val="0"/>
        <w:autoSpaceDN w:val="0"/>
        <w:adjustRightInd w:val="0"/>
        <w:spacing w:after="0" w:line="240" w:lineRule="auto"/>
        <w:rPr>
          <w:rFonts w:cstheme="minorHAnsi"/>
          <w:bCs/>
          <w:color w:val="0000FF"/>
        </w:rPr>
      </w:pPr>
      <w:r w:rsidRPr="005040E9">
        <w:rPr>
          <w:rFonts w:cstheme="minorHAnsi"/>
          <w:bCs/>
          <w:color w:val="0000FF"/>
        </w:rPr>
        <w:t xml:space="preserve">To identify statistically significant and meaningful differences in the optimal ESRD start metric, we compare the regions </w:t>
      </w:r>
      <w:r w:rsidR="00F66739">
        <w:rPr>
          <w:rFonts w:cstheme="minorHAnsi"/>
          <w:bCs/>
          <w:color w:val="0000FF"/>
        </w:rPr>
        <w:t xml:space="preserve">to the </w:t>
      </w:r>
      <w:r w:rsidR="00F72B42">
        <w:rPr>
          <w:rFonts w:cstheme="minorHAnsi"/>
          <w:bCs/>
          <w:color w:val="0000FF"/>
        </w:rPr>
        <w:t>all regions (</w:t>
      </w:r>
      <w:r w:rsidR="00F66739">
        <w:rPr>
          <w:rFonts w:cstheme="minorHAnsi"/>
          <w:bCs/>
          <w:color w:val="0000FF"/>
        </w:rPr>
        <w:t>regional aggregate</w:t>
      </w:r>
      <w:r w:rsidR="00F72B42">
        <w:rPr>
          <w:rFonts w:cstheme="minorHAnsi"/>
          <w:bCs/>
          <w:color w:val="0000FF"/>
        </w:rPr>
        <w:t>) performance</w:t>
      </w:r>
      <w:r w:rsidR="00F66739">
        <w:rPr>
          <w:rFonts w:cstheme="minorHAnsi"/>
          <w:bCs/>
          <w:color w:val="0000FF"/>
        </w:rPr>
        <w:t xml:space="preserve"> </w:t>
      </w:r>
      <w:r w:rsidRPr="005040E9">
        <w:rPr>
          <w:rFonts w:cstheme="minorHAnsi"/>
          <w:bCs/>
          <w:color w:val="0000FF"/>
        </w:rPr>
        <w:t xml:space="preserve">using CY2012 </w:t>
      </w:r>
      <w:r w:rsidR="00F66739">
        <w:rPr>
          <w:rFonts w:cstheme="minorHAnsi"/>
          <w:bCs/>
          <w:color w:val="0000FF"/>
        </w:rPr>
        <w:t xml:space="preserve">study </w:t>
      </w:r>
      <w:r w:rsidRPr="005040E9">
        <w:rPr>
          <w:rFonts w:cstheme="minorHAnsi"/>
          <w:bCs/>
          <w:color w:val="0000FF"/>
        </w:rPr>
        <w:t>performance results. Th</w:t>
      </w:r>
      <w:r w:rsidR="00F66739">
        <w:rPr>
          <w:rFonts w:cstheme="minorHAnsi"/>
          <w:bCs/>
          <w:color w:val="0000FF"/>
        </w:rPr>
        <w:t xml:space="preserve">e validity sample is drawn from the same CY2012 </w:t>
      </w:r>
      <w:r w:rsidRPr="005040E9">
        <w:rPr>
          <w:rFonts w:cstheme="minorHAnsi"/>
          <w:bCs/>
          <w:color w:val="0000FF"/>
        </w:rPr>
        <w:t>population</w:t>
      </w:r>
      <w:r w:rsidR="005040E9" w:rsidRPr="005040E9">
        <w:rPr>
          <w:rFonts w:cstheme="minorHAnsi"/>
          <w:bCs/>
          <w:color w:val="0000FF"/>
        </w:rPr>
        <w:t xml:space="preserve">. </w:t>
      </w:r>
      <w:r w:rsidR="00F72B42">
        <w:rPr>
          <w:rFonts w:cstheme="minorHAnsi"/>
          <w:bCs/>
          <w:color w:val="0000FF"/>
        </w:rPr>
        <w:t xml:space="preserve">The regional optimal ESRD start data, </w:t>
      </w:r>
      <w:r w:rsidR="00B03C4D">
        <w:rPr>
          <w:rFonts w:cstheme="minorHAnsi"/>
          <w:bCs/>
          <w:color w:val="0000FF"/>
        </w:rPr>
        <w:t>number of cases and proportion receiving an optimal ESRD start</w:t>
      </w:r>
      <w:r w:rsidR="00F72B42">
        <w:rPr>
          <w:rFonts w:cstheme="minorHAnsi"/>
          <w:bCs/>
          <w:color w:val="0000FF"/>
        </w:rPr>
        <w:t xml:space="preserve">, is used to test for significant differences among and between the regional performance and the all regions performance. </w:t>
      </w:r>
      <w:r w:rsidR="007132AE">
        <w:rPr>
          <w:rFonts w:cstheme="minorHAnsi"/>
          <w:bCs/>
          <w:color w:val="0000FF"/>
        </w:rPr>
        <w:t xml:space="preserve">A chi-square test is performed to test if there are any regional differences from the </w:t>
      </w:r>
      <w:r w:rsidR="00F72B42">
        <w:rPr>
          <w:rFonts w:cstheme="minorHAnsi"/>
          <w:bCs/>
          <w:color w:val="0000FF"/>
        </w:rPr>
        <w:t>all regions</w:t>
      </w:r>
      <w:r w:rsidR="00B03C4D">
        <w:rPr>
          <w:rFonts w:cstheme="minorHAnsi"/>
          <w:bCs/>
          <w:color w:val="0000FF"/>
        </w:rPr>
        <w:t xml:space="preserve"> performance</w:t>
      </w:r>
      <w:r w:rsidR="007132AE">
        <w:rPr>
          <w:rFonts w:cstheme="minorHAnsi"/>
          <w:bCs/>
          <w:color w:val="0000FF"/>
        </w:rPr>
        <w:t xml:space="preserve">. A second set of tests </w:t>
      </w:r>
      <w:r w:rsidR="00F72B42">
        <w:rPr>
          <w:rFonts w:cstheme="minorHAnsi"/>
          <w:bCs/>
          <w:color w:val="0000FF"/>
        </w:rPr>
        <w:t xml:space="preserve">to determine which region is different </w:t>
      </w:r>
      <w:r w:rsidR="007132AE">
        <w:rPr>
          <w:rFonts w:cstheme="minorHAnsi"/>
          <w:bCs/>
          <w:color w:val="0000FF"/>
        </w:rPr>
        <w:t xml:space="preserve">compares each </w:t>
      </w:r>
      <w:r w:rsidR="005040E9" w:rsidRPr="005040E9">
        <w:rPr>
          <w:rFonts w:cstheme="minorHAnsi"/>
          <w:bCs/>
          <w:color w:val="0000FF"/>
        </w:rPr>
        <w:t>region</w:t>
      </w:r>
      <w:r w:rsidR="00F66739">
        <w:rPr>
          <w:rFonts w:cstheme="minorHAnsi"/>
          <w:bCs/>
          <w:color w:val="0000FF"/>
        </w:rPr>
        <w:t xml:space="preserve">al optimal ESRD start proportion </w:t>
      </w:r>
      <w:r w:rsidR="007132AE">
        <w:rPr>
          <w:rFonts w:cstheme="minorHAnsi"/>
          <w:bCs/>
          <w:color w:val="0000FF"/>
        </w:rPr>
        <w:t>t</w:t>
      </w:r>
      <w:r w:rsidR="00F66739">
        <w:rPr>
          <w:rFonts w:cstheme="minorHAnsi"/>
          <w:bCs/>
          <w:color w:val="0000FF"/>
        </w:rPr>
        <w:t xml:space="preserve">o the </w:t>
      </w:r>
      <w:r w:rsidR="00F72B42">
        <w:rPr>
          <w:rFonts w:cstheme="minorHAnsi"/>
          <w:bCs/>
          <w:color w:val="0000FF"/>
        </w:rPr>
        <w:t xml:space="preserve">all </w:t>
      </w:r>
      <w:r w:rsidR="00F66739">
        <w:rPr>
          <w:rFonts w:cstheme="minorHAnsi"/>
          <w:bCs/>
          <w:color w:val="0000FF"/>
        </w:rPr>
        <w:t>region</w:t>
      </w:r>
      <w:r w:rsidR="00F72B42">
        <w:rPr>
          <w:rFonts w:cstheme="minorHAnsi"/>
          <w:bCs/>
          <w:color w:val="0000FF"/>
        </w:rPr>
        <w:t>s</w:t>
      </w:r>
      <w:r w:rsidR="00F66739">
        <w:rPr>
          <w:rFonts w:cstheme="minorHAnsi"/>
          <w:bCs/>
          <w:color w:val="0000FF"/>
        </w:rPr>
        <w:t xml:space="preserve"> proportion</w:t>
      </w:r>
      <w:r w:rsidR="005040E9" w:rsidRPr="005040E9">
        <w:rPr>
          <w:rFonts w:cstheme="minorHAnsi"/>
          <w:bCs/>
          <w:color w:val="0000FF"/>
        </w:rPr>
        <w:t xml:space="preserve"> and </w:t>
      </w:r>
      <w:r w:rsidR="007132AE">
        <w:rPr>
          <w:rFonts w:cstheme="minorHAnsi"/>
          <w:bCs/>
          <w:color w:val="0000FF"/>
        </w:rPr>
        <w:t xml:space="preserve">a </w:t>
      </w:r>
      <w:r w:rsidR="005040E9" w:rsidRPr="005040E9">
        <w:rPr>
          <w:rFonts w:cstheme="minorHAnsi"/>
          <w:bCs/>
          <w:color w:val="0000FF"/>
        </w:rPr>
        <w:t>95% confidence interval</w:t>
      </w:r>
      <w:r w:rsidR="007132AE">
        <w:rPr>
          <w:rFonts w:cstheme="minorHAnsi"/>
          <w:bCs/>
          <w:color w:val="0000FF"/>
        </w:rPr>
        <w:t xml:space="preserve"> is</w:t>
      </w:r>
      <w:r w:rsidR="005040E9" w:rsidRPr="005040E9">
        <w:rPr>
          <w:rFonts w:cstheme="minorHAnsi"/>
          <w:bCs/>
          <w:color w:val="0000FF"/>
        </w:rPr>
        <w:t xml:space="preserve"> </w:t>
      </w:r>
      <w:r w:rsidR="007132AE">
        <w:rPr>
          <w:rFonts w:cstheme="minorHAnsi"/>
          <w:bCs/>
          <w:color w:val="0000FF"/>
        </w:rPr>
        <w:t>used to determine statistical significance</w:t>
      </w:r>
      <w:r w:rsidR="005040E9" w:rsidRPr="005040E9">
        <w:rPr>
          <w:rFonts w:cstheme="minorHAnsi"/>
          <w:bCs/>
          <w:color w:val="0000FF"/>
        </w:rPr>
        <w:t xml:space="preserve">. </w:t>
      </w:r>
    </w:p>
    <w:p w14:paraId="2C72EE66" w14:textId="77777777" w:rsidR="00F72B42" w:rsidRDefault="00F72B42" w:rsidP="009742C8">
      <w:pPr>
        <w:autoSpaceDE w:val="0"/>
        <w:autoSpaceDN w:val="0"/>
        <w:adjustRightInd w:val="0"/>
        <w:spacing w:after="0" w:line="240" w:lineRule="auto"/>
        <w:rPr>
          <w:rFonts w:cstheme="minorHAnsi"/>
          <w:bCs/>
        </w:rPr>
      </w:pPr>
    </w:p>
    <w:p w14:paraId="503079A6"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14:paraId="6EB7B0CA" w14:textId="77777777" w:rsidR="00B03C4D" w:rsidRDefault="00B03C4D" w:rsidP="00D61410">
      <w:pPr>
        <w:autoSpaceDE w:val="0"/>
        <w:autoSpaceDN w:val="0"/>
        <w:adjustRightInd w:val="0"/>
        <w:spacing w:after="0" w:line="240" w:lineRule="auto"/>
        <w:rPr>
          <w:rFonts w:cstheme="minorHAnsi"/>
          <w:bCs/>
          <w:color w:val="0000FF"/>
        </w:rPr>
      </w:pPr>
      <w:r>
        <w:rPr>
          <w:rFonts w:cstheme="minorHAnsi"/>
          <w:bCs/>
          <w:color w:val="0000FF"/>
        </w:rPr>
        <w:t>For the chi-square test, the calculated statistic is 29.73 with 5 degrees of freedom. This is statistically significant (p-value is &lt; .0001).</w:t>
      </w:r>
    </w:p>
    <w:p w14:paraId="18062D45" w14:textId="77777777" w:rsidR="00B03C4D" w:rsidRDefault="00B03C4D" w:rsidP="00D61410">
      <w:pPr>
        <w:autoSpaceDE w:val="0"/>
        <w:autoSpaceDN w:val="0"/>
        <w:adjustRightInd w:val="0"/>
        <w:spacing w:after="0" w:line="240" w:lineRule="auto"/>
        <w:rPr>
          <w:rFonts w:cstheme="minorHAnsi"/>
          <w:bCs/>
          <w:color w:val="0000FF"/>
        </w:rPr>
      </w:pPr>
    </w:p>
    <w:p w14:paraId="40037B85" w14:textId="2ADF7D99" w:rsidR="00ED5177" w:rsidRDefault="00B03C4D" w:rsidP="00ED5177">
      <w:pPr>
        <w:autoSpaceDE w:val="0"/>
        <w:autoSpaceDN w:val="0"/>
        <w:adjustRightInd w:val="0"/>
        <w:spacing w:after="0" w:line="240" w:lineRule="auto"/>
        <w:rPr>
          <w:rFonts w:cstheme="minorHAnsi"/>
          <w:bCs/>
          <w:color w:val="0000FF"/>
        </w:rPr>
      </w:pPr>
      <w:r>
        <w:rPr>
          <w:rFonts w:cstheme="minorHAnsi"/>
          <w:bCs/>
          <w:color w:val="0000FF"/>
        </w:rPr>
        <w:t xml:space="preserve">Results comparing the region to all region optimal ESRD start proportion </w:t>
      </w:r>
      <w:r w:rsidR="00ED5177">
        <w:rPr>
          <w:rFonts w:cstheme="minorHAnsi"/>
          <w:bCs/>
          <w:color w:val="0000FF"/>
        </w:rPr>
        <w:t xml:space="preserve">are in Table 6. The table includes the number of cases, the number of optimal ESRD starts, optimal ESRD start proportion, difference from the all regions performance and the 95% confidence interval. One region, Region 1, is identified as significantly different from the all regions performance. For region 1, among the 110 cases newly diagnosed as ESRD in CY2012, 31 received an optimal ESRD start as identified by the region for a start proportion of .28, difference from the </w:t>
      </w:r>
      <w:r w:rsidR="00E44843">
        <w:rPr>
          <w:rFonts w:cstheme="minorHAnsi"/>
          <w:bCs/>
          <w:color w:val="0000FF"/>
        </w:rPr>
        <w:t>all regions is -.22 with a 95% CI</w:t>
      </w:r>
      <w:r w:rsidR="00ED5177">
        <w:rPr>
          <w:rFonts w:cstheme="minorHAnsi"/>
          <w:bCs/>
          <w:color w:val="0000FF"/>
        </w:rPr>
        <w:t xml:space="preserve"> (-0.32, -0.13)</w:t>
      </w:r>
      <w:r w:rsidR="00E44843">
        <w:rPr>
          <w:rFonts w:cstheme="minorHAnsi"/>
          <w:bCs/>
          <w:color w:val="0000FF"/>
        </w:rPr>
        <w:t>.</w:t>
      </w:r>
    </w:p>
    <w:p w14:paraId="60A673C8" w14:textId="77777777" w:rsidR="00CB6C5E" w:rsidRDefault="00CB6C5E" w:rsidP="00D61410">
      <w:pPr>
        <w:autoSpaceDE w:val="0"/>
        <w:autoSpaceDN w:val="0"/>
        <w:adjustRightInd w:val="0"/>
        <w:spacing w:after="0" w:line="240" w:lineRule="auto"/>
        <w:rPr>
          <w:rFonts w:cstheme="minorHAnsi"/>
          <w:bCs/>
        </w:rPr>
      </w:pPr>
    </w:p>
    <w:p w14:paraId="6CB4B105" w14:textId="77777777" w:rsidR="00F332F4" w:rsidRPr="000E49F6" w:rsidRDefault="00EC19DF" w:rsidP="009F7031">
      <w:pPr>
        <w:keepNext/>
        <w:keepLines/>
        <w:autoSpaceDE w:val="0"/>
        <w:autoSpaceDN w:val="0"/>
        <w:adjustRightInd w:val="0"/>
        <w:spacing w:after="0" w:line="240" w:lineRule="auto"/>
        <w:rPr>
          <w:rFonts w:cstheme="minorHAnsi"/>
          <w:bCs/>
          <w:color w:val="0000FF"/>
        </w:rPr>
      </w:pPr>
      <w:proofErr w:type="gramStart"/>
      <w:r w:rsidRPr="000E49F6">
        <w:rPr>
          <w:rFonts w:cstheme="minorHAnsi"/>
          <w:bCs/>
          <w:color w:val="0000FF"/>
        </w:rPr>
        <w:t>Table 6.</w:t>
      </w:r>
      <w:proofErr w:type="gramEnd"/>
      <w:r w:rsidRPr="000E49F6">
        <w:rPr>
          <w:rFonts w:cstheme="minorHAnsi"/>
          <w:bCs/>
          <w:color w:val="0000FF"/>
        </w:rPr>
        <w:t xml:space="preserve"> Optimal ESRD Start results</w:t>
      </w:r>
      <w:r w:rsidR="00A46DAB" w:rsidRPr="000E49F6">
        <w:rPr>
          <w:rFonts w:cstheme="minorHAnsi"/>
          <w:bCs/>
          <w:color w:val="0000FF"/>
        </w:rPr>
        <w:t xml:space="preserve"> by region</w:t>
      </w:r>
      <w:r w:rsidRPr="000E49F6">
        <w:rPr>
          <w:rFonts w:cstheme="minorHAnsi"/>
          <w:bCs/>
          <w:color w:val="0000FF"/>
        </w:rPr>
        <w:t>, measurement period CY 2012</w:t>
      </w:r>
      <w:r w:rsidR="00375EF3" w:rsidRPr="000E49F6">
        <w:rPr>
          <w:rFonts w:cstheme="minorHAnsi"/>
          <w:bCs/>
          <w:color w:val="0000FF"/>
        </w:rPr>
        <w:t>.</w:t>
      </w:r>
    </w:p>
    <w:tbl>
      <w:tblPr>
        <w:tblW w:w="7830" w:type="dxa"/>
        <w:tblInd w:w="108" w:type="dxa"/>
        <w:tblLook w:val="04A0" w:firstRow="1" w:lastRow="0" w:firstColumn="1" w:lastColumn="0" w:noHBand="0" w:noVBand="1"/>
      </w:tblPr>
      <w:tblGrid>
        <w:gridCol w:w="1170"/>
        <w:gridCol w:w="842"/>
        <w:gridCol w:w="1318"/>
        <w:gridCol w:w="1440"/>
        <w:gridCol w:w="1082"/>
        <w:gridCol w:w="898"/>
        <w:gridCol w:w="1080"/>
      </w:tblGrid>
      <w:tr w:rsidR="000E49F6" w:rsidRPr="000E49F6" w14:paraId="1916ECF7" w14:textId="77777777" w:rsidTr="00F51E93">
        <w:trPr>
          <w:trHeight w:val="276"/>
        </w:trPr>
        <w:tc>
          <w:tcPr>
            <w:tcW w:w="1170" w:type="dxa"/>
            <w:tcBorders>
              <w:top w:val="nil"/>
              <w:left w:val="nil"/>
              <w:bottom w:val="single" w:sz="4" w:space="0" w:color="auto"/>
              <w:right w:val="nil"/>
            </w:tcBorders>
            <w:shd w:val="clear" w:color="auto" w:fill="auto"/>
            <w:noWrap/>
            <w:vAlign w:val="bottom"/>
            <w:hideMark/>
          </w:tcPr>
          <w:p w14:paraId="6AF80633" w14:textId="77777777" w:rsidR="00ED5177" w:rsidRPr="000E49F6" w:rsidRDefault="00ED5177" w:rsidP="009F7031">
            <w:pPr>
              <w:keepNext/>
              <w:keepLines/>
              <w:spacing w:after="0" w:line="240" w:lineRule="auto"/>
              <w:jc w:val="center"/>
              <w:rPr>
                <w:rFonts w:ascii="Calibri" w:eastAsia="Times New Roman" w:hAnsi="Calibri" w:cs="Arial"/>
                <w:b/>
                <w:color w:val="0000FF"/>
                <w:sz w:val="20"/>
                <w:szCs w:val="20"/>
              </w:rPr>
            </w:pPr>
            <w:r w:rsidRPr="000E49F6">
              <w:rPr>
                <w:rFonts w:ascii="Calibri" w:eastAsia="Times New Roman" w:hAnsi="Calibri" w:cs="Arial"/>
                <w:b/>
                <w:color w:val="0000FF"/>
                <w:sz w:val="20"/>
                <w:szCs w:val="20"/>
              </w:rPr>
              <w:t>Region</w:t>
            </w:r>
          </w:p>
        </w:tc>
        <w:tc>
          <w:tcPr>
            <w:tcW w:w="842" w:type="dxa"/>
            <w:tcBorders>
              <w:top w:val="nil"/>
              <w:left w:val="nil"/>
              <w:bottom w:val="single" w:sz="4" w:space="0" w:color="auto"/>
              <w:right w:val="nil"/>
            </w:tcBorders>
            <w:shd w:val="clear" w:color="auto" w:fill="auto"/>
            <w:noWrap/>
            <w:vAlign w:val="bottom"/>
            <w:hideMark/>
          </w:tcPr>
          <w:p w14:paraId="4812B642" w14:textId="77777777" w:rsidR="00ED5177" w:rsidRPr="000E49F6" w:rsidRDefault="00ED5177" w:rsidP="009F7031">
            <w:pPr>
              <w:keepNext/>
              <w:keepLines/>
              <w:spacing w:after="0" w:line="240" w:lineRule="auto"/>
              <w:jc w:val="center"/>
              <w:rPr>
                <w:rFonts w:ascii="Calibri" w:eastAsia="Times New Roman" w:hAnsi="Calibri" w:cs="Arial"/>
                <w:b/>
                <w:color w:val="0000FF"/>
                <w:sz w:val="20"/>
                <w:szCs w:val="20"/>
              </w:rPr>
            </w:pPr>
            <w:r w:rsidRPr="000E49F6">
              <w:rPr>
                <w:rFonts w:ascii="Calibri" w:eastAsia="Times New Roman" w:hAnsi="Calibri" w:cs="Arial"/>
                <w:b/>
                <w:color w:val="0000FF"/>
                <w:sz w:val="20"/>
                <w:szCs w:val="20"/>
              </w:rPr>
              <w:t>N</w:t>
            </w:r>
          </w:p>
        </w:tc>
        <w:tc>
          <w:tcPr>
            <w:tcW w:w="1318" w:type="dxa"/>
            <w:tcBorders>
              <w:top w:val="nil"/>
              <w:left w:val="nil"/>
              <w:bottom w:val="single" w:sz="4" w:space="0" w:color="auto"/>
              <w:right w:val="nil"/>
            </w:tcBorders>
            <w:shd w:val="clear" w:color="auto" w:fill="auto"/>
            <w:noWrap/>
            <w:vAlign w:val="bottom"/>
            <w:hideMark/>
          </w:tcPr>
          <w:p w14:paraId="10E6D2D4" w14:textId="77777777" w:rsidR="00ED5177" w:rsidRPr="000E49F6" w:rsidRDefault="00ED5177" w:rsidP="009F7031">
            <w:pPr>
              <w:keepNext/>
              <w:keepLines/>
              <w:spacing w:after="0" w:line="240" w:lineRule="auto"/>
              <w:jc w:val="center"/>
              <w:rPr>
                <w:rFonts w:ascii="Calibri" w:eastAsia="Times New Roman" w:hAnsi="Calibri" w:cs="Arial"/>
                <w:b/>
                <w:color w:val="0000FF"/>
                <w:sz w:val="20"/>
                <w:szCs w:val="20"/>
              </w:rPr>
            </w:pPr>
            <w:r w:rsidRPr="000E49F6">
              <w:rPr>
                <w:rFonts w:ascii="Calibri" w:eastAsia="Times New Roman" w:hAnsi="Calibri" w:cs="Arial"/>
                <w:b/>
                <w:bCs/>
                <w:color w:val="0000FF"/>
                <w:sz w:val="18"/>
                <w:szCs w:val="18"/>
              </w:rPr>
              <w:t>Optimal ESRD Start Count</w:t>
            </w:r>
          </w:p>
        </w:tc>
        <w:tc>
          <w:tcPr>
            <w:tcW w:w="1440" w:type="dxa"/>
            <w:tcBorders>
              <w:top w:val="nil"/>
              <w:left w:val="nil"/>
              <w:bottom w:val="single" w:sz="4" w:space="0" w:color="auto"/>
              <w:right w:val="nil"/>
            </w:tcBorders>
            <w:shd w:val="clear" w:color="auto" w:fill="auto"/>
            <w:noWrap/>
            <w:vAlign w:val="bottom"/>
            <w:hideMark/>
          </w:tcPr>
          <w:p w14:paraId="0232C21F" w14:textId="77777777" w:rsidR="00ED5177" w:rsidRPr="000E49F6" w:rsidRDefault="00ED5177" w:rsidP="009F7031">
            <w:pPr>
              <w:keepNext/>
              <w:keepLines/>
              <w:spacing w:after="0" w:line="240" w:lineRule="auto"/>
              <w:jc w:val="center"/>
              <w:rPr>
                <w:rFonts w:ascii="Calibri" w:eastAsia="Times New Roman" w:hAnsi="Calibri" w:cs="Arial"/>
                <w:b/>
                <w:color w:val="0000FF"/>
                <w:sz w:val="20"/>
                <w:szCs w:val="20"/>
              </w:rPr>
            </w:pPr>
            <w:r w:rsidRPr="000E49F6">
              <w:rPr>
                <w:rFonts w:ascii="Calibri" w:eastAsia="Times New Roman" w:hAnsi="Calibri" w:cs="Arial"/>
                <w:b/>
                <w:bCs/>
                <w:color w:val="0000FF"/>
                <w:sz w:val="18"/>
                <w:szCs w:val="18"/>
              </w:rPr>
              <w:t>Opt ESRD Start Proportion</w:t>
            </w:r>
          </w:p>
        </w:tc>
        <w:tc>
          <w:tcPr>
            <w:tcW w:w="1082" w:type="dxa"/>
            <w:tcBorders>
              <w:top w:val="nil"/>
              <w:left w:val="nil"/>
              <w:bottom w:val="single" w:sz="4" w:space="0" w:color="auto"/>
              <w:right w:val="nil"/>
            </w:tcBorders>
            <w:shd w:val="clear" w:color="auto" w:fill="auto"/>
            <w:noWrap/>
            <w:vAlign w:val="bottom"/>
            <w:hideMark/>
          </w:tcPr>
          <w:p w14:paraId="704DCE17" w14:textId="77777777" w:rsidR="00ED5177" w:rsidRPr="000E49F6" w:rsidRDefault="00ED5177" w:rsidP="009F7031">
            <w:pPr>
              <w:keepNext/>
              <w:keepLines/>
              <w:spacing w:after="0" w:line="240" w:lineRule="auto"/>
              <w:jc w:val="center"/>
              <w:rPr>
                <w:rFonts w:ascii="Calibri" w:eastAsia="Times New Roman" w:hAnsi="Calibri" w:cs="Arial"/>
                <w:b/>
                <w:color w:val="0000FF"/>
                <w:sz w:val="20"/>
                <w:szCs w:val="20"/>
              </w:rPr>
            </w:pPr>
            <w:r w:rsidRPr="000E49F6">
              <w:rPr>
                <w:rFonts w:ascii="Calibri" w:eastAsia="Times New Roman" w:hAnsi="Calibri" w:cs="Arial"/>
                <w:b/>
                <w:color w:val="0000FF"/>
                <w:sz w:val="20"/>
                <w:szCs w:val="20"/>
              </w:rPr>
              <w:t>Difference</w:t>
            </w:r>
          </w:p>
        </w:tc>
        <w:tc>
          <w:tcPr>
            <w:tcW w:w="898" w:type="dxa"/>
            <w:tcBorders>
              <w:top w:val="nil"/>
              <w:left w:val="nil"/>
              <w:bottom w:val="single" w:sz="4" w:space="0" w:color="auto"/>
              <w:right w:val="nil"/>
            </w:tcBorders>
            <w:shd w:val="clear" w:color="auto" w:fill="auto"/>
            <w:noWrap/>
            <w:vAlign w:val="bottom"/>
            <w:hideMark/>
          </w:tcPr>
          <w:p w14:paraId="73E8365A" w14:textId="77777777" w:rsidR="00ED5177" w:rsidRPr="000E49F6" w:rsidRDefault="00ED5177" w:rsidP="009F7031">
            <w:pPr>
              <w:keepNext/>
              <w:keepLines/>
              <w:spacing w:after="0" w:line="240" w:lineRule="auto"/>
              <w:jc w:val="center"/>
              <w:rPr>
                <w:rFonts w:ascii="Calibri" w:eastAsia="Times New Roman" w:hAnsi="Calibri" w:cs="Arial"/>
                <w:b/>
                <w:color w:val="0000FF"/>
                <w:sz w:val="20"/>
                <w:szCs w:val="20"/>
              </w:rPr>
            </w:pPr>
            <w:r w:rsidRPr="000E49F6">
              <w:rPr>
                <w:rFonts w:ascii="Calibri" w:eastAsia="Times New Roman" w:hAnsi="Calibri" w:cs="Arial"/>
                <w:b/>
                <w:color w:val="0000FF"/>
                <w:sz w:val="20"/>
                <w:szCs w:val="20"/>
              </w:rPr>
              <w:t>LCL</w:t>
            </w:r>
          </w:p>
        </w:tc>
        <w:tc>
          <w:tcPr>
            <w:tcW w:w="1080" w:type="dxa"/>
            <w:tcBorders>
              <w:top w:val="nil"/>
              <w:left w:val="nil"/>
              <w:bottom w:val="single" w:sz="4" w:space="0" w:color="auto"/>
              <w:right w:val="nil"/>
            </w:tcBorders>
            <w:shd w:val="clear" w:color="auto" w:fill="auto"/>
            <w:noWrap/>
            <w:vAlign w:val="bottom"/>
            <w:hideMark/>
          </w:tcPr>
          <w:p w14:paraId="2E79FE20" w14:textId="77777777" w:rsidR="00ED5177" w:rsidRPr="000E49F6" w:rsidRDefault="00ED5177" w:rsidP="009F7031">
            <w:pPr>
              <w:keepNext/>
              <w:keepLines/>
              <w:spacing w:after="0" w:line="240" w:lineRule="auto"/>
              <w:jc w:val="center"/>
              <w:rPr>
                <w:rFonts w:ascii="Calibri" w:eastAsia="Times New Roman" w:hAnsi="Calibri" w:cs="Arial"/>
                <w:b/>
                <w:color w:val="0000FF"/>
                <w:sz w:val="20"/>
                <w:szCs w:val="20"/>
              </w:rPr>
            </w:pPr>
            <w:r w:rsidRPr="000E49F6">
              <w:rPr>
                <w:rFonts w:ascii="Calibri" w:eastAsia="Times New Roman" w:hAnsi="Calibri" w:cs="Arial"/>
                <w:b/>
                <w:color w:val="0000FF"/>
                <w:sz w:val="20"/>
                <w:szCs w:val="20"/>
              </w:rPr>
              <w:t>UCL</w:t>
            </w:r>
          </w:p>
        </w:tc>
      </w:tr>
      <w:tr w:rsidR="000E49F6" w:rsidRPr="000E49F6" w14:paraId="38C23639" w14:textId="77777777" w:rsidTr="00F51E93">
        <w:trPr>
          <w:trHeight w:val="276"/>
        </w:trPr>
        <w:tc>
          <w:tcPr>
            <w:tcW w:w="1170" w:type="dxa"/>
            <w:tcBorders>
              <w:top w:val="single" w:sz="4" w:space="0" w:color="auto"/>
              <w:left w:val="nil"/>
              <w:bottom w:val="nil"/>
              <w:right w:val="nil"/>
            </w:tcBorders>
            <w:shd w:val="clear" w:color="auto" w:fill="auto"/>
            <w:noWrap/>
            <w:vAlign w:val="bottom"/>
            <w:hideMark/>
          </w:tcPr>
          <w:p w14:paraId="1F8D8351"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1</w:t>
            </w:r>
          </w:p>
        </w:tc>
        <w:tc>
          <w:tcPr>
            <w:tcW w:w="842" w:type="dxa"/>
            <w:tcBorders>
              <w:top w:val="single" w:sz="4" w:space="0" w:color="auto"/>
              <w:left w:val="nil"/>
              <w:bottom w:val="nil"/>
              <w:right w:val="nil"/>
            </w:tcBorders>
            <w:shd w:val="clear" w:color="auto" w:fill="auto"/>
            <w:noWrap/>
            <w:vAlign w:val="bottom"/>
            <w:hideMark/>
          </w:tcPr>
          <w:p w14:paraId="12F38E20"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110</w:t>
            </w:r>
          </w:p>
        </w:tc>
        <w:tc>
          <w:tcPr>
            <w:tcW w:w="1318" w:type="dxa"/>
            <w:tcBorders>
              <w:top w:val="single" w:sz="4" w:space="0" w:color="auto"/>
              <w:left w:val="nil"/>
              <w:bottom w:val="nil"/>
              <w:right w:val="nil"/>
            </w:tcBorders>
            <w:shd w:val="clear" w:color="auto" w:fill="auto"/>
            <w:noWrap/>
            <w:vAlign w:val="bottom"/>
            <w:hideMark/>
          </w:tcPr>
          <w:p w14:paraId="24A010FB"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31</w:t>
            </w:r>
          </w:p>
        </w:tc>
        <w:tc>
          <w:tcPr>
            <w:tcW w:w="1440" w:type="dxa"/>
            <w:tcBorders>
              <w:top w:val="single" w:sz="4" w:space="0" w:color="auto"/>
              <w:left w:val="nil"/>
              <w:bottom w:val="nil"/>
              <w:right w:val="nil"/>
            </w:tcBorders>
            <w:shd w:val="clear" w:color="auto" w:fill="auto"/>
            <w:noWrap/>
            <w:vAlign w:val="bottom"/>
            <w:hideMark/>
          </w:tcPr>
          <w:p w14:paraId="2BB83F3B"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0.282</w:t>
            </w:r>
          </w:p>
        </w:tc>
        <w:tc>
          <w:tcPr>
            <w:tcW w:w="1082" w:type="dxa"/>
            <w:tcBorders>
              <w:top w:val="single" w:sz="4" w:space="0" w:color="auto"/>
              <w:left w:val="nil"/>
              <w:bottom w:val="nil"/>
              <w:right w:val="nil"/>
            </w:tcBorders>
            <w:shd w:val="clear" w:color="auto" w:fill="auto"/>
            <w:noWrap/>
            <w:vAlign w:val="bottom"/>
            <w:hideMark/>
          </w:tcPr>
          <w:p w14:paraId="565E904D"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-0.224</w:t>
            </w:r>
          </w:p>
        </w:tc>
        <w:tc>
          <w:tcPr>
            <w:tcW w:w="898" w:type="dxa"/>
            <w:tcBorders>
              <w:top w:val="single" w:sz="4" w:space="0" w:color="auto"/>
              <w:left w:val="nil"/>
              <w:bottom w:val="nil"/>
              <w:right w:val="nil"/>
            </w:tcBorders>
            <w:shd w:val="clear" w:color="auto" w:fill="auto"/>
            <w:noWrap/>
            <w:vAlign w:val="bottom"/>
            <w:hideMark/>
          </w:tcPr>
          <w:p w14:paraId="04D2B9F6"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-0.315</w:t>
            </w:r>
          </w:p>
        </w:tc>
        <w:tc>
          <w:tcPr>
            <w:tcW w:w="1080" w:type="dxa"/>
            <w:tcBorders>
              <w:top w:val="single" w:sz="4" w:space="0" w:color="auto"/>
              <w:left w:val="nil"/>
              <w:bottom w:val="nil"/>
              <w:right w:val="nil"/>
            </w:tcBorders>
            <w:shd w:val="clear" w:color="auto" w:fill="auto"/>
            <w:noWrap/>
            <w:vAlign w:val="bottom"/>
            <w:hideMark/>
          </w:tcPr>
          <w:p w14:paraId="2334B9A2"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-0.133</w:t>
            </w:r>
          </w:p>
        </w:tc>
      </w:tr>
      <w:tr w:rsidR="000E49F6" w:rsidRPr="000E49F6" w14:paraId="363CD16F" w14:textId="77777777" w:rsidTr="00F51E93">
        <w:trPr>
          <w:trHeight w:val="276"/>
        </w:trPr>
        <w:tc>
          <w:tcPr>
            <w:tcW w:w="1170" w:type="dxa"/>
            <w:tcBorders>
              <w:top w:val="nil"/>
              <w:left w:val="nil"/>
              <w:bottom w:val="nil"/>
              <w:right w:val="nil"/>
            </w:tcBorders>
            <w:shd w:val="clear" w:color="auto" w:fill="auto"/>
            <w:noWrap/>
            <w:vAlign w:val="bottom"/>
            <w:hideMark/>
          </w:tcPr>
          <w:p w14:paraId="0DA6EF4B"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2</w:t>
            </w:r>
          </w:p>
        </w:tc>
        <w:tc>
          <w:tcPr>
            <w:tcW w:w="842" w:type="dxa"/>
            <w:tcBorders>
              <w:top w:val="nil"/>
              <w:left w:val="nil"/>
              <w:bottom w:val="nil"/>
              <w:right w:val="nil"/>
            </w:tcBorders>
            <w:shd w:val="clear" w:color="auto" w:fill="auto"/>
            <w:noWrap/>
            <w:vAlign w:val="bottom"/>
            <w:hideMark/>
          </w:tcPr>
          <w:p w14:paraId="5836C7C4"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87</w:t>
            </w:r>
          </w:p>
        </w:tc>
        <w:tc>
          <w:tcPr>
            <w:tcW w:w="1318" w:type="dxa"/>
            <w:tcBorders>
              <w:top w:val="nil"/>
              <w:left w:val="nil"/>
              <w:bottom w:val="nil"/>
              <w:right w:val="nil"/>
            </w:tcBorders>
            <w:shd w:val="clear" w:color="auto" w:fill="auto"/>
            <w:noWrap/>
            <w:vAlign w:val="bottom"/>
            <w:hideMark/>
          </w:tcPr>
          <w:p w14:paraId="489A9AE5"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42</w:t>
            </w:r>
          </w:p>
        </w:tc>
        <w:tc>
          <w:tcPr>
            <w:tcW w:w="1440" w:type="dxa"/>
            <w:tcBorders>
              <w:top w:val="nil"/>
              <w:left w:val="nil"/>
              <w:bottom w:val="nil"/>
              <w:right w:val="nil"/>
            </w:tcBorders>
            <w:shd w:val="clear" w:color="auto" w:fill="auto"/>
            <w:noWrap/>
            <w:vAlign w:val="bottom"/>
            <w:hideMark/>
          </w:tcPr>
          <w:p w14:paraId="6E352439"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0.483</w:t>
            </w:r>
          </w:p>
        </w:tc>
        <w:tc>
          <w:tcPr>
            <w:tcW w:w="1082" w:type="dxa"/>
            <w:tcBorders>
              <w:top w:val="nil"/>
              <w:left w:val="nil"/>
              <w:bottom w:val="nil"/>
              <w:right w:val="nil"/>
            </w:tcBorders>
            <w:shd w:val="clear" w:color="auto" w:fill="auto"/>
            <w:noWrap/>
            <w:vAlign w:val="bottom"/>
            <w:hideMark/>
          </w:tcPr>
          <w:p w14:paraId="07BB812B"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-0.023</w:t>
            </w:r>
          </w:p>
        </w:tc>
        <w:tc>
          <w:tcPr>
            <w:tcW w:w="898" w:type="dxa"/>
            <w:tcBorders>
              <w:top w:val="nil"/>
              <w:left w:val="nil"/>
              <w:bottom w:val="nil"/>
              <w:right w:val="nil"/>
            </w:tcBorders>
            <w:shd w:val="clear" w:color="auto" w:fill="auto"/>
            <w:noWrap/>
            <w:vAlign w:val="bottom"/>
            <w:hideMark/>
          </w:tcPr>
          <w:p w14:paraId="3F56F5CF"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-0.136</w:t>
            </w:r>
          </w:p>
        </w:tc>
        <w:tc>
          <w:tcPr>
            <w:tcW w:w="1080" w:type="dxa"/>
            <w:tcBorders>
              <w:top w:val="nil"/>
              <w:left w:val="nil"/>
              <w:bottom w:val="nil"/>
              <w:right w:val="nil"/>
            </w:tcBorders>
            <w:shd w:val="clear" w:color="auto" w:fill="auto"/>
            <w:noWrap/>
            <w:vAlign w:val="bottom"/>
            <w:hideMark/>
          </w:tcPr>
          <w:p w14:paraId="0620DFF8"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0.090</w:t>
            </w:r>
          </w:p>
        </w:tc>
      </w:tr>
      <w:tr w:rsidR="000E49F6" w:rsidRPr="000E49F6" w14:paraId="6F43DD15" w14:textId="77777777" w:rsidTr="00F51E93">
        <w:trPr>
          <w:trHeight w:val="276"/>
        </w:trPr>
        <w:tc>
          <w:tcPr>
            <w:tcW w:w="1170" w:type="dxa"/>
            <w:tcBorders>
              <w:top w:val="nil"/>
              <w:left w:val="nil"/>
              <w:bottom w:val="nil"/>
              <w:right w:val="nil"/>
            </w:tcBorders>
            <w:shd w:val="clear" w:color="auto" w:fill="auto"/>
            <w:noWrap/>
            <w:vAlign w:val="bottom"/>
            <w:hideMark/>
          </w:tcPr>
          <w:p w14:paraId="563B6CD5"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3</w:t>
            </w:r>
          </w:p>
        </w:tc>
        <w:tc>
          <w:tcPr>
            <w:tcW w:w="842" w:type="dxa"/>
            <w:tcBorders>
              <w:top w:val="nil"/>
              <w:left w:val="nil"/>
              <w:bottom w:val="nil"/>
              <w:right w:val="nil"/>
            </w:tcBorders>
            <w:shd w:val="clear" w:color="auto" w:fill="auto"/>
            <w:noWrap/>
            <w:vAlign w:val="bottom"/>
            <w:hideMark/>
          </w:tcPr>
          <w:p w14:paraId="40CB1B98"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76</w:t>
            </w:r>
          </w:p>
        </w:tc>
        <w:tc>
          <w:tcPr>
            <w:tcW w:w="1318" w:type="dxa"/>
            <w:tcBorders>
              <w:top w:val="nil"/>
              <w:left w:val="nil"/>
              <w:bottom w:val="nil"/>
              <w:right w:val="nil"/>
            </w:tcBorders>
            <w:shd w:val="clear" w:color="auto" w:fill="auto"/>
            <w:noWrap/>
            <w:vAlign w:val="bottom"/>
            <w:hideMark/>
          </w:tcPr>
          <w:p w14:paraId="4AEE657E"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32</w:t>
            </w:r>
          </w:p>
        </w:tc>
        <w:tc>
          <w:tcPr>
            <w:tcW w:w="1440" w:type="dxa"/>
            <w:tcBorders>
              <w:top w:val="nil"/>
              <w:left w:val="nil"/>
              <w:bottom w:val="nil"/>
              <w:right w:val="nil"/>
            </w:tcBorders>
            <w:shd w:val="clear" w:color="auto" w:fill="auto"/>
            <w:noWrap/>
            <w:vAlign w:val="bottom"/>
            <w:hideMark/>
          </w:tcPr>
          <w:p w14:paraId="36B8735B"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0.421</w:t>
            </w:r>
          </w:p>
        </w:tc>
        <w:tc>
          <w:tcPr>
            <w:tcW w:w="1082" w:type="dxa"/>
            <w:tcBorders>
              <w:top w:val="nil"/>
              <w:left w:val="nil"/>
              <w:bottom w:val="nil"/>
              <w:right w:val="nil"/>
            </w:tcBorders>
            <w:shd w:val="clear" w:color="auto" w:fill="auto"/>
            <w:noWrap/>
            <w:vAlign w:val="bottom"/>
            <w:hideMark/>
          </w:tcPr>
          <w:p w14:paraId="5D2E4911"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-0.085</w:t>
            </w:r>
          </w:p>
        </w:tc>
        <w:tc>
          <w:tcPr>
            <w:tcW w:w="898" w:type="dxa"/>
            <w:tcBorders>
              <w:top w:val="nil"/>
              <w:left w:val="nil"/>
              <w:bottom w:val="nil"/>
              <w:right w:val="nil"/>
            </w:tcBorders>
            <w:shd w:val="clear" w:color="auto" w:fill="auto"/>
            <w:noWrap/>
            <w:vAlign w:val="bottom"/>
            <w:hideMark/>
          </w:tcPr>
          <w:p w14:paraId="53B5F74D"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-0.204</w:t>
            </w:r>
          </w:p>
        </w:tc>
        <w:tc>
          <w:tcPr>
            <w:tcW w:w="1080" w:type="dxa"/>
            <w:tcBorders>
              <w:top w:val="nil"/>
              <w:left w:val="nil"/>
              <w:bottom w:val="nil"/>
              <w:right w:val="nil"/>
            </w:tcBorders>
            <w:shd w:val="clear" w:color="auto" w:fill="auto"/>
            <w:noWrap/>
            <w:vAlign w:val="bottom"/>
            <w:hideMark/>
          </w:tcPr>
          <w:p w14:paraId="06DD34EB"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0.035</w:t>
            </w:r>
          </w:p>
        </w:tc>
      </w:tr>
      <w:tr w:rsidR="000E49F6" w:rsidRPr="000E49F6" w14:paraId="639A807C" w14:textId="77777777" w:rsidTr="00F51E93">
        <w:trPr>
          <w:trHeight w:val="276"/>
        </w:trPr>
        <w:tc>
          <w:tcPr>
            <w:tcW w:w="1170" w:type="dxa"/>
            <w:tcBorders>
              <w:top w:val="nil"/>
              <w:left w:val="nil"/>
              <w:bottom w:val="nil"/>
              <w:right w:val="nil"/>
            </w:tcBorders>
            <w:shd w:val="clear" w:color="auto" w:fill="auto"/>
            <w:noWrap/>
            <w:vAlign w:val="bottom"/>
            <w:hideMark/>
          </w:tcPr>
          <w:p w14:paraId="198553EF"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4</w:t>
            </w:r>
          </w:p>
        </w:tc>
        <w:tc>
          <w:tcPr>
            <w:tcW w:w="842" w:type="dxa"/>
            <w:tcBorders>
              <w:top w:val="nil"/>
              <w:left w:val="nil"/>
              <w:bottom w:val="nil"/>
              <w:right w:val="nil"/>
            </w:tcBorders>
            <w:shd w:val="clear" w:color="auto" w:fill="auto"/>
            <w:noWrap/>
            <w:vAlign w:val="bottom"/>
            <w:hideMark/>
          </w:tcPr>
          <w:p w14:paraId="2AF1C17B"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1031</w:t>
            </w:r>
          </w:p>
        </w:tc>
        <w:tc>
          <w:tcPr>
            <w:tcW w:w="1318" w:type="dxa"/>
            <w:tcBorders>
              <w:top w:val="nil"/>
              <w:left w:val="nil"/>
              <w:bottom w:val="nil"/>
              <w:right w:val="nil"/>
            </w:tcBorders>
            <w:shd w:val="clear" w:color="auto" w:fill="auto"/>
            <w:noWrap/>
            <w:vAlign w:val="bottom"/>
            <w:hideMark/>
          </w:tcPr>
          <w:p w14:paraId="1798545E"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516</w:t>
            </w:r>
          </w:p>
        </w:tc>
        <w:tc>
          <w:tcPr>
            <w:tcW w:w="1440" w:type="dxa"/>
            <w:tcBorders>
              <w:top w:val="nil"/>
              <w:left w:val="nil"/>
              <w:bottom w:val="nil"/>
              <w:right w:val="nil"/>
            </w:tcBorders>
            <w:shd w:val="clear" w:color="auto" w:fill="auto"/>
            <w:noWrap/>
            <w:vAlign w:val="bottom"/>
            <w:hideMark/>
          </w:tcPr>
          <w:p w14:paraId="49E954F8"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0.500</w:t>
            </w:r>
          </w:p>
        </w:tc>
        <w:tc>
          <w:tcPr>
            <w:tcW w:w="1082" w:type="dxa"/>
            <w:tcBorders>
              <w:top w:val="nil"/>
              <w:left w:val="nil"/>
              <w:bottom w:val="nil"/>
              <w:right w:val="nil"/>
            </w:tcBorders>
            <w:shd w:val="clear" w:color="auto" w:fill="auto"/>
            <w:noWrap/>
            <w:vAlign w:val="bottom"/>
            <w:hideMark/>
          </w:tcPr>
          <w:p w14:paraId="176D7820"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-0.005</w:t>
            </w:r>
          </w:p>
        </w:tc>
        <w:tc>
          <w:tcPr>
            <w:tcW w:w="898" w:type="dxa"/>
            <w:tcBorders>
              <w:top w:val="nil"/>
              <w:left w:val="nil"/>
              <w:bottom w:val="nil"/>
              <w:right w:val="nil"/>
            </w:tcBorders>
            <w:shd w:val="clear" w:color="auto" w:fill="auto"/>
            <w:noWrap/>
            <w:vAlign w:val="bottom"/>
            <w:hideMark/>
          </w:tcPr>
          <w:p w14:paraId="5DA628C8"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-0.042</w:t>
            </w:r>
          </w:p>
        </w:tc>
        <w:tc>
          <w:tcPr>
            <w:tcW w:w="1080" w:type="dxa"/>
            <w:tcBorders>
              <w:top w:val="nil"/>
              <w:left w:val="nil"/>
              <w:bottom w:val="nil"/>
              <w:right w:val="nil"/>
            </w:tcBorders>
            <w:shd w:val="clear" w:color="auto" w:fill="auto"/>
            <w:noWrap/>
            <w:vAlign w:val="bottom"/>
            <w:hideMark/>
          </w:tcPr>
          <w:p w14:paraId="4A777399"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0.031</w:t>
            </w:r>
          </w:p>
        </w:tc>
      </w:tr>
      <w:tr w:rsidR="000E49F6" w:rsidRPr="000E49F6" w14:paraId="5E767FF3" w14:textId="77777777" w:rsidTr="00F51E93">
        <w:trPr>
          <w:trHeight w:val="276"/>
        </w:trPr>
        <w:tc>
          <w:tcPr>
            <w:tcW w:w="1170" w:type="dxa"/>
            <w:tcBorders>
              <w:top w:val="nil"/>
              <w:left w:val="nil"/>
              <w:right w:val="nil"/>
            </w:tcBorders>
            <w:shd w:val="clear" w:color="auto" w:fill="auto"/>
            <w:noWrap/>
            <w:vAlign w:val="bottom"/>
            <w:hideMark/>
          </w:tcPr>
          <w:p w14:paraId="393FEEF6"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5</w:t>
            </w:r>
          </w:p>
        </w:tc>
        <w:tc>
          <w:tcPr>
            <w:tcW w:w="842" w:type="dxa"/>
            <w:tcBorders>
              <w:top w:val="nil"/>
              <w:left w:val="nil"/>
              <w:right w:val="nil"/>
            </w:tcBorders>
            <w:shd w:val="clear" w:color="auto" w:fill="auto"/>
            <w:noWrap/>
            <w:vAlign w:val="bottom"/>
            <w:hideMark/>
          </w:tcPr>
          <w:p w14:paraId="64BF2C01"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134</w:t>
            </w:r>
          </w:p>
        </w:tc>
        <w:tc>
          <w:tcPr>
            <w:tcW w:w="1318" w:type="dxa"/>
            <w:tcBorders>
              <w:top w:val="nil"/>
              <w:left w:val="nil"/>
              <w:right w:val="nil"/>
            </w:tcBorders>
            <w:shd w:val="clear" w:color="auto" w:fill="auto"/>
            <w:noWrap/>
            <w:vAlign w:val="bottom"/>
            <w:hideMark/>
          </w:tcPr>
          <w:p w14:paraId="15081DFF"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76</w:t>
            </w:r>
          </w:p>
        </w:tc>
        <w:tc>
          <w:tcPr>
            <w:tcW w:w="1440" w:type="dxa"/>
            <w:tcBorders>
              <w:top w:val="nil"/>
              <w:left w:val="nil"/>
              <w:right w:val="nil"/>
            </w:tcBorders>
            <w:shd w:val="clear" w:color="auto" w:fill="auto"/>
            <w:noWrap/>
            <w:vAlign w:val="bottom"/>
            <w:hideMark/>
          </w:tcPr>
          <w:p w14:paraId="73738E3C"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0.567</w:t>
            </w:r>
          </w:p>
        </w:tc>
        <w:tc>
          <w:tcPr>
            <w:tcW w:w="1082" w:type="dxa"/>
            <w:tcBorders>
              <w:top w:val="nil"/>
              <w:left w:val="nil"/>
              <w:right w:val="nil"/>
            </w:tcBorders>
            <w:shd w:val="clear" w:color="auto" w:fill="auto"/>
            <w:noWrap/>
            <w:vAlign w:val="bottom"/>
            <w:hideMark/>
          </w:tcPr>
          <w:p w14:paraId="33248264"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0.061</w:t>
            </w:r>
          </w:p>
        </w:tc>
        <w:tc>
          <w:tcPr>
            <w:tcW w:w="898" w:type="dxa"/>
            <w:tcBorders>
              <w:top w:val="nil"/>
              <w:left w:val="nil"/>
              <w:right w:val="nil"/>
            </w:tcBorders>
            <w:shd w:val="clear" w:color="auto" w:fill="auto"/>
            <w:noWrap/>
            <w:vAlign w:val="bottom"/>
            <w:hideMark/>
          </w:tcPr>
          <w:p w14:paraId="1AAB1411"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-0.029</w:t>
            </w:r>
          </w:p>
        </w:tc>
        <w:tc>
          <w:tcPr>
            <w:tcW w:w="1080" w:type="dxa"/>
            <w:tcBorders>
              <w:top w:val="nil"/>
              <w:left w:val="nil"/>
              <w:right w:val="nil"/>
            </w:tcBorders>
            <w:shd w:val="clear" w:color="auto" w:fill="auto"/>
            <w:noWrap/>
            <w:vAlign w:val="bottom"/>
            <w:hideMark/>
          </w:tcPr>
          <w:p w14:paraId="302D8C92"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0.151</w:t>
            </w:r>
          </w:p>
        </w:tc>
      </w:tr>
      <w:tr w:rsidR="000E49F6" w:rsidRPr="000E49F6" w14:paraId="5B4481F7" w14:textId="77777777" w:rsidTr="00F51E93">
        <w:trPr>
          <w:trHeight w:val="276"/>
        </w:trPr>
        <w:tc>
          <w:tcPr>
            <w:tcW w:w="1170" w:type="dxa"/>
            <w:tcBorders>
              <w:top w:val="nil"/>
              <w:left w:val="nil"/>
              <w:bottom w:val="single" w:sz="4" w:space="0" w:color="auto"/>
              <w:right w:val="nil"/>
            </w:tcBorders>
            <w:shd w:val="clear" w:color="auto" w:fill="auto"/>
            <w:noWrap/>
            <w:vAlign w:val="bottom"/>
            <w:hideMark/>
          </w:tcPr>
          <w:p w14:paraId="03176EFD"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6</w:t>
            </w:r>
          </w:p>
        </w:tc>
        <w:tc>
          <w:tcPr>
            <w:tcW w:w="842" w:type="dxa"/>
            <w:tcBorders>
              <w:top w:val="nil"/>
              <w:left w:val="nil"/>
              <w:bottom w:val="single" w:sz="4" w:space="0" w:color="auto"/>
              <w:right w:val="nil"/>
            </w:tcBorders>
            <w:shd w:val="clear" w:color="auto" w:fill="auto"/>
            <w:noWrap/>
            <w:vAlign w:val="bottom"/>
            <w:hideMark/>
          </w:tcPr>
          <w:p w14:paraId="35098DFE"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1162</w:t>
            </w:r>
          </w:p>
        </w:tc>
        <w:tc>
          <w:tcPr>
            <w:tcW w:w="1318" w:type="dxa"/>
            <w:tcBorders>
              <w:top w:val="nil"/>
              <w:left w:val="nil"/>
              <w:bottom w:val="single" w:sz="4" w:space="0" w:color="auto"/>
              <w:right w:val="nil"/>
            </w:tcBorders>
            <w:shd w:val="clear" w:color="auto" w:fill="auto"/>
            <w:noWrap/>
            <w:vAlign w:val="bottom"/>
            <w:hideMark/>
          </w:tcPr>
          <w:p w14:paraId="4A9917F3"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618</w:t>
            </w:r>
          </w:p>
        </w:tc>
        <w:tc>
          <w:tcPr>
            <w:tcW w:w="1440" w:type="dxa"/>
            <w:tcBorders>
              <w:top w:val="nil"/>
              <w:left w:val="nil"/>
              <w:bottom w:val="single" w:sz="4" w:space="0" w:color="auto"/>
              <w:right w:val="nil"/>
            </w:tcBorders>
            <w:shd w:val="clear" w:color="auto" w:fill="auto"/>
            <w:noWrap/>
            <w:vAlign w:val="bottom"/>
            <w:hideMark/>
          </w:tcPr>
          <w:p w14:paraId="6E38AB7A"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0.532</w:t>
            </w:r>
          </w:p>
        </w:tc>
        <w:tc>
          <w:tcPr>
            <w:tcW w:w="1082" w:type="dxa"/>
            <w:tcBorders>
              <w:top w:val="nil"/>
              <w:left w:val="nil"/>
              <w:bottom w:val="single" w:sz="4" w:space="0" w:color="auto"/>
              <w:right w:val="nil"/>
            </w:tcBorders>
            <w:shd w:val="clear" w:color="auto" w:fill="auto"/>
            <w:noWrap/>
            <w:vAlign w:val="bottom"/>
            <w:hideMark/>
          </w:tcPr>
          <w:p w14:paraId="0F175E3C"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0.026</w:t>
            </w:r>
          </w:p>
        </w:tc>
        <w:tc>
          <w:tcPr>
            <w:tcW w:w="898" w:type="dxa"/>
            <w:tcBorders>
              <w:top w:val="nil"/>
              <w:left w:val="nil"/>
              <w:bottom w:val="single" w:sz="4" w:space="0" w:color="auto"/>
              <w:right w:val="nil"/>
            </w:tcBorders>
            <w:shd w:val="clear" w:color="auto" w:fill="auto"/>
            <w:noWrap/>
            <w:vAlign w:val="bottom"/>
            <w:hideMark/>
          </w:tcPr>
          <w:p w14:paraId="0E86E177"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-0.009</w:t>
            </w:r>
          </w:p>
        </w:tc>
        <w:tc>
          <w:tcPr>
            <w:tcW w:w="1080" w:type="dxa"/>
            <w:tcBorders>
              <w:top w:val="nil"/>
              <w:left w:val="nil"/>
              <w:bottom w:val="single" w:sz="4" w:space="0" w:color="auto"/>
              <w:right w:val="nil"/>
            </w:tcBorders>
            <w:shd w:val="clear" w:color="auto" w:fill="auto"/>
            <w:noWrap/>
            <w:vAlign w:val="bottom"/>
            <w:hideMark/>
          </w:tcPr>
          <w:p w14:paraId="67845883"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0.061</w:t>
            </w:r>
          </w:p>
        </w:tc>
      </w:tr>
      <w:tr w:rsidR="000E49F6" w:rsidRPr="000E49F6" w14:paraId="4786944A" w14:textId="77777777" w:rsidTr="00F51E93">
        <w:trPr>
          <w:trHeight w:val="276"/>
        </w:trPr>
        <w:tc>
          <w:tcPr>
            <w:tcW w:w="1170" w:type="dxa"/>
            <w:tcBorders>
              <w:top w:val="single" w:sz="4" w:space="0" w:color="auto"/>
              <w:left w:val="nil"/>
              <w:bottom w:val="single" w:sz="4" w:space="0" w:color="auto"/>
              <w:right w:val="nil"/>
            </w:tcBorders>
            <w:shd w:val="clear" w:color="auto" w:fill="auto"/>
            <w:noWrap/>
            <w:vAlign w:val="bottom"/>
            <w:hideMark/>
          </w:tcPr>
          <w:p w14:paraId="6E3ABB8B"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All Regions</w:t>
            </w:r>
          </w:p>
        </w:tc>
        <w:tc>
          <w:tcPr>
            <w:tcW w:w="842" w:type="dxa"/>
            <w:tcBorders>
              <w:top w:val="single" w:sz="4" w:space="0" w:color="auto"/>
              <w:left w:val="nil"/>
              <w:bottom w:val="single" w:sz="4" w:space="0" w:color="auto"/>
              <w:right w:val="nil"/>
            </w:tcBorders>
            <w:shd w:val="clear" w:color="auto" w:fill="auto"/>
            <w:noWrap/>
            <w:vAlign w:val="bottom"/>
            <w:hideMark/>
          </w:tcPr>
          <w:p w14:paraId="5E39A307"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2600</w:t>
            </w:r>
          </w:p>
        </w:tc>
        <w:tc>
          <w:tcPr>
            <w:tcW w:w="1318" w:type="dxa"/>
            <w:tcBorders>
              <w:top w:val="single" w:sz="4" w:space="0" w:color="auto"/>
              <w:left w:val="nil"/>
              <w:bottom w:val="single" w:sz="4" w:space="0" w:color="auto"/>
              <w:right w:val="nil"/>
            </w:tcBorders>
            <w:shd w:val="clear" w:color="auto" w:fill="auto"/>
            <w:noWrap/>
            <w:vAlign w:val="bottom"/>
            <w:hideMark/>
          </w:tcPr>
          <w:p w14:paraId="64303429"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1315</w:t>
            </w:r>
          </w:p>
        </w:tc>
        <w:tc>
          <w:tcPr>
            <w:tcW w:w="1440" w:type="dxa"/>
            <w:tcBorders>
              <w:top w:val="single" w:sz="4" w:space="0" w:color="auto"/>
              <w:left w:val="nil"/>
              <w:bottom w:val="single" w:sz="4" w:space="0" w:color="auto"/>
              <w:right w:val="nil"/>
            </w:tcBorders>
            <w:shd w:val="clear" w:color="auto" w:fill="auto"/>
            <w:noWrap/>
            <w:vAlign w:val="bottom"/>
            <w:hideMark/>
          </w:tcPr>
          <w:p w14:paraId="284DE2F6" w14:textId="77777777" w:rsidR="00ED5177" w:rsidRPr="000E49F6" w:rsidRDefault="00ED5177" w:rsidP="009F7031">
            <w:pPr>
              <w:keepNext/>
              <w:keepLines/>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0.506</w:t>
            </w:r>
          </w:p>
        </w:tc>
        <w:tc>
          <w:tcPr>
            <w:tcW w:w="1082" w:type="dxa"/>
            <w:tcBorders>
              <w:top w:val="single" w:sz="4" w:space="0" w:color="auto"/>
              <w:left w:val="nil"/>
              <w:bottom w:val="single" w:sz="4" w:space="0" w:color="auto"/>
              <w:right w:val="nil"/>
            </w:tcBorders>
            <w:shd w:val="clear" w:color="auto" w:fill="auto"/>
            <w:noWrap/>
            <w:vAlign w:val="bottom"/>
            <w:hideMark/>
          </w:tcPr>
          <w:p w14:paraId="4F08B795" w14:textId="77777777" w:rsidR="00ED5177" w:rsidRPr="000E49F6" w:rsidRDefault="00ED5177" w:rsidP="009F7031">
            <w:pPr>
              <w:keepNext/>
              <w:keepLines/>
              <w:spacing w:after="0" w:line="240" w:lineRule="auto"/>
              <w:rPr>
                <w:rFonts w:ascii="Calibri" w:eastAsia="Times New Roman" w:hAnsi="Calibri" w:cs="Arial"/>
                <w:color w:val="0000FF"/>
                <w:sz w:val="20"/>
                <w:szCs w:val="20"/>
              </w:rPr>
            </w:pPr>
          </w:p>
        </w:tc>
        <w:tc>
          <w:tcPr>
            <w:tcW w:w="898" w:type="dxa"/>
            <w:tcBorders>
              <w:top w:val="single" w:sz="4" w:space="0" w:color="auto"/>
              <w:left w:val="nil"/>
              <w:bottom w:val="single" w:sz="4" w:space="0" w:color="auto"/>
              <w:right w:val="nil"/>
            </w:tcBorders>
            <w:shd w:val="clear" w:color="auto" w:fill="auto"/>
            <w:noWrap/>
            <w:vAlign w:val="bottom"/>
            <w:hideMark/>
          </w:tcPr>
          <w:p w14:paraId="1C779C28" w14:textId="77777777" w:rsidR="00ED5177" w:rsidRPr="000E49F6" w:rsidRDefault="00ED5177" w:rsidP="009F7031">
            <w:pPr>
              <w:keepNext/>
              <w:keepLines/>
              <w:spacing w:after="0" w:line="240" w:lineRule="auto"/>
              <w:rPr>
                <w:rFonts w:ascii="Calibri" w:eastAsia="Times New Roman" w:hAnsi="Calibri" w:cs="Arial"/>
                <w:color w:val="0000FF"/>
                <w:sz w:val="20"/>
                <w:szCs w:val="20"/>
              </w:rPr>
            </w:pPr>
          </w:p>
        </w:tc>
        <w:tc>
          <w:tcPr>
            <w:tcW w:w="1080" w:type="dxa"/>
            <w:tcBorders>
              <w:top w:val="single" w:sz="4" w:space="0" w:color="auto"/>
              <w:left w:val="nil"/>
              <w:bottom w:val="single" w:sz="4" w:space="0" w:color="auto"/>
              <w:right w:val="nil"/>
            </w:tcBorders>
            <w:shd w:val="clear" w:color="auto" w:fill="auto"/>
            <w:noWrap/>
            <w:vAlign w:val="bottom"/>
            <w:hideMark/>
          </w:tcPr>
          <w:p w14:paraId="33AE79E2" w14:textId="77777777" w:rsidR="00ED5177" w:rsidRPr="000E49F6" w:rsidRDefault="00ED5177" w:rsidP="009F7031">
            <w:pPr>
              <w:keepNext/>
              <w:keepLines/>
              <w:spacing w:after="0" w:line="240" w:lineRule="auto"/>
              <w:rPr>
                <w:rFonts w:ascii="Calibri" w:eastAsia="Times New Roman" w:hAnsi="Calibri" w:cs="Arial"/>
                <w:color w:val="0000FF"/>
                <w:sz w:val="20"/>
                <w:szCs w:val="20"/>
              </w:rPr>
            </w:pPr>
          </w:p>
        </w:tc>
      </w:tr>
    </w:tbl>
    <w:p w14:paraId="10F3B5C6" w14:textId="77777777" w:rsidR="00ED5177" w:rsidRDefault="00ED5177" w:rsidP="00D61410">
      <w:pPr>
        <w:autoSpaceDE w:val="0"/>
        <w:autoSpaceDN w:val="0"/>
        <w:adjustRightInd w:val="0"/>
        <w:spacing w:after="0" w:line="240" w:lineRule="auto"/>
        <w:rPr>
          <w:rFonts w:cstheme="minorHAnsi"/>
          <w:bCs/>
        </w:rPr>
      </w:pPr>
    </w:p>
    <w:p w14:paraId="0C7AD19A" w14:textId="77777777" w:rsidR="00D73D28" w:rsidRDefault="00D73D28" w:rsidP="009F7031">
      <w:pPr>
        <w:rPr>
          <w:rFonts w:cstheme="minorHAnsi"/>
          <w:bCs/>
        </w:rPr>
      </w:pPr>
    </w:p>
    <w:p w14:paraId="5EC7AE20" w14:textId="77777777" w:rsidR="00F51E93" w:rsidRDefault="00F51E93" w:rsidP="00CA2610">
      <w:pPr>
        <w:autoSpaceDE w:val="0"/>
        <w:autoSpaceDN w:val="0"/>
        <w:adjustRightInd w:val="0"/>
        <w:spacing w:after="0" w:line="240" w:lineRule="auto"/>
        <w:rPr>
          <w:rFonts w:cstheme="minorHAnsi"/>
          <w:bCs/>
        </w:rPr>
      </w:pPr>
      <w:proofErr w:type="gramStart"/>
      <w:r w:rsidRPr="000E49F6">
        <w:rPr>
          <w:rFonts w:cstheme="minorHAnsi"/>
          <w:bCs/>
          <w:color w:val="0000FF"/>
        </w:rPr>
        <w:t>Table 7.</w:t>
      </w:r>
      <w:proofErr w:type="gramEnd"/>
      <w:r w:rsidRPr="000E49F6">
        <w:rPr>
          <w:rFonts w:cstheme="minorHAnsi"/>
          <w:bCs/>
          <w:color w:val="0000FF"/>
        </w:rPr>
        <w:t xml:space="preserve"> </w:t>
      </w:r>
      <w:proofErr w:type="gramStart"/>
      <w:r w:rsidRPr="000E49F6">
        <w:rPr>
          <w:rFonts w:cstheme="minorHAnsi"/>
          <w:bCs/>
          <w:color w:val="0000FF"/>
        </w:rPr>
        <w:t>Optimal ESRD Start</w:t>
      </w:r>
      <w:r w:rsidR="00375EF3" w:rsidRPr="000E49F6">
        <w:rPr>
          <w:rFonts w:cstheme="minorHAnsi"/>
          <w:bCs/>
          <w:color w:val="0000FF"/>
        </w:rPr>
        <w:t>,</w:t>
      </w:r>
      <w:r w:rsidRPr="000E49F6">
        <w:rPr>
          <w:rFonts w:cstheme="minorHAnsi"/>
          <w:bCs/>
          <w:color w:val="0000FF"/>
        </w:rPr>
        <w:t xml:space="preserve"> region to national </w:t>
      </w:r>
      <w:r w:rsidR="00375EF3" w:rsidRPr="000E49F6">
        <w:rPr>
          <w:rFonts w:cstheme="minorHAnsi"/>
          <w:bCs/>
          <w:color w:val="0000FF"/>
        </w:rPr>
        <w:t>(.355</w:t>
      </w:r>
      <w:r w:rsidR="00AC71DE">
        <w:rPr>
          <w:rFonts w:cstheme="minorHAnsi"/>
          <w:bCs/>
          <w:color w:val="0000FF"/>
        </w:rPr>
        <w:t>*</w:t>
      </w:r>
      <w:r w:rsidR="00375EF3" w:rsidRPr="000E49F6">
        <w:rPr>
          <w:rFonts w:cstheme="minorHAnsi"/>
          <w:bCs/>
          <w:color w:val="0000FF"/>
        </w:rPr>
        <w:t xml:space="preserve">) </w:t>
      </w:r>
      <w:r w:rsidR="003B4F03">
        <w:rPr>
          <w:rFonts w:cstheme="minorHAnsi"/>
          <w:bCs/>
          <w:color w:val="0000FF"/>
        </w:rPr>
        <w:t xml:space="preserve">performance </w:t>
      </w:r>
      <w:r w:rsidRPr="000E49F6">
        <w:rPr>
          <w:rFonts w:cstheme="minorHAnsi"/>
          <w:bCs/>
          <w:color w:val="0000FF"/>
        </w:rPr>
        <w:t>comparison, measurement CY2012</w:t>
      </w:r>
      <w:r w:rsidR="00146E2A">
        <w:rPr>
          <w:rFonts w:cstheme="minorHAnsi"/>
          <w:bCs/>
          <w:color w:val="0000FF"/>
        </w:rPr>
        <w:t xml:space="preserve"> using 95% confidence intervals</w:t>
      </w:r>
      <w:r w:rsidR="00375EF3" w:rsidRPr="000E49F6">
        <w:rPr>
          <w:rFonts w:cstheme="minorHAnsi"/>
          <w:bCs/>
          <w:color w:val="0000FF"/>
        </w:rPr>
        <w:t>.</w:t>
      </w:r>
      <w:proofErr w:type="gramEnd"/>
    </w:p>
    <w:tbl>
      <w:tblPr>
        <w:tblW w:w="7858" w:type="dxa"/>
        <w:tblInd w:w="108" w:type="dxa"/>
        <w:tblLook w:val="04A0" w:firstRow="1" w:lastRow="0" w:firstColumn="1" w:lastColumn="0" w:noHBand="0" w:noVBand="1"/>
      </w:tblPr>
      <w:tblGrid>
        <w:gridCol w:w="1170"/>
        <w:gridCol w:w="887"/>
        <w:gridCol w:w="1273"/>
        <w:gridCol w:w="1350"/>
        <w:gridCol w:w="1046"/>
        <w:gridCol w:w="934"/>
        <w:gridCol w:w="1278"/>
      </w:tblGrid>
      <w:tr w:rsidR="000E49F6" w:rsidRPr="000E49F6" w14:paraId="58EEF554" w14:textId="77777777" w:rsidTr="00375EF3">
        <w:trPr>
          <w:trHeight w:val="255"/>
        </w:trPr>
        <w:tc>
          <w:tcPr>
            <w:tcW w:w="1170" w:type="dxa"/>
            <w:tcBorders>
              <w:top w:val="nil"/>
              <w:left w:val="nil"/>
              <w:bottom w:val="single" w:sz="4" w:space="0" w:color="auto"/>
              <w:right w:val="nil"/>
            </w:tcBorders>
            <w:shd w:val="clear" w:color="auto" w:fill="auto"/>
            <w:noWrap/>
            <w:vAlign w:val="bottom"/>
            <w:hideMark/>
          </w:tcPr>
          <w:p w14:paraId="2D6FEFC5" w14:textId="77777777" w:rsidR="00F51E93" w:rsidRPr="000E49F6" w:rsidRDefault="00F51E93" w:rsidP="00F51E93">
            <w:pPr>
              <w:spacing w:after="0" w:line="240" w:lineRule="auto"/>
              <w:jc w:val="center"/>
              <w:rPr>
                <w:rFonts w:ascii="Calibri" w:eastAsia="Times New Roman" w:hAnsi="Calibri" w:cs="Arial"/>
                <w:b/>
                <w:bCs/>
                <w:color w:val="0000FF"/>
                <w:sz w:val="20"/>
                <w:szCs w:val="20"/>
              </w:rPr>
            </w:pPr>
            <w:r w:rsidRPr="000E49F6">
              <w:rPr>
                <w:rFonts w:ascii="Calibri" w:eastAsia="Times New Roman" w:hAnsi="Calibri" w:cs="Arial"/>
                <w:b/>
                <w:bCs/>
                <w:color w:val="0000FF"/>
                <w:sz w:val="20"/>
                <w:szCs w:val="20"/>
              </w:rPr>
              <w:t>Region</w:t>
            </w:r>
          </w:p>
        </w:tc>
        <w:tc>
          <w:tcPr>
            <w:tcW w:w="887" w:type="dxa"/>
            <w:tcBorders>
              <w:top w:val="nil"/>
              <w:left w:val="nil"/>
              <w:bottom w:val="single" w:sz="4" w:space="0" w:color="auto"/>
              <w:right w:val="nil"/>
            </w:tcBorders>
            <w:shd w:val="clear" w:color="auto" w:fill="auto"/>
            <w:noWrap/>
            <w:vAlign w:val="bottom"/>
            <w:hideMark/>
          </w:tcPr>
          <w:p w14:paraId="3A4E32DB" w14:textId="77777777" w:rsidR="00F51E93" w:rsidRPr="000E49F6" w:rsidRDefault="00F51E93" w:rsidP="00F51E93">
            <w:pPr>
              <w:spacing w:after="0" w:line="240" w:lineRule="auto"/>
              <w:jc w:val="center"/>
              <w:rPr>
                <w:rFonts w:ascii="Calibri" w:eastAsia="Times New Roman" w:hAnsi="Calibri" w:cs="Arial"/>
                <w:b/>
                <w:bCs/>
                <w:color w:val="0000FF"/>
                <w:sz w:val="20"/>
                <w:szCs w:val="20"/>
              </w:rPr>
            </w:pPr>
            <w:r w:rsidRPr="000E49F6">
              <w:rPr>
                <w:rFonts w:ascii="Calibri" w:eastAsia="Times New Roman" w:hAnsi="Calibri" w:cs="Arial"/>
                <w:b/>
                <w:bCs/>
                <w:color w:val="0000FF"/>
                <w:sz w:val="20"/>
                <w:szCs w:val="20"/>
              </w:rPr>
              <w:t>N</w:t>
            </w:r>
          </w:p>
        </w:tc>
        <w:tc>
          <w:tcPr>
            <w:tcW w:w="1273" w:type="dxa"/>
            <w:tcBorders>
              <w:top w:val="nil"/>
              <w:left w:val="nil"/>
              <w:bottom w:val="single" w:sz="4" w:space="0" w:color="auto"/>
              <w:right w:val="nil"/>
            </w:tcBorders>
            <w:shd w:val="clear" w:color="auto" w:fill="auto"/>
            <w:noWrap/>
            <w:vAlign w:val="bottom"/>
            <w:hideMark/>
          </w:tcPr>
          <w:p w14:paraId="6501D0AD" w14:textId="77777777" w:rsidR="00F51E93" w:rsidRPr="000E49F6" w:rsidRDefault="00F51E93" w:rsidP="00F51E93">
            <w:pPr>
              <w:spacing w:after="0" w:line="240" w:lineRule="auto"/>
              <w:jc w:val="center"/>
              <w:rPr>
                <w:rFonts w:ascii="Calibri" w:eastAsia="Times New Roman" w:hAnsi="Calibri" w:cs="Arial"/>
                <w:b/>
                <w:bCs/>
                <w:color w:val="0000FF"/>
                <w:sz w:val="18"/>
                <w:szCs w:val="18"/>
              </w:rPr>
            </w:pPr>
            <w:r w:rsidRPr="000E49F6">
              <w:rPr>
                <w:rFonts w:ascii="Calibri" w:eastAsia="Times New Roman" w:hAnsi="Calibri" w:cs="Arial"/>
                <w:b/>
                <w:bCs/>
                <w:color w:val="0000FF"/>
                <w:sz w:val="18"/>
                <w:szCs w:val="18"/>
              </w:rPr>
              <w:t>Optimal ESRD Start Count</w:t>
            </w:r>
          </w:p>
        </w:tc>
        <w:tc>
          <w:tcPr>
            <w:tcW w:w="1350" w:type="dxa"/>
            <w:tcBorders>
              <w:top w:val="nil"/>
              <w:left w:val="nil"/>
              <w:bottom w:val="single" w:sz="4" w:space="0" w:color="auto"/>
              <w:right w:val="nil"/>
            </w:tcBorders>
            <w:shd w:val="clear" w:color="auto" w:fill="auto"/>
            <w:noWrap/>
            <w:vAlign w:val="bottom"/>
            <w:hideMark/>
          </w:tcPr>
          <w:p w14:paraId="11AF63E1" w14:textId="77777777" w:rsidR="00F51E93" w:rsidRPr="000E49F6" w:rsidRDefault="00F51E93" w:rsidP="00F51E93">
            <w:pPr>
              <w:spacing w:after="0" w:line="240" w:lineRule="auto"/>
              <w:jc w:val="center"/>
              <w:rPr>
                <w:rFonts w:ascii="Calibri" w:eastAsia="Times New Roman" w:hAnsi="Calibri" w:cs="Arial"/>
                <w:b/>
                <w:bCs/>
                <w:color w:val="0000FF"/>
                <w:sz w:val="20"/>
                <w:szCs w:val="20"/>
              </w:rPr>
            </w:pPr>
            <w:r w:rsidRPr="000E49F6">
              <w:rPr>
                <w:rFonts w:ascii="Calibri" w:eastAsia="Times New Roman" w:hAnsi="Calibri" w:cs="Arial"/>
                <w:b/>
                <w:bCs/>
                <w:color w:val="0000FF"/>
                <w:sz w:val="18"/>
                <w:szCs w:val="18"/>
              </w:rPr>
              <w:t>Opt ESRD Start Proportion</w:t>
            </w:r>
          </w:p>
        </w:tc>
        <w:tc>
          <w:tcPr>
            <w:tcW w:w="1046" w:type="dxa"/>
            <w:tcBorders>
              <w:top w:val="nil"/>
              <w:left w:val="nil"/>
              <w:bottom w:val="single" w:sz="4" w:space="0" w:color="auto"/>
              <w:right w:val="nil"/>
            </w:tcBorders>
            <w:shd w:val="clear" w:color="auto" w:fill="auto"/>
            <w:noWrap/>
            <w:vAlign w:val="bottom"/>
            <w:hideMark/>
          </w:tcPr>
          <w:p w14:paraId="109758DA" w14:textId="77777777" w:rsidR="00F51E93" w:rsidRPr="000E49F6" w:rsidRDefault="00F51E93" w:rsidP="00F51E93">
            <w:pPr>
              <w:spacing w:after="0" w:line="240" w:lineRule="auto"/>
              <w:jc w:val="center"/>
              <w:rPr>
                <w:rFonts w:ascii="Calibri" w:eastAsia="Times New Roman" w:hAnsi="Calibri" w:cs="Arial"/>
                <w:b/>
                <w:bCs/>
                <w:color w:val="0000FF"/>
                <w:sz w:val="20"/>
                <w:szCs w:val="20"/>
              </w:rPr>
            </w:pPr>
            <w:r w:rsidRPr="000E49F6">
              <w:rPr>
                <w:rFonts w:ascii="Calibri" w:eastAsia="Times New Roman" w:hAnsi="Calibri" w:cs="Arial"/>
                <w:b/>
                <w:bCs/>
                <w:color w:val="0000FF"/>
                <w:sz w:val="20"/>
                <w:szCs w:val="20"/>
              </w:rPr>
              <w:t>LCL</w:t>
            </w:r>
          </w:p>
        </w:tc>
        <w:tc>
          <w:tcPr>
            <w:tcW w:w="934" w:type="dxa"/>
            <w:tcBorders>
              <w:top w:val="nil"/>
              <w:left w:val="nil"/>
              <w:bottom w:val="single" w:sz="4" w:space="0" w:color="auto"/>
              <w:right w:val="nil"/>
            </w:tcBorders>
            <w:shd w:val="clear" w:color="auto" w:fill="auto"/>
            <w:noWrap/>
            <w:vAlign w:val="bottom"/>
            <w:hideMark/>
          </w:tcPr>
          <w:p w14:paraId="193859D2" w14:textId="77777777" w:rsidR="00F51E93" w:rsidRPr="000E49F6" w:rsidRDefault="00F51E93" w:rsidP="00F51E93">
            <w:pPr>
              <w:spacing w:after="0" w:line="240" w:lineRule="auto"/>
              <w:jc w:val="center"/>
              <w:rPr>
                <w:rFonts w:ascii="Calibri" w:eastAsia="Times New Roman" w:hAnsi="Calibri" w:cs="Arial"/>
                <w:b/>
                <w:bCs/>
                <w:color w:val="0000FF"/>
                <w:sz w:val="20"/>
                <w:szCs w:val="20"/>
              </w:rPr>
            </w:pPr>
            <w:r w:rsidRPr="000E49F6">
              <w:rPr>
                <w:rFonts w:ascii="Calibri" w:eastAsia="Times New Roman" w:hAnsi="Calibri" w:cs="Arial"/>
                <w:b/>
                <w:bCs/>
                <w:color w:val="0000FF"/>
                <w:sz w:val="20"/>
                <w:szCs w:val="20"/>
              </w:rPr>
              <w:t>UCL</w:t>
            </w:r>
          </w:p>
        </w:tc>
        <w:tc>
          <w:tcPr>
            <w:tcW w:w="1198" w:type="dxa"/>
            <w:tcBorders>
              <w:top w:val="nil"/>
              <w:left w:val="nil"/>
              <w:bottom w:val="single" w:sz="4" w:space="0" w:color="auto"/>
              <w:right w:val="nil"/>
            </w:tcBorders>
            <w:shd w:val="clear" w:color="auto" w:fill="auto"/>
            <w:noWrap/>
            <w:vAlign w:val="bottom"/>
            <w:hideMark/>
          </w:tcPr>
          <w:p w14:paraId="21DA90BA" w14:textId="77777777" w:rsidR="00F51E93" w:rsidRPr="000E49F6" w:rsidRDefault="00F51E93" w:rsidP="00AC71DE">
            <w:pPr>
              <w:spacing w:after="0" w:line="240" w:lineRule="auto"/>
              <w:jc w:val="center"/>
              <w:rPr>
                <w:rFonts w:ascii="Calibri" w:eastAsia="Times New Roman" w:hAnsi="Calibri" w:cs="Arial"/>
                <w:b/>
                <w:bCs/>
                <w:color w:val="0000FF"/>
                <w:sz w:val="20"/>
                <w:szCs w:val="20"/>
              </w:rPr>
            </w:pPr>
            <w:r w:rsidRPr="000E49F6">
              <w:rPr>
                <w:rFonts w:ascii="Calibri" w:eastAsia="Times New Roman" w:hAnsi="Calibri" w:cs="Arial"/>
                <w:b/>
                <w:bCs/>
                <w:color w:val="0000FF"/>
                <w:sz w:val="20"/>
                <w:szCs w:val="20"/>
              </w:rPr>
              <w:t>Significance</w:t>
            </w:r>
            <w:r w:rsidR="00AC71DE" w:rsidRPr="00AC71DE">
              <w:rPr>
                <w:rFonts w:ascii="Calibri" w:eastAsia="Times New Roman" w:hAnsi="Calibri" w:cs="Arial"/>
                <w:b/>
                <w:bCs/>
                <w:color w:val="0000FF"/>
                <w:sz w:val="24"/>
                <w:szCs w:val="24"/>
                <w:vertAlign w:val="superscript"/>
              </w:rPr>
              <w:t>+</w:t>
            </w:r>
          </w:p>
        </w:tc>
      </w:tr>
      <w:tr w:rsidR="000E49F6" w:rsidRPr="000E49F6" w14:paraId="0790C11C" w14:textId="77777777" w:rsidTr="00375EF3">
        <w:trPr>
          <w:trHeight w:val="255"/>
        </w:trPr>
        <w:tc>
          <w:tcPr>
            <w:tcW w:w="1170" w:type="dxa"/>
            <w:tcBorders>
              <w:top w:val="nil"/>
              <w:left w:val="nil"/>
              <w:bottom w:val="nil"/>
              <w:right w:val="nil"/>
            </w:tcBorders>
            <w:shd w:val="clear" w:color="auto" w:fill="auto"/>
            <w:noWrap/>
            <w:vAlign w:val="bottom"/>
            <w:hideMark/>
          </w:tcPr>
          <w:p w14:paraId="62467579"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1</w:t>
            </w:r>
          </w:p>
        </w:tc>
        <w:tc>
          <w:tcPr>
            <w:tcW w:w="887" w:type="dxa"/>
            <w:tcBorders>
              <w:top w:val="nil"/>
              <w:left w:val="nil"/>
              <w:bottom w:val="nil"/>
              <w:right w:val="nil"/>
            </w:tcBorders>
            <w:shd w:val="clear" w:color="auto" w:fill="auto"/>
            <w:noWrap/>
            <w:vAlign w:val="bottom"/>
            <w:hideMark/>
          </w:tcPr>
          <w:p w14:paraId="44159A9E"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110</w:t>
            </w:r>
          </w:p>
        </w:tc>
        <w:tc>
          <w:tcPr>
            <w:tcW w:w="1273" w:type="dxa"/>
            <w:tcBorders>
              <w:top w:val="nil"/>
              <w:left w:val="nil"/>
              <w:bottom w:val="nil"/>
              <w:right w:val="nil"/>
            </w:tcBorders>
            <w:shd w:val="clear" w:color="auto" w:fill="auto"/>
            <w:noWrap/>
            <w:vAlign w:val="bottom"/>
            <w:hideMark/>
          </w:tcPr>
          <w:p w14:paraId="0BD97C50"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31</w:t>
            </w:r>
          </w:p>
        </w:tc>
        <w:tc>
          <w:tcPr>
            <w:tcW w:w="1350" w:type="dxa"/>
            <w:tcBorders>
              <w:top w:val="nil"/>
              <w:left w:val="nil"/>
              <w:bottom w:val="nil"/>
              <w:right w:val="nil"/>
            </w:tcBorders>
            <w:shd w:val="clear" w:color="auto" w:fill="auto"/>
            <w:noWrap/>
            <w:vAlign w:val="bottom"/>
            <w:hideMark/>
          </w:tcPr>
          <w:p w14:paraId="3182C588"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0.282</w:t>
            </w:r>
          </w:p>
        </w:tc>
        <w:tc>
          <w:tcPr>
            <w:tcW w:w="1046" w:type="dxa"/>
            <w:tcBorders>
              <w:top w:val="nil"/>
              <w:left w:val="nil"/>
              <w:bottom w:val="nil"/>
              <w:right w:val="nil"/>
            </w:tcBorders>
            <w:shd w:val="clear" w:color="auto" w:fill="auto"/>
            <w:noWrap/>
            <w:vAlign w:val="bottom"/>
            <w:hideMark/>
          </w:tcPr>
          <w:p w14:paraId="00E0BC4A"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0.202</w:t>
            </w:r>
          </w:p>
        </w:tc>
        <w:tc>
          <w:tcPr>
            <w:tcW w:w="934" w:type="dxa"/>
            <w:tcBorders>
              <w:top w:val="nil"/>
              <w:left w:val="nil"/>
              <w:bottom w:val="nil"/>
              <w:right w:val="nil"/>
            </w:tcBorders>
            <w:shd w:val="clear" w:color="auto" w:fill="auto"/>
            <w:noWrap/>
            <w:vAlign w:val="bottom"/>
            <w:hideMark/>
          </w:tcPr>
          <w:p w14:paraId="48A41A1B"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0.377</w:t>
            </w:r>
          </w:p>
        </w:tc>
        <w:tc>
          <w:tcPr>
            <w:tcW w:w="1198" w:type="dxa"/>
            <w:tcBorders>
              <w:top w:val="nil"/>
              <w:left w:val="nil"/>
              <w:bottom w:val="nil"/>
              <w:right w:val="nil"/>
            </w:tcBorders>
            <w:shd w:val="clear" w:color="auto" w:fill="auto"/>
            <w:noWrap/>
            <w:vAlign w:val="bottom"/>
            <w:hideMark/>
          </w:tcPr>
          <w:p w14:paraId="5A8A52A1"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NS</w:t>
            </w:r>
          </w:p>
        </w:tc>
      </w:tr>
      <w:tr w:rsidR="000E49F6" w:rsidRPr="000E49F6" w14:paraId="2B5683F3" w14:textId="77777777" w:rsidTr="00375EF3">
        <w:trPr>
          <w:trHeight w:val="255"/>
        </w:trPr>
        <w:tc>
          <w:tcPr>
            <w:tcW w:w="1170" w:type="dxa"/>
            <w:tcBorders>
              <w:top w:val="nil"/>
              <w:left w:val="nil"/>
              <w:bottom w:val="nil"/>
              <w:right w:val="nil"/>
            </w:tcBorders>
            <w:shd w:val="clear" w:color="auto" w:fill="auto"/>
            <w:noWrap/>
            <w:vAlign w:val="bottom"/>
            <w:hideMark/>
          </w:tcPr>
          <w:p w14:paraId="574D01BF"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2</w:t>
            </w:r>
          </w:p>
        </w:tc>
        <w:tc>
          <w:tcPr>
            <w:tcW w:w="887" w:type="dxa"/>
            <w:tcBorders>
              <w:top w:val="nil"/>
              <w:left w:val="nil"/>
              <w:bottom w:val="nil"/>
              <w:right w:val="nil"/>
            </w:tcBorders>
            <w:shd w:val="clear" w:color="auto" w:fill="auto"/>
            <w:noWrap/>
            <w:vAlign w:val="bottom"/>
            <w:hideMark/>
          </w:tcPr>
          <w:p w14:paraId="4048ED87"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87</w:t>
            </w:r>
          </w:p>
        </w:tc>
        <w:tc>
          <w:tcPr>
            <w:tcW w:w="1273" w:type="dxa"/>
            <w:tcBorders>
              <w:top w:val="nil"/>
              <w:left w:val="nil"/>
              <w:bottom w:val="nil"/>
              <w:right w:val="nil"/>
            </w:tcBorders>
            <w:shd w:val="clear" w:color="auto" w:fill="auto"/>
            <w:noWrap/>
            <w:vAlign w:val="bottom"/>
            <w:hideMark/>
          </w:tcPr>
          <w:p w14:paraId="48CD3886"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42</w:t>
            </w:r>
          </w:p>
        </w:tc>
        <w:tc>
          <w:tcPr>
            <w:tcW w:w="1350" w:type="dxa"/>
            <w:tcBorders>
              <w:top w:val="nil"/>
              <w:left w:val="nil"/>
              <w:bottom w:val="nil"/>
              <w:right w:val="nil"/>
            </w:tcBorders>
            <w:shd w:val="clear" w:color="auto" w:fill="auto"/>
            <w:noWrap/>
            <w:vAlign w:val="bottom"/>
            <w:hideMark/>
          </w:tcPr>
          <w:p w14:paraId="03FE366A"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0.483</w:t>
            </w:r>
          </w:p>
        </w:tc>
        <w:tc>
          <w:tcPr>
            <w:tcW w:w="1046" w:type="dxa"/>
            <w:tcBorders>
              <w:top w:val="nil"/>
              <w:left w:val="nil"/>
              <w:bottom w:val="nil"/>
              <w:right w:val="nil"/>
            </w:tcBorders>
            <w:shd w:val="clear" w:color="auto" w:fill="auto"/>
            <w:noWrap/>
            <w:vAlign w:val="bottom"/>
            <w:hideMark/>
          </w:tcPr>
          <w:p w14:paraId="4A7A29CB"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0.375</w:t>
            </w:r>
          </w:p>
        </w:tc>
        <w:tc>
          <w:tcPr>
            <w:tcW w:w="934" w:type="dxa"/>
            <w:tcBorders>
              <w:top w:val="nil"/>
              <w:left w:val="nil"/>
              <w:bottom w:val="nil"/>
              <w:right w:val="nil"/>
            </w:tcBorders>
            <w:shd w:val="clear" w:color="auto" w:fill="auto"/>
            <w:noWrap/>
            <w:vAlign w:val="bottom"/>
            <w:hideMark/>
          </w:tcPr>
          <w:p w14:paraId="4BA22DCF"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0.592</w:t>
            </w:r>
          </w:p>
        </w:tc>
        <w:tc>
          <w:tcPr>
            <w:tcW w:w="1198" w:type="dxa"/>
            <w:tcBorders>
              <w:top w:val="nil"/>
              <w:left w:val="nil"/>
              <w:bottom w:val="nil"/>
              <w:right w:val="nil"/>
            </w:tcBorders>
            <w:shd w:val="clear" w:color="auto" w:fill="auto"/>
            <w:noWrap/>
            <w:vAlign w:val="bottom"/>
            <w:hideMark/>
          </w:tcPr>
          <w:p w14:paraId="27C4289B" w14:textId="77777777" w:rsidR="00F51E93" w:rsidRPr="000E49F6" w:rsidRDefault="000D7490" w:rsidP="000D7490">
            <w:pPr>
              <w:spacing w:after="0" w:line="240" w:lineRule="auto"/>
              <w:jc w:val="center"/>
              <w:rPr>
                <w:rFonts w:ascii="Calibri" w:eastAsia="Times New Roman" w:hAnsi="Calibri" w:cs="Arial"/>
                <w:color w:val="0000FF"/>
                <w:sz w:val="20"/>
                <w:szCs w:val="20"/>
              </w:rPr>
            </w:pPr>
            <w:r>
              <w:rPr>
                <w:rFonts w:ascii="Calibri" w:eastAsia="Times New Roman" w:hAnsi="Calibri" w:cs="Arial"/>
                <w:color w:val="0000FF"/>
                <w:sz w:val="20"/>
                <w:szCs w:val="20"/>
              </w:rPr>
              <w:t>Sig</w:t>
            </w:r>
          </w:p>
        </w:tc>
      </w:tr>
      <w:tr w:rsidR="000E49F6" w:rsidRPr="000E49F6" w14:paraId="6943179F" w14:textId="77777777" w:rsidTr="00375EF3">
        <w:trPr>
          <w:trHeight w:val="255"/>
        </w:trPr>
        <w:tc>
          <w:tcPr>
            <w:tcW w:w="1170" w:type="dxa"/>
            <w:tcBorders>
              <w:top w:val="nil"/>
              <w:left w:val="nil"/>
              <w:bottom w:val="nil"/>
              <w:right w:val="nil"/>
            </w:tcBorders>
            <w:shd w:val="clear" w:color="auto" w:fill="auto"/>
            <w:noWrap/>
            <w:vAlign w:val="bottom"/>
            <w:hideMark/>
          </w:tcPr>
          <w:p w14:paraId="3110B940"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3</w:t>
            </w:r>
          </w:p>
        </w:tc>
        <w:tc>
          <w:tcPr>
            <w:tcW w:w="887" w:type="dxa"/>
            <w:tcBorders>
              <w:top w:val="nil"/>
              <w:left w:val="nil"/>
              <w:bottom w:val="nil"/>
              <w:right w:val="nil"/>
            </w:tcBorders>
            <w:shd w:val="clear" w:color="auto" w:fill="auto"/>
            <w:noWrap/>
            <w:vAlign w:val="bottom"/>
            <w:hideMark/>
          </w:tcPr>
          <w:p w14:paraId="699F9A06"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76</w:t>
            </w:r>
          </w:p>
        </w:tc>
        <w:tc>
          <w:tcPr>
            <w:tcW w:w="1273" w:type="dxa"/>
            <w:tcBorders>
              <w:top w:val="nil"/>
              <w:left w:val="nil"/>
              <w:bottom w:val="nil"/>
              <w:right w:val="nil"/>
            </w:tcBorders>
            <w:shd w:val="clear" w:color="auto" w:fill="auto"/>
            <w:noWrap/>
            <w:vAlign w:val="bottom"/>
            <w:hideMark/>
          </w:tcPr>
          <w:p w14:paraId="2AE4C6DA"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32</w:t>
            </w:r>
          </w:p>
        </w:tc>
        <w:tc>
          <w:tcPr>
            <w:tcW w:w="1350" w:type="dxa"/>
            <w:tcBorders>
              <w:top w:val="nil"/>
              <w:left w:val="nil"/>
              <w:bottom w:val="nil"/>
              <w:right w:val="nil"/>
            </w:tcBorders>
            <w:shd w:val="clear" w:color="auto" w:fill="auto"/>
            <w:noWrap/>
            <w:vAlign w:val="bottom"/>
            <w:hideMark/>
          </w:tcPr>
          <w:p w14:paraId="25AD578A"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0.421</w:t>
            </w:r>
          </w:p>
        </w:tc>
        <w:tc>
          <w:tcPr>
            <w:tcW w:w="1046" w:type="dxa"/>
            <w:tcBorders>
              <w:top w:val="nil"/>
              <w:left w:val="nil"/>
              <w:bottom w:val="nil"/>
              <w:right w:val="nil"/>
            </w:tcBorders>
            <w:shd w:val="clear" w:color="auto" w:fill="auto"/>
            <w:noWrap/>
            <w:vAlign w:val="bottom"/>
            <w:hideMark/>
          </w:tcPr>
          <w:p w14:paraId="06040168"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0.310</w:t>
            </w:r>
          </w:p>
        </w:tc>
        <w:tc>
          <w:tcPr>
            <w:tcW w:w="934" w:type="dxa"/>
            <w:tcBorders>
              <w:top w:val="nil"/>
              <w:left w:val="nil"/>
              <w:bottom w:val="nil"/>
              <w:right w:val="nil"/>
            </w:tcBorders>
            <w:shd w:val="clear" w:color="auto" w:fill="auto"/>
            <w:noWrap/>
            <w:vAlign w:val="bottom"/>
            <w:hideMark/>
          </w:tcPr>
          <w:p w14:paraId="62B6B611"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0.540</w:t>
            </w:r>
          </w:p>
        </w:tc>
        <w:tc>
          <w:tcPr>
            <w:tcW w:w="1198" w:type="dxa"/>
            <w:tcBorders>
              <w:top w:val="nil"/>
              <w:left w:val="nil"/>
              <w:bottom w:val="nil"/>
              <w:right w:val="nil"/>
            </w:tcBorders>
            <w:shd w:val="clear" w:color="auto" w:fill="auto"/>
            <w:noWrap/>
            <w:vAlign w:val="bottom"/>
            <w:hideMark/>
          </w:tcPr>
          <w:p w14:paraId="1673885D"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NS</w:t>
            </w:r>
          </w:p>
        </w:tc>
      </w:tr>
      <w:tr w:rsidR="000E49F6" w:rsidRPr="000E49F6" w14:paraId="6DE07E46" w14:textId="77777777" w:rsidTr="00375EF3">
        <w:trPr>
          <w:trHeight w:val="255"/>
        </w:trPr>
        <w:tc>
          <w:tcPr>
            <w:tcW w:w="1170" w:type="dxa"/>
            <w:tcBorders>
              <w:top w:val="nil"/>
              <w:left w:val="nil"/>
              <w:bottom w:val="nil"/>
              <w:right w:val="nil"/>
            </w:tcBorders>
            <w:shd w:val="clear" w:color="auto" w:fill="auto"/>
            <w:noWrap/>
            <w:vAlign w:val="bottom"/>
            <w:hideMark/>
          </w:tcPr>
          <w:p w14:paraId="4DEE25AC"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4</w:t>
            </w:r>
          </w:p>
        </w:tc>
        <w:tc>
          <w:tcPr>
            <w:tcW w:w="887" w:type="dxa"/>
            <w:tcBorders>
              <w:top w:val="nil"/>
              <w:left w:val="nil"/>
              <w:bottom w:val="nil"/>
              <w:right w:val="nil"/>
            </w:tcBorders>
            <w:shd w:val="clear" w:color="auto" w:fill="auto"/>
            <w:noWrap/>
            <w:vAlign w:val="bottom"/>
            <w:hideMark/>
          </w:tcPr>
          <w:p w14:paraId="44281B70"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1031</w:t>
            </w:r>
          </w:p>
        </w:tc>
        <w:tc>
          <w:tcPr>
            <w:tcW w:w="1273" w:type="dxa"/>
            <w:tcBorders>
              <w:top w:val="nil"/>
              <w:left w:val="nil"/>
              <w:bottom w:val="nil"/>
              <w:right w:val="nil"/>
            </w:tcBorders>
            <w:shd w:val="clear" w:color="auto" w:fill="auto"/>
            <w:noWrap/>
            <w:vAlign w:val="bottom"/>
            <w:hideMark/>
          </w:tcPr>
          <w:p w14:paraId="51B17D5D"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516</w:t>
            </w:r>
          </w:p>
        </w:tc>
        <w:tc>
          <w:tcPr>
            <w:tcW w:w="1350" w:type="dxa"/>
            <w:tcBorders>
              <w:top w:val="nil"/>
              <w:left w:val="nil"/>
              <w:bottom w:val="nil"/>
              <w:right w:val="nil"/>
            </w:tcBorders>
            <w:shd w:val="clear" w:color="auto" w:fill="auto"/>
            <w:noWrap/>
            <w:vAlign w:val="bottom"/>
            <w:hideMark/>
          </w:tcPr>
          <w:p w14:paraId="21234549"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0.500</w:t>
            </w:r>
          </w:p>
        </w:tc>
        <w:tc>
          <w:tcPr>
            <w:tcW w:w="1046" w:type="dxa"/>
            <w:tcBorders>
              <w:top w:val="nil"/>
              <w:left w:val="nil"/>
              <w:bottom w:val="nil"/>
              <w:right w:val="nil"/>
            </w:tcBorders>
            <w:shd w:val="clear" w:color="auto" w:fill="auto"/>
            <w:noWrap/>
            <w:vAlign w:val="bottom"/>
            <w:hideMark/>
          </w:tcPr>
          <w:p w14:paraId="6125B598"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0.470</w:t>
            </w:r>
          </w:p>
        </w:tc>
        <w:tc>
          <w:tcPr>
            <w:tcW w:w="934" w:type="dxa"/>
            <w:tcBorders>
              <w:top w:val="nil"/>
              <w:left w:val="nil"/>
              <w:bottom w:val="nil"/>
              <w:right w:val="nil"/>
            </w:tcBorders>
            <w:shd w:val="clear" w:color="auto" w:fill="auto"/>
            <w:noWrap/>
            <w:vAlign w:val="bottom"/>
            <w:hideMark/>
          </w:tcPr>
          <w:p w14:paraId="7EB46B45"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0.531</w:t>
            </w:r>
          </w:p>
        </w:tc>
        <w:tc>
          <w:tcPr>
            <w:tcW w:w="1198" w:type="dxa"/>
            <w:tcBorders>
              <w:top w:val="nil"/>
              <w:left w:val="nil"/>
              <w:bottom w:val="nil"/>
              <w:right w:val="nil"/>
            </w:tcBorders>
            <w:shd w:val="clear" w:color="auto" w:fill="auto"/>
            <w:noWrap/>
            <w:vAlign w:val="bottom"/>
            <w:hideMark/>
          </w:tcPr>
          <w:p w14:paraId="6A843B36" w14:textId="77777777" w:rsidR="00F51E93" w:rsidRPr="000E49F6" w:rsidRDefault="00F51E93" w:rsidP="000D7490">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Sig</w:t>
            </w:r>
          </w:p>
        </w:tc>
      </w:tr>
      <w:tr w:rsidR="000E49F6" w:rsidRPr="000E49F6" w14:paraId="7AE61847" w14:textId="77777777" w:rsidTr="00375EF3">
        <w:trPr>
          <w:trHeight w:val="255"/>
        </w:trPr>
        <w:tc>
          <w:tcPr>
            <w:tcW w:w="1170" w:type="dxa"/>
            <w:tcBorders>
              <w:top w:val="nil"/>
              <w:left w:val="nil"/>
              <w:bottom w:val="nil"/>
              <w:right w:val="nil"/>
            </w:tcBorders>
            <w:shd w:val="clear" w:color="auto" w:fill="auto"/>
            <w:noWrap/>
            <w:vAlign w:val="bottom"/>
            <w:hideMark/>
          </w:tcPr>
          <w:p w14:paraId="585946B4"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5</w:t>
            </w:r>
          </w:p>
        </w:tc>
        <w:tc>
          <w:tcPr>
            <w:tcW w:w="887" w:type="dxa"/>
            <w:tcBorders>
              <w:top w:val="nil"/>
              <w:left w:val="nil"/>
              <w:bottom w:val="nil"/>
              <w:right w:val="nil"/>
            </w:tcBorders>
            <w:shd w:val="clear" w:color="auto" w:fill="auto"/>
            <w:noWrap/>
            <w:vAlign w:val="bottom"/>
            <w:hideMark/>
          </w:tcPr>
          <w:p w14:paraId="73FA4A38"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134</w:t>
            </w:r>
          </w:p>
        </w:tc>
        <w:tc>
          <w:tcPr>
            <w:tcW w:w="1273" w:type="dxa"/>
            <w:tcBorders>
              <w:top w:val="nil"/>
              <w:left w:val="nil"/>
              <w:bottom w:val="nil"/>
              <w:right w:val="nil"/>
            </w:tcBorders>
            <w:shd w:val="clear" w:color="auto" w:fill="auto"/>
            <w:noWrap/>
            <w:vAlign w:val="bottom"/>
            <w:hideMark/>
          </w:tcPr>
          <w:p w14:paraId="63FE3696"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76</w:t>
            </w:r>
          </w:p>
        </w:tc>
        <w:tc>
          <w:tcPr>
            <w:tcW w:w="1350" w:type="dxa"/>
            <w:tcBorders>
              <w:top w:val="nil"/>
              <w:left w:val="nil"/>
              <w:bottom w:val="nil"/>
              <w:right w:val="nil"/>
            </w:tcBorders>
            <w:shd w:val="clear" w:color="auto" w:fill="auto"/>
            <w:noWrap/>
            <w:vAlign w:val="bottom"/>
            <w:hideMark/>
          </w:tcPr>
          <w:p w14:paraId="2A80F63B"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0.567</w:t>
            </w:r>
          </w:p>
        </w:tc>
        <w:tc>
          <w:tcPr>
            <w:tcW w:w="1046" w:type="dxa"/>
            <w:tcBorders>
              <w:top w:val="nil"/>
              <w:left w:val="nil"/>
              <w:bottom w:val="nil"/>
              <w:right w:val="nil"/>
            </w:tcBorders>
            <w:shd w:val="clear" w:color="auto" w:fill="auto"/>
            <w:noWrap/>
            <w:vAlign w:val="bottom"/>
            <w:hideMark/>
          </w:tcPr>
          <w:p w14:paraId="3072F1D4"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0.479</w:t>
            </w:r>
          </w:p>
        </w:tc>
        <w:tc>
          <w:tcPr>
            <w:tcW w:w="934" w:type="dxa"/>
            <w:tcBorders>
              <w:top w:val="nil"/>
              <w:left w:val="nil"/>
              <w:bottom w:val="nil"/>
              <w:right w:val="nil"/>
            </w:tcBorders>
            <w:shd w:val="clear" w:color="auto" w:fill="auto"/>
            <w:noWrap/>
            <w:vAlign w:val="bottom"/>
            <w:hideMark/>
          </w:tcPr>
          <w:p w14:paraId="44B414ED"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0.652</w:t>
            </w:r>
          </w:p>
        </w:tc>
        <w:tc>
          <w:tcPr>
            <w:tcW w:w="1198" w:type="dxa"/>
            <w:tcBorders>
              <w:top w:val="nil"/>
              <w:left w:val="nil"/>
              <w:bottom w:val="nil"/>
              <w:right w:val="nil"/>
            </w:tcBorders>
            <w:shd w:val="clear" w:color="auto" w:fill="auto"/>
            <w:noWrap/>
            <w:vAlign w:val="bottom"/>
            <w:hideMark/>
          </w:tcPr>
          <w:p w14:paraId="4B93A9CE" w14:textId="77777777" w:rsidR="00F51E93" w:rsidRPr="000E49F6" w:rsidRDefault="00F51E93" w:rsidP="000D7490">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Sig</w:t>
            </w:r>
          </w:p>
        </w:tc>
      </w:tr>
      <w:tr w:rsidR="000E49F6" w:rsidRPr="000E49F6" w14:paraId="41FB4517" w14:textId="77777777" w:rsidTr="00375EF3">
        <w:trPr>
          <w:trHeight w:val="255"/>
        </w:trPr>
        <w:tc>
          <w:tcPr>
            <w:tcW w:w="1170" w:type="dxa"/>
            <w:tcBorders>
              <w:top w:val="nil"/>
              <w:left w:val="nil"/>
              <w:bottom w:val="single" w:sz="4" w:space="0" w:color="auto"/>
              <w:right w:val="nil"/>
            </w:tcBorders>
            <w:shd w:val="clear" w:color="auto" w:fill="auto"/>
            <w:noWrap/>
            <w:vAlign w:val="bottom"/>
            <w:hideMark/>
          </w:tcPr>
          <w:p w14:paraId="683E50D4"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6</w:t>
            </w:r>
          </w:p>
        </w:tc>
        <w:tc>
          <w:tcPr>
            <w:tcW w:w="887" w:type="dxa"/>
            <w:tcBorders>
              <w:top w:val="nil"/>
              <w:left w:val="nil"/>
              <w:bottom w:val="single" w:sz="4" w:space="0" w:color="auto"/>
              <w:right w:val="nil"/>
            </w:tcBorders>
            <w:shd w:val="clear" w:color="auto" w:fill="auto"/>
            <w:noWrap/>
            <w:vAlign w:val="bottom"/>
            <w:hideMark/>
          </w:tcPr>
          <w:p w14:paraId="39AFCABB"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1162</w:t>
            </w:r>
          </w:p>
        </w:tc>
        <w:tc>
          <w:tcPr>
            <w:tcW w:w="1273" w:type="dxa"/>
            <w:tcBorders>
              <w:top w:val="nil"/>
              <w:left w:val="nil"/>
              <w:bottom w:val="single" w:sz="4" w:space="0" w:color="auto"/>
              <w:right w:val="nil"/>
            </w:tcBorders>
            <w:shd w:val="clear" w:color="auto" w:fill="auto"/>
            <w:noWrap/>
            <w:vAlign w:val="bottom"/>
            <w:hideMark/>
          </w:tcPr>
          <w:p w14:paraId="2801291F"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618</w:t>
            </w:r>
          </w:p>
        </w:tc>
        <w:tc>
          <w:tcPr>
            <w:tcW w:w="1350" w:type="dxa"/>
            <w:tcBorders>
              <w:top w:val="nil"/>
              <w:left w:val="nil"/>
              <w:bottom w:val="single" w:sz="4" w:space="0" w:color="auto"/>
              <w:right w:val="nil"/>
            </w:tcBorders>
            <w:shd w:val="clear" w:color="auto" w:fill="auto"/>
            <w:noWrap/>
            <w:vAlign w:val="bottom"/>
            <w:hideMark/>
          </w:tcPr>
          <w:p w14:paraId="4F936526"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0.532</w:t>
            </w:r>
          </w:p>
        </w:tc>
        <w:tc>
          <w:tcPr>
            <w:tcW w:w="1046" w:type="dxa"/>
            <w:tcBorders>
              <w:top w:val="nil"/>
              <w:left w:val="nil"/>
              <w:bottom w:val="single" w:sz="4" w:space="0" w:color="auto"/>
              <w:right w:val="nil"/>
            </w:tcBorders>
            <w:shd w:val="clear" w:color="auto" w:fill="auto"/>
            <w:noWrap/>
            <w:vAlign w:val="bottom"/>
            <w:hideMark/>
          </w:tcPr>
          <w:p w14:paraId="649C494E"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0.503</w:t>
            </w:r>
          </w:p>
        </w:tc>
        <w:tc>
          <w:tcPr>
            <w:tcW w:w="934" w:type="dxa"/>
            <w:tcBorders>
              <w:top w:val="nil"/>
              <w:left w:val="nil"/>
              <w:bottom w:val="single" w:sz="4" w:space="0" w:color="auto"/>
              <w:right w:val="nil"/>
            </w:tcBorders>
            <w:shd w:val="clear" w:color="auto" w:fill="auto"/>
            <w:noWrap/>
            <w:vAlign w:val="bottom"/>
            <w:hideMark/>
          </w:tcPr>
          <w:p w14:paraId="5AB521C2"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0.561</w:t>
            </w:r>
          </w:p>
        </w:tc>
        <w:tc>
          <w:tcPr>
            <w:tcW w:w="1198" w:type="dxa"/>
            <w:tcBorders>
              <w:top w:val="nil"/>
              <w:left w:val="nil"/>
              <w:bottom w:val="single" w:sz="4" w:space="0" w:color="auto"/>
              <w:right w:val="nil"/>
            </w:tcBorders>
            <w:shd w:val="clear" w:color="auto" w:fill="auto"/>
            <w:noWrap/>
            <w:vAlign w:val="bottom"/>
            <w:hideMark/>
          </w:tcPr>
          <w:p w14:paraId="71DCE2F2" w14:textId="77777777" w:rsidR="00F51E93" w:rsidRPr="000E49F6" w:rsidRDefault="00F51E93" w:rsidP="000D7490">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Sig</w:t>
            </w:r>
          </w:p>
        </w:tc>
      </w:tr>
      <w:tr w:rsidR="000E49F6" w:rsidRPr="000E49F6" w14:paraId="60D421BD" w14:textId="77777777" w:rsidTr="00375EF3">
        <w:trPr>
          <w:trHeight w:val="255"/>
        </w:trPr>
        <w:tc>
          <w:tcPr>
            <w:tcW w:w="1170" w:type="dxa"/>
            <w:tcBorders>
              <w:top w:val="nil"/>
              <w:left w:val="nil"/>
              <w:bottom w:val="single" w:sz="4" w:space="0" w:color="auto"/>
              <w:right w:val="nil"/>
            </w:tcBorders>
            <w:shd w:val="clear" w:color="auto" w:fill="auto"/>
            <w:noWrap/>
            <w:vAlign w:val="bottom"/>
            <w:hideMark/>
          </w:tcPr>
          <w:p w14:paraId="5F9661D7"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All</w:t>
            </w:r>
            <w:r w:rsidR="00375EF3" w:rsidRPr="000E49F6">
              <w:rPr>
                <w:rFonts w:ascii="Calibri" w:eastAsia="Times New Roman" w:hAnsi="Calibri" w:cs="Arial"/>
                <w:color w:val="0000FF"/>
                <w:sz w:val="20"/>
                <w:szCs w:val="20"/>
              </w:rPr>
              <w:t xml:space="preserve"> </w:t>
            </w:r>
            <w:r w:rsidRPr="000E49F6">
              <w:rPr>
                <w:rFonts w:ascii="Calibri" w:eastAsia="Times New Roman" w:hAnsi="Calibri" w:cs="Arial"/>
                <w:color w:val="0000FF"/>
                <w:sz w:val="20"/>
                <w:szCs w:val="20"/>
              </w:rPr>
              <w:t>Regions</w:t>
            </w:r>
          </w:p>
        </w:tc>
        <w:tc>
          <w:tcPr>
            <w:tcW w:w="887" w:type="dxa"/>
            <w:tcBorders>
              <w:top w:val="nil"/>
              <w:left w:val="nil"/>
              <w:bottom w:val="single" w:sz="4" w:space="0" w:color="auto"/>
              <w:right w:val="nil"/>
            </w:tcBorders>
            <w:shd w:val="clear" w:color="auto" w:fill="auto"/>
            <w:noWrap/>
            <w:vAlign w:val="bottom"/>
            <w:hideMark/>
          </w:tcPr>
          <w:p w14:paraId="273450D2"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2600</w:t>
            </w:r>
          </w:p>
        </w:tc>
        <w:tc>
          <w:tcPr>
            <w:tcW w:w="1273" w:type="dxa"/>
            <w:tcBorders>
              <w:top w:val="nil"/>
              <w:left w:val="nil"/>
              <w:bottom w:val="single" w:sz="4" w:space="0" w:color="auto"/>
              <w:right w:val="nil"/>
            </w:tcBorders>
            <w:shd w:val="clear" w:color="auto" w:fill="auto"/>
            <w:noWrap/>
            <w:vAlign w:val="bottom"/>
            <w:hideMark/>
          </w:tcPr>
          <w:p w14:paraId="1D0D485B"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1315</w:t>
            </w:r>
          </w:p>
        </w:tc>
        <w:tc>
          <w:tcPr>
            <w:tcW w:w="1350" w:type="dxa"/>
            <w:tcBorders>
              <w:top w:val="nil"/>
              <w:left w:val="nil"/>
              <w:bottom w:val="single" w:sz="4" w:space="0" w:color="auto"/>
              <w:right w:val="nil"/>
            </w:tcBorders>
            <w:shd w:val="clear" w:color="auto" w:fill="auto"/>
            <w:noWrap/>
            <w:vAlign w:val="bottom"/>
            <w:hideMark/>
          </w:tcPr>
          <w:p w14:paraId="219D8A27"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0.506</w:t>
            </w:r>
          </w:p>
        </w:tc>
        <w:tc>
          <w:tcPr>
            <w:tcW w:w="1046" w:type="dxa"/>
            <w:tcBorders>
              <w:top w:val="nil"/>
              <w:left w:val="nil"/>
              <w:bottom w:val="single" w:sz="4" w:space="0" w:color="auto"/>
              <w:right w:val="nil"/>
            </w:tcBorders>
            <w:shd w:val="clear" w:color="auto" w:fill="auto"/>
            <w:noWrap/>
            <w:vAlign w:val="bottom"/>
            <w:hideMark/>
          </w:tcPr>
          <w:p w14:paraId="33C9AB66"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0.486</w:t>
            </w:r>
          </w:p>
        </w:tc>
        <w:tc>
          <w:tcPr>
            <w:tcW w:w="934" w:type="dxa"/>
            <w:tcBorders>
              <w:top w:val="nil"/>
              <w:left w:val="nil"/>
              <w:bottom w:val="single" w:sz="4" w:space="0" w:color="auto"/>
              <w:right w:val="nil"/>
            </w:tcBorders>
            <w:shd w:val="clear" w:color="auto" w:fill="auto"/>
            <w:noWrap/>
            <w:vAlign w:val="bottom"/>
            <w:hideMark/>
          </w:tcPr>
          <w:p w14:paraId="5AC1287E" w14:textId="77777777" w:rsidR="00F51E93" w:rsidRPr="000E49F6" w:rsidRDefault="00F51E93" w:rsidP="00F51E93">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0.525</w:t>
            </w:r>
          </w:p>
        </w:tc>
        <w:tc>
          <w:tcPr>
            <w:tcW w:w="1198" w:type="dxa"/>
            <w:tcBorders>
              <w:top w:val="nil"/>
              <w:left w:val="nil"/>
              <w:bottom w:val="single" w:sz="4" w:space="0" w:color="auto"/>
              <w:right w:val="nil"/>
            </w:tcBorders>
            <w:shd w:val="clear" w:color="auto" w:fill="auto"/>
            <w:noWrap/>
            <w:vAlign w:val="bottom"/>
            <w:hideMark/>
          </w:tcPr>
          <w:p w14:paraId="3F3B4BB5" w14:textId="77777777" w:rsidR="00F51E93" w:rsidRPr="000E49F6" w:rsidRDefault="00F51E93" w:rsidP="000D7490">
            <w:pPr>
              <w:spacing w:after="0" w:line="240" w:lineRule="auto"/>
              <w:jc w:val="center"/>
              <w:rPr>
                <w:rFonts w:ascii="Calibri" w:eastAsia="Times New Roman" w:hAnsi="Calibri" w:cs="Arial"/>
                <w:color w:val="0000FF"/>
                <w:sz w:val="20"/>
                <w:szCs w:val="20"/>
              </w:rPr>
            </w:pPr>
            <w:r w:rsidRPr="000E49F6">
              <w:rPr>
                <w:rFonts w:ascii="Calibri" w:eastAsia="Times New Roman" w:hAnsi="Calibri" w:cs="Arial"/>
                <w:color w:val="0000FF"/>
                <w:sz w:val="20"/>
                <w:szCs w:val="20"/>
              </w:rPr>
              <w:t>Sig</w:t>
            </w:r>
          </w:p>
        </w:tc>
      </w:tr>
    </w:tbl>
    <w:p w14:paraId="451F3856" w14:textId="77777777" w:rsidR="00AC71DE" w:rsidRPr="00AC71DE" w:rsidRDefault="00AC71DE" w:rsidP="00AC71DE">
      <w:pPr>
        <w:autoSpaceDE w:val="0"/>
        <w:autoSpaceDN w:val="0"/>
        <w:adjustRightInd w:val="0"/>
        <w:spacing w:after="0" w:line="240" w:lineRule="auto"/>
        <w:rPr>
          <w:rFonts w:cstheme="minorHAnsi"/>
          <w:bCs/>
          <w:color w:val="0000FF"/>
        </w:rPr>
      </w:pPr>
      <w:r w:rsidRPr="00AC71DE">
        <w:rPr>
          <w:rFonts w:cstheme="minorHAnsi"/>
          <w:bCs/>
          <w:color w:val="0000FF"/>
        </w:rPr>
        <w:t>*</w:t>
      </w:r>
      <w:r>
        <w:rPr>
          <w:rFonts w:cstheme="minorHAnsi"/>
          <w:bCs/>
          <w:color w:val="0000FF"/>
        </w:rPr>
        <w:t xml:space="preserve"> Estimate based upon USRDS and CMS Fistula First</w:t>
      </w:r>
      <w:r w:rsidR="008C453C">
        <w:rPr>
          <w:rFonts w:cstheme="minorHAnsi"/>
          <w:bCs/>
          <w:color w:val="0000FF"/>
        </w:rPr>
        <w:t xml:space="preserve"> </w:t>
      </w:r>
      <w:proofErr w:type="gramStart"/>
      <w:r w:rsidR="008C453C">
        <w:rPr>
          <w:rFonts w:cstheme="minorHAnsi"/>
          <w:bCs/>
          <w:color w:val="0000FF"/>
        </w:rPr>
        <w:t>data</w:t>
      </w:r>
      <w:r>
        <w:rPr>
          <w:rFonts w:cstheme="minorHAnsi"/>
          <w:bCs/>
          <w:color w:val="0000FF"/>
        </w:rPr>
        <w:t>,</w:t>
      </w:r>
      <w:proofErr w:type="gramEnd"/>
      <w:r>
        <w:rPr>
          <w:rFonts w:cstheme="minorHAnsi"/>
          <w:bCs/>
          <w:color w:val="0000FF"/>
        </w:rPr>
        <w:t xml:space="preserve"> see Appendix for calculation</w:t>
      </w:r>
      <w:r w:rsidR="000D7490" w:rsidRPr="00AC71DE">
        <w:rPr>
          <w:rFonts w:cstheme="minorHAnsi"/>
          <w:bCs/>
          <w:color w:val="0000FF"/>
        </w:rPr>
        <w:t xml:space="preserve"> </w:t>
      </w:r>
    </w:p>
    <w:p w14:paraId="59C10B90" w14:textId="77777777" w:rsidR="00F51E93" w:rsidRPr="00D73D28" w:rsidRDefault="00AC71DE" w:rsidP="000D7490">
      <w:pPr>
        <w:autoSpaceDE w:val="0"/>
        <w:autoSpaceDN w:val="0"/>
        <w:adjustRightInd w:val="0"/>
        <w:spacing w:after="0" w:line="240" w:lineRule="auto"/>
        <w:rPr>
          <w:rFonts w:cstheme="minorHAnsi"/>
          <w:bCs/>
          <w:color w:val="0000FF"/>
          <w:sz w:val="18"/>
          <w:szCs w:val="18"/>
        </w:rPr>
      </w:pPr>
      <w:r>
        <w:rPr>
          <w:rFonts w:cstheme="minorHAnsi"/>
          <w:bCs/>
          <w:color w:val="0000FF"/>
        </w:rPr>
        <w:t xml:space="preserve">+ </w:t>
      </w:r>
      <w:r w:rsidR="000E49F6" w:rsidRPr="00D73D28">
        <w:rPr>
          <w:rFonts w:cstheme="minorHAnsi"/>
          <w:bCs/>
          <w:color w:val="0000FF"/>
          <w:sz w:val="20"/>
          <w:szCs w:val="20"/>
        </w:rPr>
        <w:t>NS</w:t>
      </w:r>
      <w:r w:rsidR="000D7490" w:rsidRPr="00D73D28">
        <w:rPr>
          <w:rFonts w:cstheme="minorHAnsi"/>
          <w:bCs/>
          <w:color w:val="0000FF"/>
          <w:sz w:val="20"/>
          <w:szCs w:val="20"/>
        </w:rPr>
        <w:t>, Not significantly different</w:t>
      </w:r>
      <w:r w:rsidR="00D73D28" w:rsidRPr="00D73D28">
        <w:rPr>
          <w:rFonts w:cstheme="minorHAnsi"/>
          <w:bCs/>
          <w:color w:val="0000FF"/>
          <w:sz w:val="20"/>
          <w:szCs w:val="20"/>
        </w:rPr>
        <w:t>, 95% confidence interval contains the national value, LCL &lt; national value &lt; UCL; Sig</w:t>
      </w:r>
      <w:r w:rsidR="000D7490" w:rsidRPr="00D73D28">
        <w:rPr>
          <w:rFonts w:cstheme="minorHAnsi"/>
          <w:bCs/>
          <w:color w:val="0000FF"/>
          <w:sz w:val="20"/>
          <w:szCs w:val="20"/>
        </w:rPr>
        <w:t>, Significantly different</w:t>
      </w:r>
      <w:r w:rsidR="00D73D28" w:rsidRPr="00D73D28">
        <w:rPr>
          <w:rFonts w:cstheme="minorHAnsi"/>
          <w:bCs/>
          <w:color w:val="0000FF"/>
          <w:sz w:val="20"/>
          <w:szCs w:val="20"/>
        </w:rPr>
        <w:t>, 95% confidence interval does not include national value.</w:t>
      </w:r>
    </w:p>
    <w:p w14:paraId="5DE588B9" w14:textId="77777777" w:rsidR="000E49F6" w:rsidRDefault="000E49F6" w:rsidP="00CA2610">
      <w:pPr>
        <w:autoSpaceDE w:val="0"/>
        <w:autoSpaceDN w:val="0"/>
        <w:adjustRightInd w:val="0"/>
        <w:spacing w:after="0" w:line="240" w:lineRule="auto"/>
        <w:rPr>
          <w:rFonts w:cstheme="minorHAnsi"/>
          <w:bCs/>
        </w:rPr>
      </w:pPr>
    </w:p>
    <w:p w14:paraId="49BB133F" w14:textId="77777777"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28DE4343" w14:textId="77777777" w:rsidR="00A8735B" w:rsidRDefault="00F678D6" w:rsidP="001C13CE">
      <w:pPr>
        <w:autoSpaceDE w:val="0"/>
        <w:autoSpaceDN w:val="0"/>
        <w:adjustRightInd w:val="0"/>
        <w:spacing w:after="0" w:line="240" w:lineRule="auto"/>
        <w:rPr>
          <w:rFonts w:cstheme="minorHAnsi"/>
          <w:bCs/>
          <w:color w:val="0000FF"/>
        </w:rPr>
      </w:pPr>
      <w:r>
        <w:rPr>
          <w:rFonts w:cstheme="minorHAnsi"/>
          <w:bCs/>
          <w:color w:val="0000FF"/>
        </w:rPr>
        <w:t xml:space="preserve">The </w:t>
      </w:r>
      <w:r w:rsidR="00A8735B">
        <w:rPr>
          <w:rFonts w:cstheme="minorHAnsi"/>
          <w:bCs/>
          <w:color w:val="0000FF"/>
        </w:rPr>
        <w:t xml:space="preserve">results in Tables 6 and 7 indicate that there is sufficient variation in regional results to identify significant differences in performance among regions both within Kaiser Permanente and to the national optimal ESRD start rate. </w:t>
      </w:r>
    </w:p>
    <w:p w14:paraId="71C71FFA" w14:textId="77777777" w:rsidR="00A8735B" w:rsidRDefault="00A8735B" w:rsidP="001C13CE">
      <w:pPr>
        <w:autoSpaceDE w:val="0"/>
        <w:autoSpaceDN w:val="0"/>
        <w:adjustRightInd w:val="0"/>
        <w:spacing w:after="0" w:line="240" w:lineRule="auto"/>
        <w:rPr>
          <w:rFonts w:cstheme="minorHAnsi"/>
          <w:bCs/>
          <w:color w:val="0000FF"/>
        </w:rPr>
      </w:pPr>
    </w:p>
    <w:p w14:paraId="7F22B453" w14:textId="77777777" w:rsidR="001C13CE" w:rsidRDefault="00A8735B" w:rsidP="001C13CE">
      <w:pPr>
        <w:autoSpaceDE w:val="0"/>
        <w:autoSpaceDN w:val="0"/>
        <w:adjustRightInd w:val="0"/>
        <w:spacing w:after="0" w:line="240" w:lineRule="auto"/>
        <w:rPr>
          <w:rFonts w:cstheme="minorHAnsi"/>
          <w:bCs/>
          <w:color w:val="0000FF"/>
        </w:rPr>
      </w:pPr>
      <w:r>
        <w:rPr>
          <w:rFonts w:cstheme="minorHAnsi"/>
          <w:bCs/>
          <w:color w:val="0000FF"/>
        </w:rPr>
        <w:t xml:space="preserve">The Table 6 </w:t>
      </w:r>
      <w:r w:rsidR="00F678D6">
        <w:rPr>
          <w:rFonts w:cstheme="minorHAnsi"/>
          <w:bCs/>
          <w:color w:val="0000FF"/>
        </w:rPr>
        <w:t>results indicate that the optimal ESRD start proportions vary by region</w:t>
      </w:r>
      <w:r>
        <w:rPr>
          <w:rFonts w:cstheme="minorHAnsi"/>
          <w:bCs/>
          <w:color w:val="0000FF"/>
        </w:rPr>
        <w:t xml:space="preserve"> (.282-.567)</w:t>
      </w:r>
      <w:r w:rsidR="00F678D6">
        <w:rPr>
          <w:rFonts w:cstheme="minorHAnsi"/>
          <w:bCs/>
          <w:color w:val="0000FF"/>
        </w:rPr>
        <w:t xml:space="preserve"> and the regional difference to the all regions group mean difference can be statistical</w:t>
      </w:r>
      <w:r w:rsidR="00D96F49">
        <w:rPr>
          <w:rFonts w:cstheme="minorHAnsi"/>
          <w:bCs/>
          <w:color w:val="0000FF"/>
        </w:rPr>
        <w:t>ly</w:t>
      </w:r>
      <w:r w:rsidR="00F678D6">
        <w:rPr>
          <w:rFonts w:cstheme="minorHAnsi"/>
          <w:bCs/>
          <w:color w:val="0000FF"/>
        </w:rPr>
        <w:t xml:space="preserve"> significant</w:t>
      </w:r>
      <w:r>
        <w:rPr>
          <w:rFonts w:cstheme="minorHAnsi"/>
          <w:bCs/>
          <w:color w:val="0000FF"/>
        </w:rPr>
        <w:t xml:space="preserve"> (Region 1, difference = -.224, significant using 95% confidence level)</w:t>
      </w:r>
      <w:r w:rsidR="00F678D6">
        <w:rPr>
          <w:rFonts w:cstheme="minorHAnsi"/>
          <w:bCs/>
          <w:color w:val="0000FF"/>
        </w:rPr>
        <w:t>. Thus indicating that identification of performance differences is possible with the optimal ESRD start metric.</w:t>
      </w:r>
    </w:p>
    <w:p w14:paraId="716CD3C1" w14:textId="77777777" w:rsidR="00A8735B" w:rsidRDefault="00A8735B" w:rsidP="001C13CE">
      <w:pPr>
        <w:autoSpaceDE w:val="0"/>
        <w:autoSpaceDN w:val="0"/>
        <w:adjustRightInd w:val="0"/>
        <w:spacing w:after="0" w:line="240" w:lineRule="auto"/>
        <w:rPr>
          <w:rFonts w:cstheme="minorHAnsi"/>
          <w:bCs/>
          <w:color w:val="0000FF"/>
        </w:rPr>
      </w:pPr>
    </w:p>
    <w:p w14:paraId="770479D6" w14:textId="695F42C8" w:rsidR="00A8735B" w:rsidRDefault="00A8735B" w:rsidP="001C13CE">
      <w:pPr>
        <w:autoSpaceDE w:val="0"/>
        <w:autoSpaceDN w:val="0"/>
        <w:adjustRightInd w:val="0"/>
        <w:spacing w:after="0" w:line="240" w:lineRule="auto"/>
        <w:rPr>
          <w:rFonts w:cstheme="minorHAnsi"/>
          <w:bCs/>
          <w:color w:val="0000FF"/>
        </w:rPr>
      </w:pPr>
      <w:r>
        <w:rPr>
          <w:rFonts w:cstheme="minorHAnsi"/>
          <w:bCs/>
          <w:color w:val="0000FF"/>
        </w:rPr>
        <w:lastRenderedPageBreak/>
        <w:t>The individual region and the aggregate, all region, results are compared to the 2012 national rate (0.355</w:t>
      </w:r>
      <w:r w:rsidR="00AE4B10">
        <w:rPr>
          <w:rFonts w:cstheme="minorHAnsi"/>
          <w:bCs/>
          <w:color w:val="0000FF"/>
        </w:rPr>
        <w:t>, estimated from the USRDS and CMS Fistula First</w:t>
      </w:r>
      <w:r w:rsidR="008C453C">
        <w:rPr>
          <w:rFonts w:cstheme="minorHAnsi"/>
          <w:bCs/>
          <w:color w:val="0000FF"/>
        </w:rPr>
        <w:t xml:space="preserve"> data</w:t>
      </w:r>
      <w:r w:rsidR="00AE4B10">
        <w:rPr>
          <w:rFonts w:cstheme="minorHAnsi"/>
          <w:bCs/>
          <w:color w:val="0000FF"/>
        </w:rPr>
        <w:t>, see Appendix for the calculation</w:t>
      </w:r>
      <w:r>
        <w:rPr>
          <w:rFonts w:cstheme="minorHAnsi"/>
          <w:bCs/>
          <w:color w:val="0000FF"/>
        </w:rPr>
        <w:t>)</w:t>
      </w:r>
      <w:r w:rsidR="00D73D28">
        <w:rPr>
          <w:rFonts w:cstheme="minorHAnsi"/>
          <w:bCs/>
          <w:color w:val="0000FF"/>
        </w:rPr>
        <w:t>, Table 7,</w:t>
      </w:r>
      <w:r>
        <w:rPr>
          <w:rFonts w:cstheme="minorHAnsi"/>
          <w:bCs/>
          <w:color w:val="0000FF"/>
        </w:rPr>
        <w:t xml:space="preserve"> using the 95% confidence intervals for the region and all region optimal ESRD start rates. Four of the regional (2, 4, 5, and 6) and the </w:t>
      </w:r>
      <w:proofErr w:type="spellStart"/>
      <w:r>
        <w:rPr>
          <w:rFonts w:cstheme="minorHAnsi"/>
          <w:bCs/>
          <w:color w:val="0000FF"/>
        </w:rPr>
        <w:t>all region</w:t>
      </w:r>
      <w:proofErr w:type="spellEnd"/>
      <w:r>
        <w:rPr>
          <w:rFonts w:cstheme="minorHAnsi"/>
          <w:bCs/>
          <w:color w:val="0000FF"/>
        </w:rPr>
        <w:t xml:space="preserve"> </w:t>
      </w:r>
      <w:r w:rsidR="00D73D28">
        <w:rPr>
          <w:rFonts w:cstheme="minorHAnsi"/>
          <w:bCs/>
          <w:color w:val="0000FF"/>
        </w:rPr>
        <w:t>ag</w:t>
      </w:r>
      <w:r w:rsidR="00BE00AF">
        <w:rPr>
          <w:rFonts w:cstheme="minorHAnsi"/>
          <w:bCs/>
          <w:color w:val="0000FF"/>
        </w:rPr>
        <w:t xml:space="preserve">gregate </w:t>
      </w:r>
      <w:r w:rsidR="00D73D28">
        <w:rPr>
          <w:rFonts w:cstheme="minorHAnsi"/>
          <w:bCs/>
          <w:color w:val="0000FF"/>
        </w:rPr>
        <w:t xml:space="preserve">confidence intervals do not include the national optimal ESRD start performance value, .355 </w:t>
      </w:r>
      <w:r w:rsidR="0074261A">
        <w:rPr>
          <w:rFonts w:cstheme="minorHAnsi"/>
          <w:bCs/>
          <w:color w:val="0000FF"/>
        </w:rPr>
        <w:t xml:space="preserve">indicating statistically </w:t>
      </w:r>
      <w:r>
        <w:rPr>
          <w:rFonts w:cstheme="minorHAnsi"/>
          <w:bCs/>
          <w:color w:val="0000FF"/>
        </w:rPr>
        <w:t>significant</w:t>
      </w:r>
      <w:r w:rsidR="0074261A">
        <w:rPr>
          <w:rFonts w:cstheme="minorHAnsi"/>
          <w:bCs/>
          <w:color w:val="0000FF"/>
        </w:rPr>
        <w:t xml:space="preserve"> </w:t>
      </w:r>
      <w:r>
        <w:rPr>
          <w:rFonts w:cstheme="minorHAnsi"/>
          <w:bCs/>
          <w:color w:val="0000FF"/>
        </w:rPr>
        <w:t>differen</w:t>
      </w:r>
      <w:r w:rsidR="0074261A">
        <w:rPr>
          <w:rFonts w:cstheme="minorHAnsi"/>
          <w:bCs/>
          <w:color w:val="0000FF"/>
        </w:rPr>
        <w:t>ces</w:t>
      </w:r>
      <w:r>
        <w:rPr>
          <w:rFonts w:cstheme="minorHAnsi"/>
          <w:bCs/>
          <w:color w:val="0000FF"/>
        </w:rPr>
        <w:t xml:space="preserve"> from the national rate.</w:t>
      </w:r>
    </w:p>
    <w:p w14:paraId="01C30826" w14:textId="77777777" w:rsidR="0086464B" w:rsidRDefault="0086464B" w:rsidP="0074261A">
      <w:pPr>
        <w:keepNext/>
        <w:spacing w:after="0" w:line="240" w:lineRule="auto"/>
        <w:rPr>
          <w:rFonts w:cstheme="minorHAnsi"/>
          <w:b/>
          <w:bCs/>
        </w:rPr>
      </w:pPr>
      <w:r>
        <w:rPr>
          <w:rFonts w:cstheme="minorHAnsi"/>
          <w:b/>
          <w:bCs/>
        </w:rPr>
        <w:t>_______________________________________</w:t>
      </w:r>
    </w:p>
    <w:p w14:paraId="321C4198" w14:textId="77777777" w:rsidR="004B1BA0" w:rsidRDefault="00021170" w:rsidP="0074261A">
      <w:pPr>
        <w:keepNext/>
        <w:keepLines/>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010D2902" w14:textId="0691D7AA" w:rsidR="00567D12" w:rsidRPr="0086464B" w:rsidRDefault="00567D12" w:rsidP="0074261A">
      <w:pPr>
        <w:keepNext/>
        <w:keepLines/>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r w:rsidR="003218FB">
        <w:rPr>
          <w:rFonts w:cstheme="minorHAnsi"/>
          <w:b/>
          <w:bCs/>
          <w:i/>
        </w:rPr>
        <w:t xml:space="preserve"> </w:t>
      </w:r>
      <w:r w:rsidR="003218FB" w:rsidRPr="00652D9B">
        <w:rPr>
          <w:rFonts w:cstheme="minorHAnsi"/>
          <w:bCs/>
          <w:color w:val="0000FF"/>
        </w:rPr>
        <w:t>NA</w:t>
      </w:r>
      <w:r w:rsidR="003218FB">
        <w:rPr>
          <w:rFonts w:cstheme="minorHAnsi"/>
          <w:bCs/>
          <w:color w:val="0000FF"/>
        </w:rPr>
        <w:t xml:space="preserve">, only one set of specifications </w:t>
      </w:r>
      <w:r w:rsidR="0074261A">
        <w:rPr>
          <w:rFonts w:cstheme="minorHAnsi"/>
          <w:bCs/>
          <w:color w:val="0000FF"/>
        </w:rPr>
        <w:t xml:space="preserve">is </w:t>
      </w:r>
      <w:r w:rsidR="003218FB">
        <w:rPr>
          <w:rFonts w:cstheme="minorHAnsi"/>
          <w:bCs/>
          <w:color w:val="0000FF"/>
        </w:rPr>
        <w:t>used.</w:t>
      </w:r>
    </w:p>
    <w:p w14:paraId="70EAF276" w14:textId="77777777" w:rsidR="00567D12" w:rsidRPr="00A25024" w:rsidRDefault="00567D12" w:rsidP="00DB3627">
      <w:pPr>
        <w:autoSpaceDE w:val="0"/>
        <w:autoSpaceDN w:val="0"/>
        <w:adjustRightInd w:val="0"/>
        <w:spacing w:after="0" w:line="240" w:lineRule="auto"/>
        <w:rPr>
          <w:rFonts w:cstheme="minorHAnsi"/>
          <w:b/>
          <w:bCs/>
        </w:rPr>
      </w:pPr>
    </w:p>
    <w:p w14:paraId="006496AD"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2DF528F7" w14:textId="77777777" w:rsidR="000F06B5" w:rsidRPr="00A25024" w:rsidRDefault="000F06B5" w:rsidP="00DB3627">
      <w:pPr>
        <w:autoSpaceDE w:val="0"/>
        <w:autoSpaceDN w:val="0"/>
        <w:adjustRightInd w:val="0"/>
        <w:spacing w:after="0" w:line="240" w:lineRule="auto"/>
        <w:rPr>
          <w:rFonts w:cstheme="minorHAnsi"/>
          <w:bCs/>
        </w:rPr>
      </w:pPr>
    </w:p>
    <w:p w14:paraId="31315576" w14:textId="77777777"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1C13CE">
        <w:rPr>
          <w:rFonts w:cstheme="minorHAnsi"/>
          <w:bCs/>
        </w:rPr>
        <w:t xml:space="preserve"> </w:t>
      </w:r>
      <w:r w:rsidR="001C13CE" w:rsidRPr="00652D9B">
        <w:rPr>
          <w:rFonts w:cstheme="minorHAnsi"/>
          <w:bCs/>
          <w:color w:val="0000FF"/>
        </w:rPr>
        <w:t>NA</w:t>
      </w:r>
      <w:r w:rsidR="000F06B5" w:rsidRPr="00A25024">
        <w:rPr>
          <w:rFonts w:cstheme="minorHAnsi"/>
          <w:bCs/>
        </w:rPr>
        <w:br/>
        <w:t xml:space="preserve"> </w:t>
      </w:r>
    </w:p>
    <w:p w14:paraId="4CA86DE7"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748D0F2E"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1C13CE">
        <w:rPr>
          <w:rFonts w:cstheme="minorHAnsi"/>
          <w:bCs/>
        </w:rPr>
        <w:t xml:space="preserve"> </w:t>
      </w:r>
      <w:r w:rsidR="001C13CE" w:rsidRPr="00652D9B">
        <w:rPr>
          <w:rFonts w:cstheme="minorHAnsi"/>
          <w:bCs/>
          <w:color w:val="0000FF"/>
        </w:rPr>
        <w:t>NA</w:t>
      </w:r>
      <w:r w:rsidR="000F06B5" w:rsidRPr="00A25024">
        <w:rPr>
          <w:rFonts w:cstheme="minorHAnsi"/>
          <w:bCs/>
        </w:rPr>
        <w:br/>
      </w:r>
    </w:p>
    <w:p w14:paraId="628C56DD" w14:textId="77777777" w:rsidR="00E1508F" w:rsidRPr="00E1508F" w:rsidRDefault="00E1508F" w:rsidP="00E1508F">
      <w:pPr>
        <w:autoSpaceDE w:val="0"/>
        <w:autoSpaceDN w:val="0"/>
        <w:adjustRightInd w:val="0"/>
        <w:spacing w:after="0" w:line="240" w:lineRule="auto"/>
        <w:rPr>
          <w:rFonts w:cstheme="minorHAnsi"/>
          <w:bCs/>
        </w:rPr>
      </w:pPr>
    </w:p>
    <w:p w14:paraId="3CED3F91"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1C13CE">
        <w:rPr>
          <w:rFonts w:cstheme="minorHAnsi"/>
          <w:bCs/>
        </w:rPr>
        <w:t xml:space="preserve"> </w:t>
      </w:r>
      <w:r w:rsidR="001C13CE" w:rsidRPr="00652D9B">
        <w:rPr>
          <w:rFonts w:cstheme="minorHAnsi"/>
          <w:bCs/>
          <w:color w:val="0000FF"/>
        </w:rPr>
        <w:t>NA</w:t>
      </w:r>
      <w:r w:rsidR="00A35F8F" w:rsidRPr="00DB3627">
        <w:rPr>
          <w:rFonts w:cstheme="minorHAnsi"/>
          <w:bCs/>
        </w:rPr>
        <w:br/>
      </w:r>
    </w:p>
    <w:p w14:paraId="74AC6B00" w14:textId="77777777" w:rsidR="008F7E67" w:rsidRDefault="008F7E67" w:rsidP="008F7E67">
      <w:pPr>
        <w:spacing w:after="0" w:line="240" w:lineRule="auto"/>
        <w:rPr>
          <w:rFonts w:cstheme="minorHAnsi"/>
          <w:b/>
          <w:bCs/>
        </w:rPr>
      </w:pPr>
      <w:r>
        <w:rPr>
          <w:rFonts w:cstheme="minorHAnsi"/>
          <w:b/>
          <w:bCs/>
        </w:rPr>
        <w:t>_______________________________________</w:t>
      </w:r>
    </w:p>
    <w:p w14:paraId="1591CA3A" w14:textId="77777777" w:rsidR="008F7E67" w:rsidRDefault="008F7E67" w:rsidP="000E49F6">
      <w:pPr>
        <w:keepNext/>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1507C3DA" w14:textId="77777777" w:rsidR="008F7E67" w:rsidRDefault="008F7E67" w:rsidP="000E49F6">
      <w:pPr>
        <w:keepNext/>
        <w:autoSpaceDE w:val="0"/>
        <w:autoSpaceDN w:val="0"/>
        <w:adjustRightInd w:val="0"/>
        <w:spacing w:after="0" w:line="240" w:lineRule="auto"/>
        <w:rPr>
          <w:rFonts w:cstheme="minorHAnsi"/>
          <w:bCs/>
        </w:rPr>
      </w:pPr>
    </w:p>
    <w:p w14:paraId="65F13F2F"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14:paraId="7311E8BB" w14:textId="55445C98" w:rsidR="00270751" w:rsidRDefault="00270751" w:rsidP="008F7E67">
      <w:pPr>
        <w:pStyle w:val="ListParagraph"/>
        <w:autoSpaceDE w:val="0"/>
        <w:autoSpaceDN w:val="0"/>
        <w:adjustRightInd w:val="0"/>
        <w:spacing w:after="0" w:line="240" w:lineRule="auto"/>
        <w:ind w:left="0"/>
        <w:rPr>
          <w:rFonts w:cstheme="minorHAnsi"/>
          <w:bCs/>
          <w:color w:val="0000FF"/>
        </w:rPr>
      </w:pPr>
      <w:r>
        <w:rPr>
          <w:rFonts w:cstheme="minorHAnsi"/>
          <w:bCs/>
          <w:color w:val="0000FF"/>
        </w:rPr>
        <w:t xml:space="preserve">To quantify the effect of missing data, the performance metric is </w:t>
      </w:r>
      <w:r w:rsidR="00A86A63">
        <w:rPr>
          <w:rFonts w:cstheme="minorHAnsi"/>
          <w:bCs/>
          <w:color w:val="0000FF"/>
        </w:rPr>
        <w:t xml:space="preserve">calculated under the </w:t>
      </w:r>
      <w:r>
        <w:rPr>
          <w:rFonts w:cstheme="minorHAnsi"/>
          <w:bCs/>
          <w:color w:val="0000FF"/>
        </w:rPr>
        <w:t xml:space="preserve">two scenarios </w:t>
      </w:r>
      <w:r w:rsidR="00A86A63">
        <w:rPr>
          <w:rFonts w:cstheme="minorHAnsi"/>
          <w:bCs/>
          <w:color w:val="0000FF"/>
        </w:rPr>
        <w:t xml:space="preserve">(1) for the excluded cases, the region data elements and optimal ESRD start result </w:t>
      </w:r>
      <w:r w:rsidR="0074261A">
        <w:rPr>
          <w:rFonts w:cstheme="minorHAnsi"/>
          <w:bCs/>
          <w:color w:val="0000FF"/>
        </w:rPr>
        <w:t xml:space="preserve">are assumed </w:t>
      </w:r>
      <w:r w:rsidR="00A86A63">
        <w:rPr>
          <w:rFonts w:cstheme="minorHAnsi"/>
          <w:bCs/>
          <w:color w:val="0000FF"/>
        </w:rPr>
        <w:t xml:space="preserve">not </w:t>
      </w:r>
      <w:r w:rsidR="0074261A">
        <w:rPr>
          <w:rFonts w:cstheme="minorHAnsi"/>
          <w:bCs/>
          <w:color w:val="0000FF"/>
        </w:rPr>
        <w:t xml:space="preserve">to </w:t>
      </w:r>
      <w:r w:rsidR="00A86A63">
        <w:rPr>
          <w:rFonts w:cstheme="minorHAnsi"/>
          <w:bCs/>
          <w:color w:val="0000FF"/>
        </w:rPr>
        <w:t xml:space="preserve">match the source; and (2) where the region data elements and optimal ESRD start result </w:t>
      </w:r>
      <w:r w:rsidR="0074261A">
        <w:rPr>
          <w:rFonts w:cstheme="minorHAnsi"/>
          <w:bCs/>
          <w:color w:val="0000FF"/>
        </w:rPr>
        <w:t>are assumed t</w:t>
      </w:r>
      <w:r w:rsidR="00A86A63">
        <w:rPr>
          <w:rFonts w:cstheme="minorHAnsi"/>
          <w:bCs/>
          <w:color w:val="0000FF"/>
        </w:rPr>
        <w:t>o match the source. These two scenarios represent the two extreme</w:t>
      </w:r>
      <w:r w:rsidR="0074261A">
        <w:rPr>
          <w:rFonts w:cstheme="minorHAnsi"/>
          <w:bCs/>
          <w:color w:val="0000FF"/>
        </w:rPr>
        <w:t>s</w:t>
      </w:r>
      <w:r w:rsidR="00A86A63">
        <w:rPr>
          <w:rFonts w:cstheme="minorHAnsi"/>
          <w:bCs/>
          <w:color w:val="0000FF"/>
        </w:rPr>
        <w:t xml:space="preserve"> for the missing data.</w:t>
      </w:r>
    </w:p>
    <w:p w14:paraId="111A350A" w14:textId="77777777" w:rsidR="00A86A63" w:rsidRDefault="00A86A63" w:rsidP="008F7E67">
      <w:pPr>
        <w:pStyle w:val="ListParagraph"/>
        <w:autoSpaceDE w:val="0"/>
        <w:autoSpaceDN w:val="0"/>
        <w:adjustRightInd w:val="0"/>
        <w:spacing w:after="0" w:line="240" w:lineRule="auto"/>
        <w:ind w:left="0"/>
        <w:rPr>
          <w:rFonts w:cstheme="minorHAnsi"/>
          <w:bCs/>
          <w:color w:val="0000FF"/>
        </w:rPr>
      </w:pPr>
    </w:p>
    <w:p w14:paraId="357171B6" w14:textId="60CD3A7B" w:rsidR="00D96F49" w:rsidRDefault="00D96F49" w:rsidP="008F7E67">
      <w:pPr>
        <w:pStyle w:val="ListParagraph"/>
        <w:autoSpaceDE w:val="0"/>
        <w:autoSpaceDN w:val="0"/>
        <w:adjustRightInd w:val="0"/>
        <w:spacing w:after="0" w:line="240" w:lineRule="auto"/>
        <w:ind w:left="0"/>
        <w:rPr>
          <w:rFonts w:cstheme="minorHAnsi"/>
          <w:bCs/>
          <w:color w:val="0000FF"/>
        </w:rPr>
      </w:pPr>
      <w:r>
        <w:rPr>
          <w:rFonts w:cstheme="minorHAnsi"/>
          <w:bCs/>
          <w:color w:val="0000FF"/>
        </w:rPr>
        <w:t>Missing data are only amongst the numerator data elements, the method of renal replacement.</w:t>
      </w:r>
    </w:p>
    <w:p w14:paraId="5C242BFB" w14:textId="77777777" w:rsidR="005A47DE" w:rsidRPr="005A47DE" w:rsidRDefault="005A47DE" w:rsidP="008F7E67">
      <w:pPr>
        <w:pStyle w:val="ListParagraph"/>
        <w:autoSpaceDE w:val="0"/>
        <w:autoSpaceDN w:val="0"/>
        <w:adjustRightInd w:val="0"/>
        <w:spacing w:after="0" w:line="240" w:lineRule="auto"/>
        <w:ind w:left="0"/>
        <w:rPr>
          <w:rFonts w:cstheme="minorHAnsi"/>
          <w:bCs/>
          <w:color w:val="0000FF"/>
        </w:rPr>
      </w:pPr>
    </w:p>
    <w:p w14:paraId="72B8265B" w14:textId="77777777"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 xml:space="preserve">effect of </w:t>
      </w:r>
      <w:r w:rsidR="00145D4F" w:rsidRPr="00FC5DE1">
        <w:rPr>
          <w:rFonts w:cstheme="minorHAnsi"/>
          <w:bCs/>
          <w:i/>
        </w:rPr>
        <w:lastRenderedPageBreak/>
        <w:t>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1DA459A9" w14:textId="3C496E9B" w:rsidR="00A86A63" w:rsidRDefault="00A86A63" w:rsidP="00A86A63">
      <w:pPr>
        <w:pStyle w:val="ListParagraph"/>
        <w:autoSpaceDE w:val="0"/>
        <w:autoSpaceDN w:val="0"/>
        <w:adjustRightInd w:val="0"/>
        <w:spacing w:after="0" w:line="240" w:lineRule="auto"/>
        <w:ind w:left="0"/>
        <w:rPr>
          <w:rFonts w:cstheme="minorHAnsi"/>
          <w:bCs/>
          <w:color w:val="0000FF"/>
        </w:rPr>
      </w:pPr>
      <w:r w:rsidRPr="005A47DE">
        <w:rPr>
          <w:rFonts w:cstheme="minorHAnsi"/>
          <w:bCs/>
          <w:color w:val="0000FF"/>
        </w:rPr>
        <w:t>There</w:t>
      </w:r>
      <w:r>
        <w:rPr>
          <w:rFonts w:cstheme="minorHAnsi"/>
          <w:bCs/>
          <w:color w:val="0000FF"/>
        </w:rPr>
        <w:t xml:space="preserve"> are two cases with missing source data. Both cases are the result of the dialysis center not being under contract during the validation period with one case from each of the two largest regions. One missing case is from a national dialysis chain center and the other from an independent</w:t>
      </w:r>
      <w:r w:rsidR="0074261A">
        <w:rPr>
          <w:rFonts w:cstheme="minorHAnsi"/>
          <w:bCs/>
          <w:color w:val="0000FF"/>
        </w:rPr>
        <w:t xml:space="preserve"> dialysis center</w:t>
      </w:r>
      <w:r>
        <w:rPr>
          <w:rFonts w:cstheme="minorHAnsi"/>
          <w:bCs/>
          <w:color w:val="0000FF"/>
        </w:rPr>
        <w:t xml:space="preserve">. No dialysis center has more than one record in the study sample. Sample selection uses a random selection of cases across the entire CY2012 population of ESRD patients newly diagnosed in the period. The proportion of missing cases (2/73) is less than 3%. </w:t>
      </w:r>
    </w:p>
    <w:p w14:paraId="451071C0" w14:textId="77777777" w:rsidR="00A86A63" w:rsidRDefault="00A86A63" w:rsidP="00A86A63">
      <w:pPr>
        <w:pStyle w:val="ListParagraph"/>
        <w:autoSpaceDE w:val="0"/>
        <w:autoSpaceDN w:val="0"/>
        <w:adjustRightInd w:val="0"/>
        <w:spacing w:after="0" w:line="240" w:lineRule="auto"/>
        <w:ind w:left="0"/>
        <w:rPr>
          <w:rFonts w:cstheme="minorHAnsi"/>
          <w:bCs/>
          <w:color w:val="0000FF"/>
        </w:rPr>
      </w:pPr>
    </w:p>
    <w:p w14:paraId="22E8A5EC" w14:textId="53979913" w:rsidR="00D96F49" w:rsidRDefault="00793125" w:rsidP="00A86A63">
      <w:pPr>
        <w:pStyle w:val="ListParagraph"/>
        <w:autoSpaceDE w:val="0"/>
        <w:autoSpaceDN w:val="0"/>
        <w:adjustRightInd w:val="0"/>
        <w:spacing w:after="0" w:line="240" w:lineRule="auto"/>
        <w:ind w:left="0"/>
        <w:rPr>
          <w:rFonts w:cstheme="minorHAnsi"/>
          <w:bCs/>
          <w:color w:val="0000FF"/>
        </w:rPr>
      </w:pPr>
      <w:r>
        <w:rPr>
          <w:rFonts w:cstheme="minorHAnsi"/>
          <w:bCs/>
          <w:color w:val="0000FF"/>
        </w:rPr>
        <w:t>S</w:t>
      </w:r>
      <w:r w:rsidR="00A86A63">
        <w:rPr>
          <w:rFonts w:cstheme="minorHAnsi"/>
          <w:bCs/>
          <w:color w:val="0000FF"/>
        </w:rPr>
        <w:t xml:space="preserve">ensitivity analysis </w:t>
      </w:r>
      <w:r>
        <w:rPr>
          <w:rFonts w:cstheme="minorHAnsi"/>
          <w:bCs/>
          <w:color w:val="0000FF"/>
        </w:rPr>
        <w:t xml:space="preserve">results for the data elements </w:t>
      </w:r>
      <w:r w:rsidR="00A86A63">
        <w:rPr>
          <w:rFonts w:cstheme="minorHAnsi"/>
          <w:bCs/>
          <w:color w:val="0000FF"/>
        </w:rPr>
        <w:t>are displayed in Table 2</w:t>
      </w:r>
      <w:r>
        <w:rPr>
          <w:rFonts w:cstheme="minorHAnsi"/>
          <w:bCs/>
          <w:color w:val="0000FF"/>
        </w:rPr>
        <w:t xml:space="preserve">. </w:t>
      </w:r>
      <w:r w:rsidR="00D96F49">
        <w:rPr>
          <w:rFonts w:cstheme="minorHAnsi"/>
          <w:bCs/>
          <w:color w:val="0000FF"/>
        </w:rPr>
        <w:t xml:space="preserve">For the total element match, the observed match proportion can range from a low of .81 when the region data elements </w:t>
      </w:r>
      <w:r w:rsidR="00522CAA">
        <w:rPr>
          <w:rFonts w:cstheme="minorHAnsi"/>
          <w:bCs/>
          <w:color w:val="0000FF"/>
        </w:rPr>
        <w:t>d</w:t>
      </w:r>
      <w:r w:rsidR="00D96F49">
        <w:rPr>
          <w:rFonts w:cstheme="minorHAnsi"/>
          <w:bCs/>
          <w:color w:val="0000FF"/>
        </w:rPr>
        <w:t>o not match the source</w:t>
      </w:r>
      <w:r w:rsidR="00B41FF5">
        <w:rPr>
          <w:rFonts w:cstheme="minorHAnsi"/>
          <w:bCs/>
          <w:color w:val="0000FF"/>
        </w:rPr>
        <w:t xml:space="preserve"> for the missing cases</w:t>
      </w:r>
      <w:r w:rsidR="000A4A77">
        <w:rPr>
          <w:rFonts w:cstheme="minorHAnsi"/>
          <w:bCs/>
          <w:color w:val="0000FF"/>
        </w:rPr>
        <w:t xml:space="preserve"> (Scenario = </w:t>
      </w:r>
      <w:proofErr w:type="gramStart"/>
      <w:r w:rsidR="000A4A77">
        <w:rPr>
          <w:rFonts w:cstheme="minorHAnsi"/>
          <w:bCs/>
          <w:color w:val="0000FF"/>
        </w:rPr>
        <w:t>As</w:t>
      </w:r>
      <w:proofErr w:type="gramEnd"/>
      <w:r w:rsidR="000A4A77">
        <w:rPr>
          <w:rFonts w:cstheme="minorHAnsi"/>
          <w:bCs/>
          <w:color w:val="0000FF"/>
        </w:rPr>
        <w:t xml:space="preserve"> error) to a high of .84 when the region data elements match the source (Scenario = As match). When the region does not match the source, the match proportion is significantly different from .9 at the 95% level (CI, .70-.89). For the numerator match, the match proportion has a low of .84 and a high of .87. For the denominator, the match proportion is .93 when the region does not match the source and .96 when it does. The numerator and denominator extremes are not statistically different from the a priori </w:t>
      </w:r>
      <w:r>
        <w:rPr>
          <w:rFonts w:cstheme="minorHAnsi"/>
          <w:bCs/>
          <w:color w:val="0000FF"/>
        </w:rPr>
        <w:t>match proportion, .09.</w:t>
      </w:r>
    </w:p>
    <w:p w14:paraId="52321A09" w14:textId="77777777" w:rsidR="00793125" w:rsidRDefault="00793125" w:rsidP="00A86A63">
      <w:pPr>
        <w:pStyle w:val="ListParagraph"/>
        <w:autoSpaceDE w:val="0"/>
        <w:autoSpaceDN w:val="0"/>
        <w:adjustRightInd w:val="0"/>
        <w:spacing w:after="0" w:line="240" w:lineRule="auto"/>
        <w:ind w:left="0"/>
        <w:rPr>
          <w:rFonts w:cstheme="minorHAnsi"/>
          <w:bCs/>
          <w:color w:val="0000FF"/>
        </w:rPr>
      </w:pPr>
    </w:p>
    <w:p w14:paraId="671DBA29" w14:textId="67D23FA5" w:rsidR="00793125" w:rsidRDefault="00793125" w:rsidP="00A86A63">
      <w:pPr>
        <w:pStyle w:val="ListParagraph"/>
        <w:autoSpaceDE w:val="0"/>
        <w:autoSpaceDN w:val="0"/>
        <w:adjustRightInd w:val="0"/>
        <w:spacing w:after="0" w:line="240" w:lineRule="auto"/>
        <w:ind w:left="0"/>
        <w:rPr>
          <w:rFonts w:cstheme="minorHAnsi"/>
          <w:bCs/>
          <w:color w:val="0000FF"/>
        </w:rPr>
      </w:pPr>
      <w:r>
        <w:rPr>
          <w:rFonts w:cstheme="minorHAnsi"/>
          <w:bCs/>
          <w:color w:val="0000FF"/>
        </w:rPr>
        <w:t xml:space="preserve">Performance metric results are in Table 4. The optimal ESRD start metric is .84 </w:t>
      </w:r>
      <w:r w:rsidR="00EC56D5">
        <w:rPr>
          <w:rFonts w:cstheme="minorHAnsi"/>
          <w:bCs/>
          <w:color w:val="0000FF"/>
        </w:rPr>
        <w:t xml:space="preserve">(95% CI .73-.92) </w:t>
      </w:r>
      <w:r>
        <w:rPr>
          <w:rFonts w:cstheme="minorHAnsi"/>
          <w:bCs/>
          <w:color w:val="0000FF"/>
        </w:rPr>
        <w:t>under the ‘As error’</w:t>
      </w:r>
      <w:r w:rsidR="00EC56D5">
        <w:rPr>
          <w:rFonts w:cstheme="minorHAnsi"/>
          <w:bCs/>
          <w:color w:val="0000FF"/>
        </w:rPr>
        <w:t xml:space="preserve">, both sensitivity and specificity drop to .78 and .87 respectively, the positive likelihood ratio is now 6 with a negative LR increasing to .3. For the ‘As match’ scenario, </w:t>
      </w:r>
      <w:r w:rsidR="00522CAA">
        <w:rPr>
          <w:rFonts w:cstheme="minorHAnsi"/>
          <w:bCs/>
          <w:color w:val="0000FF"/>
        </w:rPr>
        <w:t>the performance metric is</w:t>
      </w:r>
      <w:r w:rsidR="00EC56D5">
        <w:rPr>
          <w:rFonts w:cstheme="minorHAnsi"/>
          <w:bCs/>
          <w:color w:val="0000FF"/>
        </w:rPr>
        <w:t xml:space="preserve"> .87 (95% CI .77-.94), sensitivity is .83 (95% CI .68-.93), specificity is .93 (.77-.99), positive LR increases slightly to 12.5 and negative LR remains at .2.</w:t>
      </w:r>
    </w:p>
    <w:p w14:paraId="7A7BB080" w14:textId="77777777" w:rsidR="00A827C4" w:rsidRPr="00E1508F" w:rsidRDefault="00A827C4" w:rsidP="008F7E67">
      <w:pPr>
        <w:autoSpaceDE w:val="0"/>
        <w:autoSpaceDN w:val="0"/>
        <w:adjustRightInd w:val="0"/>
        <w:spacing w:after="0" w:line="240" w:lineRule="auto"/>
        <w:rPr>
          <w:rFonts w:cstheme="minorHAnsi"/>
          <w:bCs/>
        </w:rPr>
      </w:pPr>
    </w:p>
    <w:p w14:paraId="762F1722"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07975E47" w14:textId="77777777" w:rsidR="00BA053B" w:rsidRDefault="00BA053B">
      <w:pPr>
        <w:autoSpaceDE w:val="0"/>
        <w:autoSpaceDN w:val="0"/>
        <w:adjustRightInd w:val="0"/>
        <w:spacing w:after="0" w:line="240" w:lineRule="auto"/>
        <w:rPr>
          <w:rFonts w:cstheme="minorHAnsi"/>
          <w:bCs/>
        </w:rPr>
      </w:pPr>
    </w:p>
    <w:p w14:paraId="5508850F" w14:textId="77777777" w:rsidR="001C13CE" w:rsidRPr="001C13CE" w:rsidRDefault="00EC56D5" w:rsidP="00864EFD">
      <w:pPr>
        <w:autoSpaceDE w:val="0"/>
        <w:autoSpaceDN w:val="0"/>
        <w:adjustRightInd w:val="0"/>
        <w:spacing w:after="0" w:line="240" w:lineRule="auto"/>
        <w:rPr>
          <w:rFonts w:cstheme="minorHAnsi"/>
          <w:b/>
          <w:bCs/>
          <w:color w:val="FF0000"/>
        </w:rPr>
      </w:pPr>
      <w:r>
        <w:rPr>
          <w:rFonts w:cstheme="minorHAnsi"/>
          <w:bCs/>
          <w:color w:val="0000FF"/>
        </w:rPr>
        <w:t>Given the relatively small number of cases with missing data, less than 3% (2/73), we expect a small effect to be seen in the sensitiv</w:t>
      </w:r>
      <w:r w:rsidR="00EE41E7">
        <w:rPr>
          <w:rFonts w:cstheme="minorHAnsi"/>
          <w:bCs/>
          <w:color w:val="0000FF"/>
        </w:rPr>
        <w:t>ity analysis and because the match proportion is greater than .5 that any differences are greater when missing data are treated as errors than when treated as matches. This is seen the Table 2 and 4 results. The largest change is seen in the positive LR where the observed ratio is 12 compared to 6 in the ‘As error’ scenario. For all of the other test metrics, the differences are much smaller. Using the simple comparison of confidence intervals, all of the ‘As error’ and ‘</w:t>
      </w:r>
      <w:proofErr w:type="gramStart"/>
      <w:r w:rsidR="00EE41E7">
        <w:rPr>
          <w:rFonts w:cstheme="minorHAnsi"/>
          <w:bCs/>
          <w:color w:val="0000FF"/>
        </w:rPr>
        <w:t>As</w:t>
      </w:r>
      <w:proofErr w:type="gramEnd"/>
      <w:r w:rsidR="00EE41E7">
        <w:rPr>
          <w:rFonts w:cstheme="minorHAnsi"/>
          <w:bCs/>
          <w:color w:val="0000FF"/>
        </w:rPr>
        <w:t xml:space="preserve"> match’ confidence intervals overlap within the respective columns indicating that there is no statistical difference between the ‘As error’ and ‘As match’ value. Th</w:t>
      </w:r>
      <w:r w:rsidR="00306EB6">
        <w:rPr>
          <w:rFonts w:cstheme="minorHAnsi"/>
          <w:bCs/>
          <w:color w:val="0000FF"/>
        </w:rPr>
        <w:t>e</w:t>
      </w:r>
      <w:r w:rsidR="00EE41E7">
        <w:rPr>
          <w:rFonts w:cstheme="minorHAnsi"/>
          <w:bCs/>
          <w:color w:val="0000FF"/>
        </w:rPr>
        <w:t xml:space="preserve"> missing data has no statistically significant effect upon the observed results.</w:t>
      </w:r>
    </w:p>
    <w:sectPr w:rsidR="001C13CE" w:rsidRPr="001C13CE"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450F5A" w14:textId="77777777" w:rsidR="00FE491D" w:rsidRDefault="00FE491D" w:rsidP="005C73CA">
      <w:pPr>
        <w:spacing w:after="0" w:line="240" w:lineRule="auto"/>
      </w:pPr>
      <w:r>
        <w:separator/>
      </w:r>
    </w:p>
  </w:endnote>
  <w:endnote w:type="continuationSeparator" w:id="0">
    <w:p w14:paraId="39531D09" w14:textId="77777777" w:rsidR="00FE491D" w:rsidRDefault="00FE491D"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2E605" w14:textId="77777777" w:rsidR="00930DBB" w:rsidRDefault="00930DBB">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816D48">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7470E" w14:textId="77777777" w:rsidR="00FE491D" w:rsidRDefault="00FE491D" w:rsidP="005C73CA">
      <w:pPr>
        <w:spacing w:after="0" w:line="240" w:lineRule="auto"/>
      </w:pPr>
      <w:r>
        <w:separator/>
      </w:r>
    </w:p>
  </w:footnote>
  <w:footnote w:type="continuationSeparator" w:id="0">
    <w:p w14:paraId="54E956B6" w14:textId="77777777" w:rsidR="00FE491D" w:rsidRDefault="00FE491D"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B27B6" w14:textId="77777777" w:rsidR="00930DBB" w:rsidRPr="00105D8B" w:rsidRDefault="00930DBB"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2350191"/>
    <w:multiLevelType w:val="hybridMultilevel"/>
    <w:tmpl w:val="7F20507C"/>
    <w:lvl w:ilvl="0" w:tplc="33EE9F58">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150601"/>
    <w:multiLevelType w:val="hybridMultilevel"/>
    <w:tmpl w:val="7C2AF2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5"/>
  </w:num>
  <w:num w:numId="11">
    <w:abstractNumId w:val="10"/>
  </w:num>
  <w:num w:numId="12">
    <w:abstractNumId w:val="23"/>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4"/>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6"/>
  </w:num>
  <w:num w:numId="27">
    <w:abstractNumId w:val="22"/>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8A403A"/>
    <w:rsid w:val="00001D73"/>
    <w:rsid w:val="00003469"/>
    <w:rsid w:val="000042D0"/>
    <w:rsid w:val="0001094F"/>
    <w:rsid w:val="00021170"/>
    <w:rsid w:val="0002128B"/>
    <w:rsid w:val="00024DFD"/>
    <w:rsid w:val="00027AB8"/>
    <w:rsid w:val="000309DD"/>
    <w:rsid w:val="00031414"/>
    <w:rsid w:val="00033038"/>
    <w:rsid w:val="00033D63"/>
    <w:rsid w:val="0003436F"/>
    <w:rsid w:val="000414E8"/>
    <w:rsid w:val="0004185C"/>
    <w:rsid w:val="0004593A"/>
    <w:rsid w:val="00050A3E"/>
    <w:rsid w:val="00051FA2"/>
    <w:rsid w:val="00052A6F"/>
    <w:rsid w:val="00053F02"/>
    <w:rsid w:val="0005612B"/>
    <w:rsid w:val="000574AB"/>
    <w:rsid w:val="0006147A"/>
    <w:rsid w:val="00064854"/>
    <w:rsid w:val="000677BA"/>
    <w:rsid w:val="000731E3"/>
    <w:rsid w:val="000775F8"/>
    <w:rsid w:val="00080CF7"/>
    <w:rsid w:val="000851B2"/>
    <w:rsid w:val="00087A3B"/>
    <w:rsid w:val="00087ACC"/>
    <w:rsid w:val="0009017F"/>
    <w:rsid w:val="00092566"/>
    <w:rsid w:val="00092CC7"/>
    <w:rsid w:val="000968F8"/>
    <w:rsid w:val="00097012"/>
    <w:rsid w:val="000A20F8"/>
    <w:rsid w:val="000A4A77"/>
    <w:rsid w:val="000B032A"/>
    <w:rsid w:val="000B2DF7"/>
    <w:rsid w:val="000B3816"/>
    <w:rsid w:val="000B3880"/>
    <w:rsid w:val="000B3CAD"/>
    <w:rsid w:val="000C6138"/>
    <w:rsid w:val="000D44BD"/>
    <w:rsid w:val="000D7490"/>
    <w:rsid w:val="000D7948"/>
    <w:rsid w:val="000D7C84"/>
    <w:rsid w:val="000E49F6"/>
    <w:rsid w:val="000E4E13"/>
    <w:rsid w:val="000E78F6"/>
    <w:rsid w:val="000F034A"/>
    <w:rsid w:val="000F06B5"/>
    <w:rsid w:val="000F39E9"/>
    <w:rsid w:val="000F5734"/>
    <w:rsid w:val="00104B45"/>
    <w:rsid w:val="00105D8B"/>
    <w:rsid w:val="0011293D"/>
    <w:rsid w:val="0011342F"/>
    <w:rsid w:val="001202E9"/>
    <w:rsid w:val="0012454F"/>
    <w:rsid w:val="00125273"/>
    <w:rsid w:val="0012575E"/>
    <w:rsid w:val="00126D2F"/>
    <w:rsid w:val="001278C9"/>
    <w:rsid w:val="00127C06"/>
    <w:rsid w:val="00143044"/>
    <w:rsid w:val="00144669"/>
    <w:rsid w:val="00145149"/>
    <w:rsid w:val="00145D4F"/>
    <w:rsid w:val="00146E2A"/>
    <w:rsid w:val="0014773C"/>
    <w:rsid w:val="00151428"/>
    <w:rsid w:val="00164D80"/>
    <w:rsid w:val="00166783"/>
    <w:rsid w:val="0017696D"/>
    <w:rsid w:val="001848FC"/>
    <w:rsid w:val="00194410"/>
    <w:rsid w:val="001969C5"/>
    <w:rsid w:val="001A6CDD"/>
    <w:rsid w:val="001C0442"/>
    <w:rsid w:val="001C12EE"/>
    <w:rsid w:val="001C13CE"/>
    <w:rsid w:val="001C7B02"/>
    <w:rsid w:val="001E2344"/>
    <w:rsid w:val="001E2D50"/>
    <w:rsid w:val="001E47B6"/>
    <w:rsid w:val="001E4DD4"/>
    <w:rsid w:val="001E58B4"/>
    <w:rsid w:val="001E69DC"/>
    <w:rsid w:val="001F169D"/>
    <w:rsid w:val="001F17AB"/>
    <w:rsid w:val="001F1DA1"/>
    <w:rsid w:val="001F6F93"/>
    <w:rsid w:val="001F7A20"/>
    <w:rsid w:val="0021195A"/>
    <w:rsid w:val="00213383"/>
    <w:rsid w:val="00216F86"/>
    <w:rsid w:val="00220250"/>
    <w:rsid w:val="0022691B"/>
    <w:rsid w:val="00232163"/>
    <w:rsid w:val="00236EDF"/>
    <w:rsid w:val="0023707B"/>
    <w:rsid w:val="002376F8"/>
    <w:rsid w:val="002408E4"/>
    <w:rsid w:val="00241591"/>
    <w:rsid w:val="00250793"/>
    <w:rsid w:val="00250B4F"/>
    <w:rsid w:val="0025762F"/>
    <w:rsid w:val="00270751"/>
    <w:rsid w:val="0028114D"/>
    <w:rsid w:val="00283CA8"/>
    <w:rsid w:val="00285630"/>
    <w:rsid w:val="00287649"/>
    <w:rsid w:val="00287E84"/>
    <w:rsid w:val="0029286C"/>
    <w:rsid w:val="0029300E"/>
    <w:rsid w:val="002A6AE7"/>
    <w:rsid w:val="002B0C3A"/>
    <w:rsid w:val="002B1C5D"/>
    <w:rsid w:val="002B2116"/>
    <w:rsid w:val="002B29F1"/>
    <w:rsid w:val="002B2D9B"/>
    <w:rsid w:val="002B5016"/>
    <w:rsid w:val="002B742C"/>
    <w:rsid w:val="002B7F4D"/>
    <w:rsid w:val="002C285C"/>
    <w:rsid w:val="002C3373"/>
    <w:rsid w:val="002C7BE4"/>
    <w:rsid w:val="002D417D"/>
    <w:rsid w:val="002D5E5D"/>
    <w:rsid w:val="002E78A0"/>
    <w:rsid w:val="002F092E"/>
    <w:rsid w:val="002F2687"/>
    <w:rsid w:val="002F48E1"/>
    <w:rsid w:val="002F4F3B"/>
    <w:rsid w:val="003059EB"/>
    <w:rsid w:val="00306157"/>
    <w:rsid w:val="00306EB6"/>
    <w:rsid w:val="003116AC"/>
    <w:rsid w:val="00314B40"/>
    <w:rsid w:val="00315567"/>
    <w:rsid w:val="003218FB"/>
    <w:rsid w:val="00323EB0"/>
    <w:rsid w:val="00324137"/>
    <w:rsid w:val="00330144"/>
    <w:rsid w:val="0033691E"/>
    <w:rsid w:val="00344CD6"/>
    <w:rsid w:val="00346245"/>
    <w:rsid w:val="00356267"/>
    <w:rsid w:val="00356BAD"/>
    <w:rsid w:val="003605B4"/>
    <w:rsid w:val="003627AC"/>
    <w:rsid w:val="00366914"/>
    <w:rsid w:val="00372EF7"/>
    <w:rsid w:val="00372FE3"/>
    <w:rsid w:val="003736EE"/>
    <w:rsid w:val="003750A0"/>
    <w:rsid w:val="003754A3"/>
    <w:rsid w:val="003755CB"/>
    <w:rsid w:val="00375EF3"/>
    <w:rsid w:val="00383F85"/>
    <w:rsid w:val="00385F44"/>
    <w:rsid w:val="00387821"/>
    <w:rsid w:val="003A306C"/>
    <w:rsid w:val="003A650D"/>
    <w:rsid w:val="003A7DE7"/>
    <w:rsid w:val="003B1006"/>
    <w:rsid w:val="003B4F03"/>
    <w:rsid w:val="003C5922"/>
    <w:rsid w:val="003C5F11"/>
    <w:rsid w:val="003D30E3"/>
    <w:rsid w:val="003D6401"/>
    <w:rsid w:val="003E1863"/>
    <w:rsid w:val="003E6619"/>
    <w:rsid w:val="003F0540"/>
    <w:rsid w:val="003F4C99"/>
    <w:rsid w:val="0040607A"/>
    <w:rsid w:val="0041606D"/>
    <w:rsid w:val="00416962"/>
    <w:rsid w:val="004205C0"/>
    <w:rsid w:val="00430CF8"/>
    <w:rsid w:val="004348CC"/>
    <w:rsid w:val="0043490A"/>
    <w:rsid w:val="0046010B"/>
    <w:rsid w:val="004658FF"/>
    <w:rsid w:val="00474BC3"/>
    <w:rsid w:val="00474ED7"/>
    <w:rsid w:val="004756E1"/>
    <w:rsid w:val="0048008A"/>
    <w:rsid w:val="004804B5"/>
    <w:rsid w:val="00483E94"/>
    <w:rsid w:val="00484120"/>
    <w:rsid w:val="004853A0"/>
    <w:rsid w:val="00491F3D"/>
    <w:rsid w:val="00493ADF"/>
    <w:rsid w:val="00496B5F"/>
    <w:rsid w:val="004A2E10"/>
    <w:rsid w:val="004B17FF"/>
    <w:rsid w:val="004B1BA0"/>
    <w:rsid w:val="004B6CEE"/>
    <w:rsid w:val="004C2443"/>
    <w:rsid w:val="004C4489"/>
    <w:rsid w:val="004C498F"/>
    <w:rsid w:val="004C5D29"/>
    <w:rsid w:val="004C681A"/>
    <w:rsid w:val="004C73B6"/>
    <w:rsid w:val="004D11CA"/>
    <w:rsid w:val="004D1C2E"/>
    <w:rsid w:val="004D4D8A"/>
    <w:rsid w:val="004E47DD"/>
    <w:rsid w:val="004F68EE"/>
    <w:rsid w:val="004F7D9B"/>
    <w:rsid w:val="00503771"/>
    <w:rsid w:val="005038D5"/>
    <w:rsid w:val="005040E9"/>
    <w:rsid w:val="0050587C"/>
    <w:rsid w:val="00511098"/>
    <w:rsid w:val="00511BA4"/>
    <w:rsid w:val="005149E7"/>
    <w:rsid w:val="00522CAA"/>
    <w:rsid w:val="005232D6"/>
    <w:rsid w:val="005333CC"/>
    <w:rsid w:val="005363F1"/>
    <w:rsid w:val="00544826"/>
    <w:rsid w:val="0055007C"/>
    <w:rsid w:val="00553A4D"/>
    <w:rsid w:val="00554922"/>
    <w:rsid w:val="00555282"/>
    <w:rsid w:val="005560E7"/>
    <w:rsid w:val="00556CF2"/>
    <w:rsid w:val="005612CC"/>
    <w:rsid w:val="00563029"/>
    <w:rsid w:val="00567D12"/>
    <w:rsid w:val="00576062"/>
    <w:rsid w:val="0059559F"/>
    <w:rsid w:val="005A47DE"/>
    <w:rsid w:val="005A49FF"/>
    <w:rsid w:val="005A7634"/>
    <w:rsid w:val="005C0447"/>
    <w:rsid w:val="005C739F"/>
    <w:rsid w:val="005C73CA"/>
    <w:rsid w:val="005D4768"/>
    <w:rsid w:val="005E0C6D"/>
    <w:rsid w:val="005E2454"/>
    <w:rsid w:val="005E2CAB"/>
    <w:rsid w:val="005E429E"/>
    <w:rsid w:val="005F2ABC"/>
    <w:rsid w:val="00601ED4"/>
    <w:rsid w:val="006030BC"/>
    <w:rsid w:val="00612866"/>
    <w:rsid w:val="00616EB5"/>
    <w:rsid w:val="006269D4"/>
    <w:rsid w:val="00632343"/>
    <w:rsid w:val="006327D8"/>
    <w:rsid w:val="0064070A"/>
    <w:rsid w:val="006424E8"/>
    <w:rsid w:val="00643A01"/>
    <w:rsid w:val="00645353"/>
    <w:rsid w:val="0065092A"/>
    <w:rsid w:val="00652D9B"/>
    <w:rsid w:val="00655BAA"/>
    <w:rsid w:val="006574D2"/>
    <w:rsid w:val="006676D4"/>
    <w:rsid w:val="00667A48"/>
    <w:rsid w:val="00670ABF"/>
    <w:rsid w:val="00675535"/>
    <w:rsid w:val="00681359"/>
    <w:rsid w:val="00684288"/>
    <w:rsid w:val="00686437"/>
    <w:rsid w:val="00690E37"/>
    <w:rsid w:val="00696262"/>
    <w:rsid w:val="00696BA6"/>
    <w:rsid w:val="006B16F8"/>
    <w:rsid w:val="006B4338"/>
    <w:rsid w:val="006B70E9"/>
    <w:rsid w:val="006C3A4F"/>
    <w:rsid w:val="006C4845"/>
    <w:rsid w:val="006D0FA2"/>
    <w:rsid w:val="006D3C10"/>
    <w:rsid w:val="006D6BC1"/>
    <w:rsid w:val="006E21DD"/>
    <w:rsid w:val="006E2BFC"/>
    <w:rsid w:val="006E5C57"/>
    <w:rsid w:val="006F22A5"/>
    <w:rsid w:val="006F2480"/>
    <w:rsid w:val="00702C73"/>
    <w:rsid w:val="007132AE"/>
    <w:rsid w:val="00713394"/>
    <w:rsid w:val="00721ED0"/>
    <w:rsid w:val="00724677"/>
    <w:rsid w:val="00725AC2"/>
    <w:rsid w:val="00732880"/>
    <w:rsid w:val="00732F44"/>
    <w:rsid w:val="007416B9"/>
    <w:rsid w:val="007422FD"/>
    <w:rsid w:val="0074261A"/>
    <w:rsid w:val="00743E46"/>
    <w:rsid w:val="00747C45"/>
    <w:rsid w:val="00756FDB"/>
    <w:rsid w:val="007629B6"/>
    <w:rsid w:val="0076519E"/>
    <w:rsid w:val="007665BF"/>
    <w:rsid w:val="00771B2A"/>
    <w:rsid w:val="007757CE"/>
    <w:rsid w:val="00775800"/>
    <w:rsid w:val="0079180E"/>
    <w:rsid w:val="00793125"/>
    <w:rsid w:val="007950CC"/>
    <w:rsid w:val="0079538B"/>
    <w:rsid w:val="007961B8"/>
    <w:rsid w:val="00797624"/>
    <w:rsid w:val="007A31B4"/>
    <w:rsid w:val="007A4828"/>
    <w:rsid w:val="007B093D"/>
    <w:rsid w:val="007B2069"/>
    <w:rsid w:val="007C04A1"/>
    <w:rsid w:val="007C21FA"/>
    <w:rsid w:val="007D3F26"/>
    <w:rsid w:val="007D4351"/>
    <w:rsid w:val="007D474F"/>
    <w:rsid w:val="007D7019"/>
    <w:rsid w:val="007E0DBF"/>
    <w:rsid w:val="007E18DB"/>
    <w:rsid w:val="007E6F1C"/>
    <w:rsid w:val="007F2779"/>
    <w:rsid w:val="008022E2"/>
    <w:rsid w:val="00804C69"/>
    <w:rsid w:val="0080711D"/>
    <w:rsid w:val="008155CD"/>
    <w:rsid w:val="00816D48"/>
    <w:rsid w:val="00823623"/>
    <w:rsid w:val="00833325"/>
    <w:rsid w:val="00840A41"/>
    <w:rsid w:val="00842F3C"/>
    <w:rsid w:val="008505D1"/>
    <w:rsid w:val="00855158"/>
    <w:rsid w:val="00857EE8"/>
    <w:rsid w:val="0086464B"/>
    <w:rsid w:val="008647FC"/>
    <w:rsid w:val="00864CA8"/>
    <w:rsid w:val="00864EFD"/>
    <w:rsid w:val="00865E2D"/>
    <w:rsid w:val="00870E6C"/>
    <w:rsid w:val="00884486"/>
    <w:rsid w:val="008851F3"/>
    <w:rsid w:val="00885818"/>
    <w:rsid w:val="008871A9"/>
    <w:rsid w:val="008916BA"/>
    <w:rsid w:val="00892176"/>
    <w:rsid w:val="008A1DB7"/>
    <w:rsid w:val="008A403A"/>
    <w:rsid w:val="008A4C13"/>
    <w:rsid w:val="008B604D"/>
    <w:rsid w:val="008B67FA"/>
    <w:rsid w:val="008B6B75"/>
    <w:rsid w:val="008B7FB4"/>
    <w:rsid w:val="008C1C34"/>
    <w:rsid w:val="008C453C"/>
    <w:rsid w:val="008C54A9"/>
    <w:rsid w:val="008D0BD9"/>
    <w:rsid w:val="008D6D7C"/>
    <w:rsid w:val="008E2FB1"/>
    <w:rsid w:val="008E4B41"/>
    <w:rsid w:val="008E67C3"/>
    <w:rsid w:val="008F34BD"/>
    <w:rsid w:val="008F589F"/>
    <w:rsid w:val="008F76A9"/>
    <w:rsid w:val="008F7E67"/>
    <w:rsid w:val="0090033B"/>
    <w:rsid w:val="00900DBF"/>
    <w:rsid w:val="009048B9"/>
    <w:rsid w:val="00904E91"/>
    <w:rsid w:val="00915886"/>
    <w:rsid w:val="009214DC"/>
    <w:rsid w:val="00927027"/>
    <w:rsid w:val="00930DBB"/>
    <w:rsid w:val="009344BA"/>
    <w:rsid w:val="00940CF9"/>
    <w:rsid w:val="00941B14"/>
    <w:rsid w:val="00947F78"/>
    <w:rsid w:val="00953234"/>
    <w:rsid w:val="009537C6"/>
    <w:rsid w:val="00961EAF"/>
    <w:rsid w:val="0096278F"/>
    <w:rsid w:val="00962CBA"/>
    <w:rsid w:val="009638BD"/>
    <w:rsid w:val="0096487E"/>
    <w:rsid w:val="00966ABF"/>
    <w:rsid w:val="00967D15"/>
    <w:rsid w:val="00971C89"/>
    <w:rsid w:val="009726E1"/>
    <w:rsid w:val="009742C8"/>
    <w:rsid w:val="00977591"/>
    <w:rsid w:val="00980E75"/>
    <w:rsid w:val="00994BE0"/>
    <w:rsid w:val="009A25B1"/>
    <w:rsid w:val="009A4608"/>
    <w:rsid w:val="009A6A57"/>
    <w:rsid w:val="009A70BF"/>
    <w:rsid w:val="009B1A15"/>
    <w:rsid w:val="009B36CF"/>
    <w:rsid w:val="009B6F19"/>
    <w:rsid w:val="009C0852"/>
    <w:rsid w:val="009C13CA"/>
    <w:rsid w:val="009C32C6"/>
    <w:rsid w:val="009C665F"/>
    <w:rsid w:val="009C6917"/>
    <w:rsid w:val="009C6F90"/>
    <w:rsid w:val="009D189E"/>
    <w:rsid w:val="009D4A01"/>
    <w:rsid w:val="009D7E38"/>
    <w:rsid w:val="009E095B"/>
    <w:rsid w:val="009E1846"/>
    <w:rsid w:val="009E78FF"/>
    <w:rsid w:val="009F534E"/>
    <w:rsid w:val="009F7031"/>
    <w:rsid w:val="00A01494"/>
    <w:rsid w:val="00A156A2"/>
    <w:rsid w:val="00A21978"/>
    <w:rsid w:val="00A22FA9"/>
    <w:rsid w:val="00A25024"/>
    <w:rsid w:val="00A35F8F"/>
    <w:rsid w:val="00A41377"/>
    <w:rsid w:val="00A42095"/>
    <w:rsid w:val="00A4263D"/>
    <w:rsid w:val="00A42D64"/>
    <w:rsid w:val="00A46DAB"/>
    <w:rsid w:val="00A509B8"/>
    <w:rsid w:val="00A52AB9"/>
    <w:rsid w:val="00A60422"/>
    <w:rsid w:val="00A6210B"/>
    <w:rsid w:val="00A7323A"/>
    <w:rsid w:val="00A75253"/>
    <w:rsid w:val="00A7686A"/>
    <w:rsid w:val="00A80B2A"/>
    <w:rsid w:val="00A827C4"/>
    <w:rsid w:val="00A831B4"/>
    <w:rsid w:val="00A8476E"/>
    <w:rsid w:val="00A85AF0"/>
    <w:rsid w:val="00A85DBD"/>
    <w:rsid w:val="00A86A63"/>
    <w:rsid w:val="00A8735B"/>
    <w:rsid w:val="00A93CC2"/>
    <w:rsid w:val="00A97798"/>
    <w:rsid w:val="00AA5213"/>
    <w:rsid w:val="00AA562C"/>
    <w:rsid w:val="00AA5F4A"/>
    <w:rsid w:val="00AA65A6"/>
    <w:rsid w:val="00AB4943"/>
    <w:rsid w:val="00AC1D8E"/>
    <w:rsid w:val="00AC48FA"/>
    <w:rsid w:val="00AC574A"/>
    <w:rsid w:val="00AC71DE"/>
    <w:rsid w:val="00AD0240"/>
    <w:rsid w:val="00AD4137"/>
    <w:rsid w:val="00AD41DA"/>
    <w:rsid w:val="00AE0355"/>
    <w:rsid w:val="00AE4B10"/>
    <w:rsid w:val="00B02D81"/>
    <w:rsid w:val="00B037BA"/>
    <w:rsid w:val="00B03C4D"/>
    <w:rsid w:val="00B20139"/>
    <w:rsid w:val="00B218DA"/>
    <w:rsid w:val="00B342FA"/>
    <w:rsid w:val="00B41CAA"/>
    <w:rsid w:val="00B41FF5"/>
    <w:rsid w:val="00B44100"/>
    <w:rsid w:val="00B53E8B"/>
    <w:rsid w:val="00B774D2"/>
    <w:rsid w:val="00B8015A"/>
    <w:rsid w:val="00B82A57"/>
    <w:rsid w:val="00BA053B"/>
    <w:rsid w:val="00BA0714"/>
    <w:rsid w:val="00BB35AE"/>
    <w:rsid w:val="00BC03A1"/>
    <w:rsid w:val="00BC043B"/>
    <w:rsid w:val="00BC0D25"/>
    <w:rsid w:val="00BD2505"/>
    <w:rsid w:val="00BE00AF"/>
    <w:rsid w:val="00BE2665"/>
    <w:rsid w:val="00BE554F"/>
    <w:rsid w:val="00BE592D"/>
    <w:rsid w:val="00BF52B0"/>
    <w:rsid w:val="00BF5697"/>
    <w:rsid w:val="00C14CCC"/>
    <w:rsid w:val="00C15F0E"/>
    <w:rsid w:val="00C1671C"/>
    <w:rsid w:val="00C22C1C"/>
    <w:rsid w:val="00C26C5A"/>
    <w:rsid w:val="00C33F2E"/>
    <w:rsid w:val="00C340E3"/>
    <w:rsid w:val="00C34936"/>
    <w:rsid w:val="00C34C14"/>
    <w:rsid w:val="00C355B9"/>
    <w:rsid w:val="00C37EDC"/>
    <w:rsid w:val="00C401C4"/>
    <w:rsid w:val="00C41680"/>
    <w:rsid w:val="00C50E84"/>
    <w:rsid w:val="00C55317"/>
    <w:rsid w:val="00C57C28"/>
    <w:rsid w:val="00C60A25"/>
    <w:rsid w:val="00C765C5"/>
    <w:rsid w:val="00C82479"/>
    <w:rsid w:val="00C867F0"/>
    <w:rsid w:val="00C94237"/>
    <w:rsid w:val="00C95DBB"/>
    <w:rsid w:val="00CA06D8"/>
    <w:rsid w:val="00CA2610"/>
    <w:rsid w:val="00CA345A"/>
    <w:rsid w:val="00CB462C"/>
    <w:rsid w:val="00CB49FF"/>
    <w:rsid w:val="00CB6C5E"/>
    <w:rsid w:val="00CC02CF"/>
    <w:rsid w:val="00CC086A"/>
    <w:rsid w:val="00CD0F66"/>
    <w:rsid w:val="00CD364B"/>
    <w:rsid w:val="00CD479B"/>
    <w:rsid w:val="00CE23B8"/>
    <w:rsid w:val="00CE4D21"/>
    <w:rsid w:val="00CE50D7"/>
    <w:rsid w:val="00D00344"/>
    <w:rsid w:val="00D10E5D"/>
    <w:rsid w:val="00D14743"/>
    <w:rsid w:val="00D1754D"/>
    <w:rsid w:val="00D2223F"/>
    <w:rsid w:val="00D274A4"/>
    <w:rsid w:val="00D277AF"/>
    <w:rsid w:val="00D31163"/>
    <w:rsid w:val="00D320B1"/>
    <w:rsid w:val="00D33AFD"/>
    <w:rsid w:val="00D35361"/>
    <w:rsid w:val="00D361A7"/>
    <w:rsid w:val="00D36489"/>
    <w:rsid w:val="00D42195"/>
    <w:rsid w:val="00D4748D"/>
    <w:rsid w:val="00D50704"/>
    <w:rsid w:val="00D54ED7"/>
    <w:rsid w:val="00D55306"/>
    <w:rsid w:val="00D5760A"/>
    <w:rsid w:val="00D61410"/>
    <w:rsid w:val="00D71D93"/>
    <w:rsid w:val="00D72262"/>
    <w:rsid w:val="00D73D28"/>
    <w:rsid w:val="00D8181D"/>
    <w:rsid w:val="00D92D74"/>
    <w:rsid w:val="00D95799"/>
    <w:rsid w:val="00D968D8"/>
    <w:rsid w:val="00D96F49"/>
    <w:rsid w:val="00DA4934"/>
    <w:rsid w:val="00DA563D"/>
    <w:rsid w:val="00DA7277"/>
    <w:rsid w:val="00DB31FB"/>
    <w:rsid w:val="00DB3627"/>
    <w:rsid w:val="00DB4724"/>
    <w:rsid w:val="00DB7134"/>
    <w:rsid w:val="00DC3F8E"/>
    <w:rsid w:val="00DC4746"/>
    <w:rsid w:val="00DD3276"/>
    <w:rsid w:val="00DE0C2E"/>
    <w:rsid w:val="00DE57AC"/>
    <w:rsid w:val="00DE5CE7"/>
    <w:rsid w:val="00DE7149"/>
    <w:rsid w:val="00DF0094"/>
    <w:rsid w:val="00DF3288"/>
    <w:rsid w:val="00E01156"/>
    <w:rsid w:val="00E012A0"/>
    <w:rsid w:val="00E0314C"/>
    <w:rsid w:val="00E06848"/>
    <w:rsid w:val="00E1508F"/>
    <w:rsid w:val="00E260E1"/>
    <w:rsid w:val="00E27240"/>
    <w:rsid w:val="00E27EDD"/>
    <w:rsid w:val="00E30584"/>
    <w:rsid w:val="00E310B9"/>
    <w:rsid w:val="00E37E1B"/>
    <w:rsid w:val="00E44843"/>
    <w:rsid w:val="00E4552C"/>
    <w:rsid w:val="00E562C0"/>
    <w:rsid w:val="00E621A6"/>
    <w:rsid w:val="00E672D6"/>
    <w:rsid w:val="00E76024"/>
    <w:rsid w:val="00E8454B"/>
    <w:rsid w:val="00E856A2"/>
    <w:rsid w:val="00E87BE9"/>
    <w:rsid w:val="00E952C0"/>
    <w:rsid w:val="00E96884"/>
    <w:rsid w:val="00EA0658"/>
    <w:rsid w:val="00EA452E"/>
    <w:rsid w:val="00EA5435"/>
    <w:rsid w:val="00EA5F47"/>
    <w:rsid w:val="00EC19DF"/>
    <w:rsid w:val="00EC56D5"/>
    <w:rsid w:val="00EC79DE"/>
    <w:rsid w:val="00ED4ACE"/>
    <w:rsid w:val="00ED5177"/>
    <w:rsid w:val="00ED6C8E"/>
    <w:rsid w:val="00EE41E7"/>
    <w:rsid w:val="00EE4D35"/>
    <w:rsid w:val="00EF2DA7"/>
    <w:rsid w:val="00F01512"/>
    <w:rsid w:val="00F019D5"/>
    <w:rsid w:val="00F30B32"/>
    <w:rsid w:val="00F332F4"/>
    <w:rsid w:val="00F435AA"/>
    <w:rsid w:val="00F5041D"/>
    <w:rsid w:val="00F51E93"/>
    <w:rsid w:val="00F55F33"/>
    <w:rsid w:val="00F5738A"/>
    <w:rsid w:val="00F612D4"/>
    <w:rsid w:val="00F649D2"/>
    <w:rsid w:val="00F64BAB"/>
    <w:rsid w:val="00F65E12"/>
    <w:rsid w:val="00F66739"/>
    <w:rsid w:val="00F678D6"/>
    <w:rsid w:val="00F67A5A"/>
    <w:rsid w:val="00F72B42"/>
    <w:rsid w:val="00F77D7A"/>
    <w:rsid w:val="00F77F1D"/>
    <w:rsid w:val="00F80736"/>
    <w:rsid w:val="00F87CCB"/>
    <w:rsid w:val="00F91506"/>
    <w:rsid w:val="00F94AA6"/>
    <w:rsid w:val="00FA48C7"/>
    <w:rsid w:val="00FB5563"/>
    <w:rsid w:val="00FB73C1"/>
    <w:rsid w:val="00FC4A84"/>
    <w:rsid w:val="00FC705A"/>
    <w:rsid w:val="00FE491D"/>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5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styleId="Strong">
    <w:name w:val="Strong"/>
    <w:basedOn w:val="DefaultParagraphFont"/>
    <w:uiPriority w:val="22"/>
    <w:qFormat/>
    <w:rsid w:val="00C57C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styleId="Strong">
    <w:name w:val="Strong"/>
    <w:basedOn w:val="DefaultParagraphFont"/>
    <w:uiPriority w:val="22"/>
    <w:qFormat/>
    <w:rsid w:val="00C57C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2174">
      <w:bodyDiv w:val="1"/>
      <w:marLeft w:val="0"/>
      <w:marRight w:val="0"/>
      <w:marTop w:val="0"/>
      <w:marBottom w:val="0"/>
      <w:divBdr>
        <w:top w:val="none" w:sz="0" w:space="0" w:color="auto"/>
        <w:left w:val="none" w:sz="0" w:space="0" w:color="auto"/>
        <w:bottom w:val="none" w:sz="0" w:space="0" w:color="auto"/>
        <w:right w:val="none" w:sz="0" w:space="0" w:color="auto"/>
      </w:divBdr>
    </w:div>
    <w:div w:id="50856074">
      <w:bodyDiv w:val="1"/>
      <w:marLeft w:val="0"/>
      <w:marRight w:val="0"/>
      <w:marTop w:val="0"/>
      <w:marBottom w:val="0"/>
      <w:divBdr>
        <w:top w:val="none" w:sz="0" w:space="0" w:color="auto"/>
        <w:left w:val="none" w:sz="0" w:space="0" w:color="auto"/>
        <w:bottom w:val="none" w:sz="0" w:space="0" w:color="auto"/>
        <w:right w:val="none" w:sz="0" w:space="0" w:color="auto"/>
      </w:divBdr>
    </w:div>
    <w:div w:id="277446051">
      <w:bodyDiv w:val="1"/>
      <w:marLeft w:val="0"/>
      <w:marRight w:val="0"/>
      <w:marTop w:val="0"/>
      <w:marBottom w:val="0"/>
      <w:divBdr>
        <w:top w:val="none" w:sz="0" w:space="0" w:color="auto"/>
        <w:left w:val="none" w:sz="0" w:space="0" w:color="auto"/>
        <w:bottom w:val="none" w:sz="0" w:space="0" w:color="auto"/>
        <w:right w:val="none" w:sz="0" w:space="0" w:color="auto"/>
      </w:divBdr>
    </w:div>
    <w:div w:id="285820864">
      <w:bodyDiv w:val="1"/>
      <w:marLeft w:val="0"/>
      <w:marRight w:val="0"/>
      <w:marTop w:val="0"/>
      <w:marBottom w:val="0"/>
      <w:divBdr>
        <w:top w:val="none" w:sz="0" w:space="0" w:color="auto"/>
        <w:left w:val="none" w:sz="0" w:space="0" w:color="auto"/>
        <w:bottom w:val="none" w:sz="0" w:space="0" w:color="auto"/>
        <w:right w:val="none" w:sz="0" w:space="0" w:color="auto"/>
      </w:divBdr>
    </w:div>
    <w:div w:id="314845708">
      <w:bodyDiv w:val="1"/>
      <w:marLeft w:val="0"/>
      <w:marRight w:val="0"/>
      <w:marTop w:val="0"/>
      <w:marBottom w:val="0"/>
      <w:divBdr>
        <w:top w:val="none" w:sz="0" w:space="0" w:color="auto"/>
        <w:left w:val="none" w:sz="0" w:space="0" w:color="auto"/>
        <w:bottom w:val="none" w:sz="0" w:space="0" w:color="auto"/>
        <w:right w:val="none" w:sz="0" w:space="0" w:color="auto"/>
      </w:divBdr>
    </w:div>
    <w:div w:id="382599697">
      <w:bodyDiv w:val="1"/>
      <w:marLeft w:val="0"/>
      <w:marRight w:val="0"/>
      <w:marTop w:val="0"/>
      <w:marBottom w:val="0"/>
      <w:divBdr>
        <w:top w:val="none" w:sz="0" w:space="0" w:color="auto"/>
        <w:left w:val="none" w:sz="0" w:space="0" w:color="auto"/>
        <w:bottom w:val="none" w:sz="0" w:space="0" w:color="auto"/>
        <w:right w:val="none" w:sz="0" w:space="0" w:color="auto"/>
      </w:divBdr>
    </w:div>
    <w:div w:id="384917131">
      <w:bodyDiv w:val="1"/>
      <w:marLeft w:val="0"/>
      <w:marRight w:val="0"/>
      <w:marTop w:val="0"/>
      <w:marBottom w:val="0"/>
      <w:divBdr>
        <w:top w:val="none" w:sz="0" w:space="0" w:color="auto"/>
        <w:left w:val="none" w:sz="0" w:space="0" w:color="auto"/>
        <w:bottom w:val="none" w:sz="0" w:space="0" w:color="auto"/>
        <w:right w:val="none" w:sz="0" w:space="0" w:color="auto"/>
      </w:divBdr>
    </w:div>
    <w:div w:id="467237778">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34346477">
      <w:bodyDiv w:val="1"/>
      <w:marLeft w:val="0"/>
      <w:marRight w:val="0"/>
      <w:marTop w:val="0"/>
      <w:marBottom w:val="0"/>
      <w:divBdr>
        <w:top w:val="none" w:sz="0" w:space="0" w:color="auto"/>
        <w:left w:val="none" w:sz="0" w:space="0" w:color="auto"/>
        <w:bottom w:val="none" w:sz="0" w:space="0" w:color="auto"/>
        <w:right w:val="none" w:sz="0" w:space="0" w:color="auto"/>
      </w:divBdr>
    </w:div>
    <w:div w:id="589002323">
      <w:bodyDiv w:val="1"/>
      <w:marLeft w:val="0"/>
      <w:marRight w:val="0"/>
      <w:marTop w:val="0"/>
      <w:marBottom w:val="0"/>
      <w:divBdr>
        <w:top w:val="none" w:sz="0" w:space="0" w:color="auto"/>
        <w:left w:val="none" w:sz="0" w:space="0" w:color="auto"/>
        <w:bottom w:val="none" w:sz="0" w:space="0" w:color="auto"/>
        <w:right w:val="none" w:sz="0" w:space="0" w:color="auto"/>
      </w:divBdr>
    </w:div>
    <w:div w:id="665134173">
      <w:bodyDiv w:val="1"/>
      <w:marLeft w:val="0"/>
      <w:marRight w:val="0"/>
      <w:marTop w:val="0"/>
      <w:marBottom w:val="0"/>
      <w:divBdr>
        <w:top w:val="none" w:sz="0" w:space="0" w:color="auto"/>
        <w:left w:val="none" w:sz="0" w:space="0" w:color="auto"/>
        <w:bottom w:val="none" w:sz="0" w:space="0" w:color="auto"/>
        <w:right w:val="none" w:sz="0" w:space="0" w:color="auto"/>
      </w:divBdr>
    </w:div>
    <w:div w:id="944002672">
      <w:bodyDiv w:val="1"/>
      <w:marLeft w:val="0"/>
      <w:marRight w:val="0"/>
      <w:marTop w:val="0"/>
      <w:marBottom w:val="0"/>
      <w:divBdr>
        <w:top w:val="none" w:sz="0" w:space="0" w:color="auto"/>
        <w:left w:val="none" w:sz="0" w:space="0" w:color="auto"/>
        <w:bottom w:val="none" w:sz="0" w:space="0" w:color="auto"/>
        <w:right w:val="none" w:sz="0" w:space="0" w:color="auto"/>
      </w:divBdr>
    </w:div>
    <w:div w:id="1019048051">
      <w:bodyDiv w:val="1"/>
      <w:marLeft w:val="0"/>
      <w:marRight w:val="0"/>
      <w:marTop w:val="0"/>
      <w:marBottom w:val="0"/>
      <w:divBdr>
        <w:top w:val="none" w:sz="0" w:space="0" w:color="auto"/>
        <w:left w:val="none" w:sz="0" w:space="0" w:color="auto"/>
        <w:bottom w:val="none" w:sz="0" w:space="0" w:color="auto"/>
        <w:right w:val="none" w:sz="0" w:space="0" w:color="auto"/>
      </w:divBdr>
    </w:div>
    <w:div w:id="1111121678">
      <w:bodyDiv w:val="1"/>
      <w:marLeft w:val="0"/>
      <w:marRight w:val="0"/>
      <w:marTop w:val="0"/>
      <w:marBottom w:val="0"/>
      <w:divBdr>
        <w:top w:val="none" w:sz="0" w:space="0" w:color="auto"/>
        <w:left w:val="none" w:sz="0" w:space="0" w:color="auto"/>
        <w:bottom w:val="none" w:sz="0" w:space="0" w:color="auto"/>
        <w:right w:val="none" w:sz="0" w:space="0" w:color="auto"/>
      </w:divBdr>
    </w:div>
    <w:div w:id="1133790913">
      <w:bodyDiv w:val="1"/>
      <w:marLeft w:val="0"/>
      <w:marRight w:val="0"/>
      <w:marTop w:val="0"/>
      <w:marBottom w:val="0"/>
      <w:divBdr>
        <w:top w:val="none" w:sz="0" w:space="0" w:color="auto"/>
        <w:left w:val="none" w:sz="0" w:space="0" w:color="auto"/>
        <w:bottom w:val="none" w:sz="0" w:space="0" w:color="auto"/>
        <w:right w:val="none" w:sz="0" w:space="0" w:color="auto"/>
      </w:divBdr>
    </w:div>
    <w:div w:id="1249774396">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58011668">
      <w:bodyDiv w:val="1"/>
      <w:marLeft w:val="0"/>
      <w:marRight w:val="0"/>
      <w:marTop w:val="0"/>
      <w:marBottom w:val="0"/>
      <w:divBdr>
        <w:top w:val="none" w:sz="0" w:space="0" w:color="auto"/>
        <w:left w:val="none" w:sz="0" w:space="0" w:color="auto"/>
        <w:bottom w:val="none" w:sz="0" w:space="0" w:color="auto"/>
        <w:right w:val="none" w:sz="0" w:space="0" w:color="auto"/>
      </w:divBdr>
    </w:div>
    <w:div w:id="1672676508">
      <w:bodyDiv w:val="1"/>
      <w:marLeft w:val="0"/>
      <w:marRight w:val="0"/>
      <w:marTop w:val="0"/>
      <w:marBottom w:val="0"/>
      <w:divBdr>
        <w:top w:val="none" w:sz="0" w:space="0" w:color="auto"/>
        <w:left w:val="none" w:sz="0" w:space="0" w:color="auto"/>
        <w:bottom w:val="none" w:sz="0" w:space="0" w:color="auto"/>
        <w:right w:val="none" w:sz="0" w:space="0" w:color="auto"/>
      </w:divBdr>
    </w:div>
    <w:div w:id="1741832755">
      <w:bodyDiv w:val="1"/>
      <w:marLeft w:val="0"/>
      <w:marRight w:val="0"/>
      <w:marTop w:val="0"/>
      <w:marBottom w:val="0"/>
      <w:divBdr>
        <w:top w:val="none" w:sz="0" w:space="0" w:color="auto"/>
        <w:left w:val="none" w:sz="0" w:space="0" w:color="auto"/>
        <w:bottom w:val="none" w:sz="0" w:space="0" w:color="auto"/>
        <w:right w:val="none" w:sz="0" w:space="0" w:color="auto"/>
      </w:divBdr>
    </w:div>
    <w:div w:id="1777603573">
      <w:bodyDiv w:val="1"/>
      <w:marLeft w:val="0"/>
      <w:marRight w:val="0"/>
      <w:marTop w:val="0"/>
      <w:marBottom w:val="0"/>
      <w:divBdr>
        <w:top w:val="none" w:sz="0" w:space="0" w:color="auto"/>
        <w:left w:val="none" w:sz="0" w:space="0" w:color="auto"/>
        <w:bottom w:val="none" w:sz="0" w:space="0" w:color="auto"/>
        <w:right w:val="none" w:sz="0" w:space="0" w:color="auto"/>
      </w:divBdr>
    </w:div>
    <w:div w:id="1847329038">
      <w:bodyDiv w:val="1"/>
      <w:marLeft w:val="0"/>
      <w:marRight w:val="0"/>
      <w:marTop w:val="0"/>
      <w:marBottom w:val="0"/>
      <w:divBdr>
        <w:top w:val="none" w:sz="0" w:space="0" w:color="auto"/>
        <w:left w:val="none" w:sz="0" w:space="0" w:color="auto"/>
        <w:bottom w:val="none" w:sz="0" w:space="0" w:color="auto"/>
        <w:right w:val="none" w:sz="0" w:space="0" w:color="auto"/>
      </w:divBdr>
    </w:div>
    <w:div w:id="1995066653">
      <w:bodyDiv w:val="1"/>
      <w:marLeft w:val="0"/>
      <w:marRight w:val="0"/>
      <w:marTop w:val="0"/>
      <w:marBottom w:val="0"/>
      <w:divBdr>
        <w:top w:val="none" w:sz="0" w:space="0" w:color="auto"/>
        <w:left w:val="none" w:sz="0" w:space="0" w:color="auto"/>
        <w:bottom w:val="none" w:sz="0" w:space="0" w:color="auto"/>
        <w:right w:val="none" w:sz="0" w:space="0" w:color="auto"/>
      </w:divBdr>
    </w:div>
    <w:div w:id="202088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0B5CF7"/>
    <w:rsid w:val="00127222"/>
    <w:rsid w:val="00190AF4"/>
    <w:rsid w:val="00223FA3"/>
    <w:rsid w:val="002A288F"/>
    <w:rsid w:val="002A3F96"/>
    <w:rsid w:val="002F052A"/>
    <w:rsid w:val="00350176"/>
    <w:rsid w:val="00370EE3"/>
    <w:rsid w:val="003840F0"/>
    <w:rsid w:val="00437537"/>
    <w:rsid w:val="004C3003"/>
    <w:rsid w:val="0053654E"/>
    <w:rsid w:val="00570DE6"/>
    <w:rsid w:val="00632A7E"/>
    <w:rsid w:val="00632AB6"/>
    <w:rsid w:val="006B69CA"/>
    <w:rsid w:val="00730B33"/>
    <w:rsid w:val="00772B2A"/>
    <w:rsid w:val="007C3892"/>
    <w:rsid w:val="007C672A"/>
    <w:rsid w:val="007D4368"/>
    <w:rsid w:val="0080484B"/>
    <w:rsid w:val="00822666"/>
    <w:rsid w:val="00823ECC"/>
    <w:rsid w:val="00866C97"/>
    <w:rsid w:val="009017AE"/>
    <w:rsid w:val="009C542D"/>
    <w:rsid w:val="00A95183"/>
    <w:rsid w:val="00AB1BBD"/>
    <w:rsid w:val="00AB4AF7"/>
    <w:rsid w:val="00AD7C4F"/>
    <w:rsid w:val="00B445F5"/>
    <w:rsid w:val="00BB1C3B"/>
    <w:rsid w:val="00BD40CB"/>
    <w:rsid w:val="00C12453"/>
    <w:rsid w:val="00C362A2"/>
    <w:rsid w:val="00C56736"/>
    <w:rsid w:val="00C72366"/>
    <w:rsid w:val="00C90121"/>
    <w:rsid w:val="00CA344F"/>
    <w:rsid w:val="00D1676E"/>
    <w:rsid w:val="00D51F02"/>
    <w:rsid w:val="00DB1D8D"/>
    <w:rsid w:val="00DC0246"/>
    <w:rsid w:val="00E01E47"/>
    <w:rsid w:val="00E6518A"/>
    <w:rsid w:val="00EB124A"/>
    <w:rsid w:val="00ED56D7"/>
    <w:rsid w:val="00F540AB"/>
    <w:rsid w:val="00F915BA"/>
    <w:rsid w:val="00FB37A6"/>
    <w:rsid w:val="00FC575C"/>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D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13</Pages>
  <Words>6194</Words>
  <Characters>35308</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Crooks,Peter W</cp:lastModifiedBy>
  <cp:revision>4</cp:revision>
  <cp:lastPrinted>2015-01-22T20:44:00Z</cp:lastPrinted>
  <dcterms:created xsi:type="dcterms:W3CDTF">2015-02-24T22:21:00Z</dcterms:created>
  <dcterms:modified xsi:type="dcterms:W3CDTF">2015-02-24T23:08:00Z</dcterms:modified>
</cp:coreProperties>
</file>