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044710" w:rsidRPr="00044710">
            <w:rPr>
              <w:rStyle w:val="Style1"/>
              <w:rFonts w:cstheme="minorHAnsi"/>
            </w:rPr>
            <w:t>Anemia of chronic kidney disease: Dialysis facility standardized transfusion ratio</w:t>
          </w:r>
          <w:r w:rsidR="008A7F87">
            <w:rPr>
              <w:rStyle w:val="Style1"/>
              <w:rFonts w:cstheme="minorHAnsi"/>
            </w:rPr>
            <w:t xml:space="preserve"> (</w:t>
          </w:r>
          <w:proofErr w:type="spellStart"/>
          <w:r w:rsidR="008A7F87">
            <w:rPr>
              <w:rStyle w:val="Style1"/>
              <w:rFonts w:cstheme="minorHAnsi"/>
            </w:rPr>
            <w:t>STrR</w:t>
          </w:r>
          <w:proofErr w:type="spellEnd"/>
          <w:r w:rsidR="008A7F87">
            <w:rPr>
              <w:rStyle w:val="Style1"/>
              <w:rFonts w:cstheme="minorHAnsi"/>
            </w:rPr>
            <w:t>)</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5-02-27T00:00:00Z">
            <w:dateFormat w:val="M/d/yyyy"/>
            <w:lid w:val="en-US"/>
            <w:storeMappedDataAs w:val="dateTime"/>
            <w:calendar w:val="gregorian"/>
          </w:date>
        </w:sdtPr>
        <w:sdtEndPr>
          <w:rPr>
            <w:rStyle w:val="DefaultParagraphFont"/>
            <w:noProof/>
            <w:color w:val="auto"/>
            <w:u w:val="none"/>
          </w:rPr>
        </w:sdtEndPr>
        <w:sdtContent>
          <w:r w:rsidR="00D30485">
            <w:rPr>
              <w:rStyle w:val="Style2"/>
              <w:rFonts w:cstheme="minorHAnsi"/>
            </w:rPr>
            <w:t>2/27/2015</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383473"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383473"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044710">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383473"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383473"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383473"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383473"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383473"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383473"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383473"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044710">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383473"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D30485">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383473"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D30485">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383473"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D30485">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383473"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383473"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383473"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383473"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383473"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383473"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044710" w:rsidRPr="00A01494" w:rsidRDefault="00044710" w:rsidP="00DB3627">
      <w:pPr>
        <w:autoSpaceDE w:val="0"/>
        <w:autoSpaceDN w:val="0"/>
        <w:adjustRightInd w:val="0"/>
        <w:spacing w:after="0" w:line="240" w:lineRule="auto"/>
        <w:rPr>
          <w:rFonts w:cstheme="minorHAnsi"/>
          <w:b/>
          <w:bCs/>
        </w:rPr>
      </w:pPr>
    </w:p>
    <w:p w:rsidR="00C355B9" w:rsidRPr="00044710" w:rsidRDefault="00044710" w:rsidP="00DB3627">
      <w:pPr>
        <w:autoSpaceDE w:val="0"/>
        <w:autoSpaceDN w:val="0"/>
        <w:adjustRightInd w:val="0"/>
        <w:spacing w:after="0" w:line="240" w:lineRule="auto"/>
        <w:rPr>
          <w:rFonts w:cstheme="minorHAnsi"/>
          <w:bCs/>
          <w:sz w:val="24"/>
        </w:rPr>
      </w:pPr>
      <w:r w:rsidRPr="00044710">
        <w:t xml:space="preserve">Data for the measure are derived from an extensive national ESRD patient database, which is derived </w:t>
      </w:r>
      <w:r w:rsidR="00D30485" w:rsidRPr="00D30485">
        <w:t xml:space="preserve">These data are part of an extensive and comprehensive national ESRD patient database, derived from the Consolidated Renal Operations in a Web-enabled Network (CROWN) data system,  Medicare claims, and the Social Security Death Master File.  The CROWN data system is made up of the Renal Management Information System (REMIS) and </w:t>
      </w:r>
      <w:proofErr w:type="spellStart"/>
      <w:r w:rsidR="00D30485" w:rsidRPr="00D30485">
        <w:t>CROWNWeb</w:t>
      </w:r>
      <w:proofErr w:type="spellEnd"/>
      <w:r w:rsidR="00D30485" w:rsidRPr="00D30485">
        <w:t xml:space="preserve"> and is updated regularly using the Medicare Enrollment Database (EDB), ESRD Medical Evidence Report forms (CMS 2728), ESRD Death Notification forms (CMS 2746), and the Organ Procurement and Transplantation Network (OPTN) transplant database. </w:t>
      </w:r>
      <w:r w:rsidRPr="00044710">
        <w:t>The database is comprehensive for Medicare patients. Information on transfusions is obtained from Medicare Inpatient and Outpatient Claims Standard Analysis Files (SAFs).</w:t>
      </w: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D30485">
        <w:rPr>
          <w:rFonts w:cstheme="minorHAnsi"/>
        </w:rPr>
        <w:t>?</w:t>
      </w:r>
      <w:r w:rsidR="00080CF7" w:rsidRPr="00D30485">
        <w:rPr>
          <w:rFonts w:cstheme="minorHAnsi"/>
        </w:rPr>
        <w:t xml:space="preserve"> </w:t>
      </w:r>
      <w:r w:rsidR="000574AB" w:rsidRPr="00D30485">
        <w:rPr>
          <w:rFonts w:cstheme="minorHAnsi"/>
        </w:rPr>
        <w:t xml:space="preserve"> </w:t>
      </w:r>
      <w:sdt>
        <w:sdtPr>
          <w:rPr>
            <w:rStyle w:val="Style1"/>
            <w:color w:val="auto"/>
          </w:rPr>
          <w:id w:val="950514773"/>
          <w:text/>
        </w:sdtPr>
        <w:sdtEndPr>
          <w:rPr>
            <w:rStyle w:val="Style1"/>
          </w:rPr>
        </w:sdtEndPr>
        <w:sdtContent>
          <w:r w:rsidR="00044710" w:rsidRPr="00D30485">
            <w:rPr>
              <w:rStyle w:val="Style1"/>
              <w:color w:val="auto"/>
            </w:rPr>
            <w:t>January 1, 2009 – December 31, 2012</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383473"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383473"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383473"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383473"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383473"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04471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383473"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04471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383473"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383473"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383473"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383473"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04471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 xml:space="preserve">of measured entities </w:t>
      </w:r>
      <w:r w:rsidR="004348CC" w:rsidRPr="00A25024">
        <w:rPr>
          <w:rFonts w:cstheme="minorHAnsi"/>
          <w:bCs/>
          <w:i/>
        </w:rPr>
        <w:lastRenderedPageBreak/>
        <w:t>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rsidR="00044710" w:rsidRDefault="00044710" w:rsidP="00DB3627">
      <w:pPr>
        <w:autoSpaceDE w:val="0"/>
        <w:autoSpaceDN w:val="0"/>
        <w:adjustRightInd w:val="0"/>
        <w:spacing w:after="0" w:line="240" w:lineRule="auto"/>
        <w:rPr>
          <w:rFonts w:cstheme="minorHAnsi"/>
          <w:bCs/>
        </w:rPr>
      </w:pPr>
    </w:p>
    <w:p w:rsidR="00044710" w:rsidRPr="00044710" w:rsidRDefault="00044710" w:rsidP="00044710">
      <w:pPr>
        <w:spacing w:after="120"/>
        <w:rPr>
          <w:szCs w:val="20"/>
        </w:rPr>
      </w:pPr>
      <w:r w:rsidRPr="00044710">
        <w:rPr>
          <w:szCs w:val="20"/>
        </w:rPr>
        <w:t>For each year, we first included all Medicare certified facilities. The following table shows the count of the facilities each year, before and after exclusions were applied; we also report percent excluded for each year.</w:t>
      </w:r>
    </w:p>
    <w:tbl>
      <w:tblPr>
        <w:tblStyle w:val="TableGrid"/>
        <w:tblW w:w="0" w:type="auto"/>
        <w:tblInd w:w="432" w:type="dxa"/>
        <w:tblLayout w:type="fixed"/>
        <w:tblLook w:val="04A0" w:firstRow="1" w:lastRow="0" w:firstColumn="1" w:lastColumn="0" w:noHBand="0" w:noVBand="1"/>
      </w:tblPr>
      <w:tblGrid>
        <w:gridCol w:w="828"/>
        <w:gridCol w:w="1800"/>
        <w:gridCol w:w="1620"/>
        <w:gridCol w:w="2340"/>
      </w:tblGrid>
      <w:tr w:rsidR="00044710" w:rsidRPr="00044710" w:rsidTr="00D30485">
        <w:tc>
          <w:tcPr>
            <w:tcW w:w="828" w:type="dxa"/>
            <w:tcBorders>
              <w:top w:val="nil"/>
              <w:left w:val="nil"/>
              <w:bottom w:val="single" w:sz="4" w:space="0" w:color="auto"/>
              <w:right w:val="single" w:sz="4" w:space="0" w:color="auto"/>
            </w:tcBorders>
          </w:tcPr>
          <w:p w:rsidR="00044710" w:rsidRPr="00044710" w:rsidRDefault="00044710" w:rsidP="00D30485">
            <w:pPr>
              <w:spacing w:after="120"/>
              <w:rPr>
                <w:szCs w:val="20"/>
              </w:rPr>
            </w:pPr>
          </w:p>
        </w:tc>
        <w:tc>
          <w:tcPr>
            <w:tcW w:w="3420" w:type="dxa"/>
            <w:gridSpan w:val="2"/>
            <w:tcBorders>
              <w:left w:val="single" w:sz="4" w:space="0" w:color="auto"/>
            </w:tcBorders>
          </w:tcPr>
          <w:p w:rsidR="00044710" w:rsidRPr="00044710" w:rsidRDefault="00044710" w:rsidP="00D30485">
            <w:pPr>
              <w:spacing w:after="120"/>
              <w:jc w:val="center"/>
              <w:rPr>
                <w:b/>
                <w:szCs w:val="20"/>
              </w:rPr>
            </w:pPr>
            <w:r w:rsidRPr="00044710">
              <w:rPr>
                <w:b/>
                <w:szCs w:val="20"/>
              </w:rPr>
              <w:t>Facility Count</w:t>
            </w:r>
          </w:p>
        </w:tc>
        <w:tc>
          <w:tcPr>
            <w:tcW w:w="2340" w:type="dxa"/>
            <w:tcBorders>
              <w:top w:val="nil"/>
              <w:right w:val="nil"/>
            </w:tcBorders>
          </w:tcPr>
          <w:p w:rsidR="00044710" w:rsidRPr="00044710" w:rsidRDefault="00044710" w:rsidP="00D30485">
            <w:pPr>
              <w:spacing w:after="120"/>
              <w:rPr>
                <w:szCs w:val="20"/>
              </w:rPr>
            </w:pPr>
          </w:p>
        </w:tc>
      </w:tr>
      <w:tr w:rsidR="00044710" w:rsidRPr="00044710" w:rsidTr="00D30485">
        <w:tc>
          <w:tcPr>
            <w:tcW w:w="828" w:type="dxa"/>
            <w:tcBorders>
              <w:top w:val="single" w:sz="4" w:space="0" w:color="auto"/>
            </w:tcBorders>
          </w:tcPr>
          <w:p w:rsidR="00044710" w:rsidRPr="00044710" w:rsidRDefault="00044710" w:rsidP="00D30485">
            <w:pPr>
              <w:spacing w:after="120"/>
              <w:rPr>
                <w:b/>
                <w:szCs w:val="20"/>
              </w:rPr>
            </w:pPr>
            <w:r w:rsidRPr="00044710">
              <w:rPr>
                <w:b/>
                <w:szCs w:val="20"/>
              </w:rPr>
              <w:t>Year</w:t>
            </w:r>
          </w:p>
        </w:tc>
        <w:tc>
          <w:tcPr>
            <w:tcW w:w="1800" w:type="dxa"/>
          </w:tcPr>
          <w:p w:rsidR="00044710" w:rsidRPr="00044710" w:rsidRDefault="00044710" w:rsidP="00D30485">
            <w:pPr>
              <w:spacing w:after="120"/>
              <w:rPr>
                <w:szCs w:val="20"/>
              </w:rPr>
            </w:pPr>
            <w:r w:rsidRPr="00044710">
              <w:rPr>
                <w:b/>
                <w:bCs/>
                <w:szCs w:val="20"/>
              </w:rPr>
              <w:t xml:space="preserve">Before Exclusions </w:t>
            </w:r>
          </w:p>
        </w:tc>
        <w:tc>
          <w:tcPr>
            <w:tcW w:w="1620" w:type="dxa"/>
          </w:tcPr>
          <w:p w:rsidR="00044710" w:rsidRPr="00044710" w:rsidRDefault="00044710" w:rsidP="00D30485">
            <w:pPr>
              <w:spacing w:after="120"/>
              <w:rPr>
                <w:szCs w:val="20"/>
              </w:rPr>
            </w:pPr>
            <w:r w:rsidRPr="00044710">
              <w:rPr>
                <w:b/>
                <w:bCs/>
                <w:szCs w:val="20"/>
              </w:rPr>
              <w:t xml:space="preserve">After Exclusions </w:t>
            </w:r>
          </w:p>
        </w:tc>
        <w:tc>
          <w:tcPr>
            <w:tcW w:w="2340" w:type="dxa"/>
          </w:tcPr>
          <w:p w:rsidR="00044710" w:rsidRPr="00044710" w:rsidRDefault="00044710" w:rsidP="00D30485">
            <w:pPr>
              <w:spacing w:after="120"/>
              <w:rPr>
                <w:szCs w:val="20"/>
              </w:rPr>
            </w:pPr>
            <w:r w:rsidRPr="00044710">
              <w:rPr>
                <w:b/>
                <w:bCs/>
                <w:szCs w:val="20"/>
              </w:rPr>
              <w:t xml:space="preserve">Percent Excluded </w:t>
            </w:r>
          </w:p>
        </w:tc>
      </w:tr>
      <w:tr w:rsidR="00044710" w:rsidRPr="00044710" w:rsidTr="00D30485">
        <w:tc>
          <w:tcPr>
            <w:tcW w:w="828" w:type="dxa"/>
          </w:tcPr>
          <w:p w:rsidR="00044710" w:rsidRPr="00044710" w:rsidRDefault="00044710" w:rsidP="00D30485">
            <w:pPr>
              <w:spacing w:after="120"/>
              <w:rPr>
                <w:szCs w:val="20"/>
              </w:rPr>
            </w:pPr>
            <w:r w:rsidRPr="00044710">
              <w:rPr>
                <w:szCs w:val="20"/>
              </w:rPr>
              <w:t xml:space="preserve">2009 </w:t>
            </w:r>
          </w:p>
        </w:tc>
        <w:tc>
          <w:tcPr>
            <w:tcW w:w="1800" w:type="dxa"/>
            <w:vAlign w:val="bottom"/>
          </w:tcPr>
          <w:p w:rsidR="00044710" w:rsidRPr="00044710" w:rsidRDefault="00044710" w:rsidP="00D30485">
            <w:pPr>
              <w:spacing w:after="120"/>
              <w:rPr>
                <w:szCs w:val="20"/>
              </w:rPr>
            </w:pPr>
            <w:r w:rsidRPr="00044710">
              <w:rPr>
                <w:rFonts w:cs="Calibri"/>
                <w:szCs w:val="20"/>
              </w:rPr>
              <w:t>5631</w:t>
            </w:r>
          </w:p>
        </w:tc>
        <w:tc>
          <w:tcPr>
            <w:tcW w:w="1620" w:type="dxa"/>
            <w:vAlign w:val="center"/>
          </w:tcPr>
          <w:p w:rsidR="00044710" w:rsidRPr="00044710" w:rsidRDefault="00044710" w:rsidP="00D30485">
            <w:pPr>
              <w:spacing w:after="120"/>
              <w:rPr>
                <w:szCs w:val="20"/>
              </w:rPr>
            </w:pPr>
            <w:r w:rsidRPr="00044710">
              <w:rPr>
                <w:rFonts w:cs="Calibri"/>
                <w:szCs w:val="20"/>
              </w:rPr>
              <w:t>5478</w:t>
            </w:r>
          </w:p>
        </w:tc>
        <w:tc>
          <w:tcPr>
            <w:tcW w:w="2340" w:type="dxa"/>
            <w:vAlign w:val="bottom"/>
          </w:tcPr>
          <w:p w:rsidR="00044710" w:rsidRPr="00044710" w:rsidRDefault="00044710" w:rsidP="00D30485">
            <w:pPr>
              <w:spacing w:after="120"/>
              <w:rPr>
                <w:szCs w:val="20"/>
              </w:rPr>
            </w:pPr>
            <w:r w:rsidRPr="00044710">
              <w:rPr>
                <w:rFonts w:cs="Calibri"/>
                <w:szCs w:val="20"/>
              </w:rPr>
              <w:t>2.7%</w:t>
            </w:r>
          </w:p>
        </w:tc>
      </w:tr>
      <w:tr w:rsidR="00044710" w:rsidRPr="00044710" w:rsidTr="00D30485">
        <w:tc>
          <w:tcPr>
            <w:tcW w:w="828" w:type="dxa"/>
          </w:tcPr>
          <w:p w:rsidR="00044710" w:rsidRPr="00044710" w:rsidRDefault="00044710" w:rsidP="00D30485">
            <w:pPr>
              <w:spacing w:after="120"/>
              <w:rPr>
                <w:szCs w:val="20"/>
              </w:rPr>
            </w:pPr>
            <w:r w:rsidRPr="00044710">
              <w:rPr>
                <w:szCs w:val="20"/>
              </w:rPr>
              <w:t xml:space="preserve">2010 </w:t>
            </w:r>
          </w:p>
        </w:tc>
        <w:tc>
          <w:tcPr>
            <w:tcW w:w="1800" w:type="dxa"/>
            <w:vAlign w:val="center"/>
          </w:tcPr>
          <w:p w:rsidR="00044710" w:rsidRPr="00044710" w:rsidRDefault="00044710" w:rsidP="00D30485">
            <w:pPr>
              <w:spacing w:after="120"/>
              <w:rPr>
                <w:szCs w:val="20"/>
              </w:rPr>
            </w:pPr>
            <w:r w:rsidRPr="00044710">
              <w:rPr>
                <w:rFonts w:cs="Calibri"/>
                <w:szCs w:val="20"/>
              </w:rPr>
              <w:t>5743</w:t>
            </w:r>
          </w:p>
        </w:tc>
        <w:tc>
          <w:tcPr>
            <w:tcW w:w="1620" w:type="dxa"/>
            <w:vAlign w:val="center"/>
          </w:tcPr>
          <w:p w:rsidR="00044710" w:rsidRPr="00044710" w:rsidRDefault="00044710" w:rsidP="00D30485">
            <w:pPr>
              <w:spacing w:after="120"/>
              <w:rPr>
                <w:szCs w:val="20"/>
              </w:rPr>
            </w:pPr>
            <w:r w:rsidRPr="00044710">
              <w:rPr>
                <w:rFonts w:cs="Calibri"/>
                <w:szCs w:val="20"/>
              </w:rPr>
              <w:t>5655</w:t>
            </w:r>
          </w:p>
        </w:tc>
        <w:tc>
          <w:tcPr>
            <w:tcW w:w="2340" w:type="dxa"/>
            <w:vAlign w:val="bottom"/>
          </w:tcPr>
          <w:p w:rsidR="00044710" w:rsidRPr="00044710" w:rsidRDefault="00044710" w:rsidP="00D30485">
            <w:pPr>
              <w:spacing w:after="120"/>
              <w:rPr>
                <w:szCs w:val="20"/>
              </w:rPr>
            </w:pPr>
            <w:r w:rsidRPr="00044710">
              <w:rPr>
                <w:rFonts w:cs="Calibri"/>
                <w:szCs w:val="20"/>
              </w:rPr>
              <w:t>1.5%</w:t>
            </w:r>
          </w:p>
        </w:tc>
      </w:tr>
      <w:tr w:rsidR="00044710" w:rsidRPr="00044710" w:rsidTr="00D30485">
        <w:tc>
          <w:tcPr>
            <w:tcW w:w="828" w:type="dxa"/>
          </w:tcPr>
          <w:p w:rsidR="00044710" w:rsidRPr="00044710" w:rsidRDefault="00044710" w:rsidP="00D30485">
            <w:pPr>
              <w:spacing w:after="120"/>
              <w:rPr>
                <w:szCs w:val="20"/>
              </w:rPr>
            </w:pPr>
            <w:r w:rsidRPr="00044710">
              <w:rPr>
                <w:szCs w:val="20"/>
              </w:rPr>
              <w:t xml:space="preserve">2011 </w:t>
            </w:r>
          </w:p>
        </w:tc>
        <w:tc>
          <w:tcPr>
            <w:tcW w:w="1800" w:type="dxa"/>
            <w:vAlign w:val="center"/>
          </w:tcPr>
          <w:p w:rsidR="00044710" w:rsidRPr="00044710" w:rsidRDefault="00044710" w:rsidP="00D30485">
            <w:pPr>
              <w:spacing w:after="120"/>
              <w:rPr>
                <w:szCs w:val="20"/>
              </w:rPr>
            </w:pPr>
            <w:r w:rsidRPr="00044710">
              <w:rPr>
                <w:rFonts w:cs="Calibri"/>
                <w:szCs w:val="20"/>
              </w:rPr>
              <w:t>5845</w:t>
            </w:r>
          </w:p>
        </w:tc>
        <w:tc>
          <w:tcPr>
            <w:tcW w:w="1620" w:type="dxa"/>
            <w:vAlign w:val="center"/>
          </w:tcPr>
          <w:p w:rsidR="00044710" w:rsidRPr="00044710" w:rsidRDefault="00044710" w:rsidP="00D30485">
            <w:pPr>
              <w:spacing w:after="120"/>
              <w:rPr>
                <w:szCs w:val="20"/>
              </w:rPr>
            </w:pPr>
            <w:r w:rsidRPr="00044710">
              <w:rPr>
                <w:rFonts w:cs="Calibri"/>
                <w:szCs w:val="20"/>
              </w:rPr>
              <w:t>5793</w:t>
            </w:r>
          </w:p>
        </w:tc>
        <w:tc>
          <w:tcPr>
            <w:tcW w:w="2340" w:type="dxa"/>
            <w:vAlign w:val="bottom"/>
          </w:tcPr>
          <w:p w:rsidR="00044710" w:rsidRPr="00044710" w:rsidRDefault="00044710" w:rsidP="00D30485">
            <w:pPr>
              <w:spacing w:after="120"/>
              <w:rPr>
                <w:szCs w:val="20"/>
              </w:rPr>
            </w:pPr>
            <w:r w:rsidRPr="00044710">
              <w:rPr>
                <w:rFonts w:cs="Calibri"/>
                <w:szCs w:val="20"/>
              </w:rPr>
              <w:t>0.9%</w:t>
            </w:r>
          </w:p>
        </w:tc>
      </w:tr>
      <w:tr w:rsidR="00044710" w:rsidRPr="00044710" w:rsidTr="00D30485">
        <w:tc>
          <w:tcPr>
            <w:tcW w:w="828" w:type="dxa"/>
          </w:tcPr>
          <w:p w:rsidR="00044710" w:rsidRPr="00044710" w:rsidRDefault="00044710" w:rsidP="00D30485">
            <w:pPr>
              <w:spacing w:after="120"/>
              <w:rPr>
                <w:szCs w:val="20"/>
              </w:rPr>
            </w:pPr>
            <w:r w:rsidRPr="00044710">
              <w:rPr>
                <w:szCs w:val="20"/>
              </w:rPr>
              <w:t xml:space="preserve">2012 </w:t>
            </w:r>
          </w:p>
        </w:tc>
        <w:tc>
          <w:tcPr>
            <w:tcW w:w="1800" w:type="dxa"/>
            <w:vAlign w:val="center"/>
          </w:tcPr>
          <w:p w:rsidR="00044710" w:rsidRPr="00044710" w:rsidRDefault="00044710" w:rsidP="00D30485">
            <w:pPr>
              <w:spacing w:after="120"/>
              <w:rPr>
                <w:szCs w:val="20"/>
              </w:rPr>
            </w:pPr>
            <w:r w:rsidRPr="00044710">
              <w:rPr>
                <w:rFonts w:cs="Calibri"/>
                <w:szCs w:val="20"/>
              </w:rPr>
              <w:t>5936</w:t>
            </w:r>
          </w:p>
        </w:tc>
        <w:tc>
          <w:tcPr>
            <w:tcW w:w="1620" w:type="dxa"/>
            <w:vAlign w:val="center"/>
          </w:tcPr>
          <w:p w:rsidR="00044710" w:rsidRPr="00044710" w:rsidRDefault="00044710" w:rsidP="00D30485">
            <w:pPr>
              <w:spacing w:after="120"/>
              <w:rPr>
                <w:szCs w:val="20"/>
              </w:rPr>
            </w:pPr>
            <w:r w:rsidRPr="00044710">
              <w:rPr>
                <w:rFonts w:cs="Calibri"/>
                <w:szCs w:val="20"/>
              </w:rPr>
              <w:t>5899</w:t>
            </w:r>
          </w:p>
        </w:tc>
        <w:tc>
          <w:tcPr>
            <w:tcW w:w="2340" w:type="dxa"/>
            <w:vAlign w:val="bottom"/>
          </w:tcPr>
          <w:p w:rsidR="00044710" w:rsidRPr="00044710" w:rsidRDefault="00044710" w:rsidP="00D30485">
            <w:pPr>
              <w:spacing w:after="120"/>
              <w:rPr>
                <w:szCs w:val="20"/>
              </w:rPr>
            </w:pPr>
            <w:r w:rsidRPr="00044710">
              <w:rPr>
                <w:rFonts w:cs="Calibri"/>
                <w:szCs w:val="20"/>
              </w:rPr>
              <w:t>0.6%</w:t>
            </w:r>
          </w:p>
        </w:tc>
      </w:tr>
    </w:tbl>
    <w:p w:rsidR="00044710" w:rsidRPr="00044710" w:rsidRDefault="004348CC" w:rsidP="00044710">
      <w:pPr>
        <w:spacing w:after="120"/>
        <w:rPr>
          <w:szCs w:val="20"/>
        </w:rPr>
      </w:pPr>
      <w:r w:rsidRPr="00A25024">
        <w:rPr>
          <w:rFonts w:cstheme="minorHAnsi"/>
          <w:bCs/>
        </w:rPr>
        <w:br/>
      </w:r>
      <w:r w:rsidR="00044710" w:rsidRPr="00044710">
        <w:rPr>
          <w:szCs w:val="20"/>
        </w:rPr>
        <w:t>The following table shows the number of facilities that were included for testing and analysis for the years 2009-2012.</w:t>
      </w:r>
    </w:p>
    <w:tbl>
      <w:tblPr>
        <w:tblStyle w:val="TableGrid"/>
        <w:tblW w:w="0" w:type="auto"/>
        <w:tblInd w:w="432" w:type="dxa"/>
        <w:tblLayout w:type="fixed"/>
        <w:tblLook w:val="04A0" w:firstRow="1" w:lastRow="0" w:firstColumn="1" w:lastColumn="0" w:noHBand="0" w:noVBand="1"/>
      </w:tblPr>
      <w:tblGrid>
        <w:gridCol w:w="1363"/>
        <w:gridCol w:w="1350"/>
        <w:gridCol w:w="2520"/>
      </w:tblGrid>
      <w:tr w:rsidR="00044710" w:rsidRPr="00044710" w:rsidTr="00D30485">
        <w:tc>
          <w:tcPr>
            <w:tcW w:w="1363" w:type="dxa"/>
          </w:tcPr>
          <w:p w:rsidR="00044710" w:rsidRPr="00044710" w:rsidRDefault="00044710" w:rsidP="00D30485">
            <w:pPr>
              <w:spacing w:after="120"/>
              <w:rPr>
                <w:szCs w:val="20"/>
              </w:rPr>
            </w:pPr>
            <w:r w:rsidRPr="00044710">
              <w:rPr>
                <w:b/>
                <w:bCs/>
                <w:szCs w:val="20"/>
              </w:rPr>
              <w:t xml:space="preserve">Year </w:t>
            </w:r>
          </w:p>
        </w:tc>
        <w:tc>
          <w:tcPr>
            <w:tcW w:w="1350" w:type="dxa"/>
          </w:tcPr>
          <w:p w:rsidR="00044710" w:rsidRPr="00044710" w:rsidRDefault="00044710" w:rsidP="00D30485">
            <w:pPr>
              <w:spacing w:after="120"/>
              <w:rPr>
                <w:szCs w:val="20"/>
              </w:rPr>
            </w:pPr>
            <w:r w:rsidRPr="00044710">
              <w:rPr>
                <w:b/>
                <w:bCs/>
                <w:szCs w:val="20"/>
              </w:rPr>
              <w:t xml:space="preserve"># Facilities </w:t>
            </w:r>
          </w:p>
        </w:tc>
        <w:tc>
          <w:tcPr>
            <w:tcW w:w="2520" w:type="dxa"/>
          </w:tcPr>
          <w:p w:rsidR="00044710" w:rsidRPr="00044710" w:rsidRDefault="00044710" w:rsidP="00D30485">
            <w:pPr>
              <w:spacing w:after="120"/>
              <w:rPr>
                <w:szCs w:val="20"/>
              </w:rPr>
            </w:pPr>
            <w:r w:rsidRPr="00044710">
              <w:rPr>
                <w:b/>
                <w:bCs/>
                <w:szCs w:val="20"/>
              </w:rPr>
              <w:t xml:space="preserve">Mean Facility size (patients) </w:t>
            </w:r>
          </w:p>
        </w:tc>
      </w:tr>
      <w:tr w:rsidR="00044710" w:rsidRPr="00044710" w:rsidTr="00D30485">
        <w:tc>
          <w:tcPr>
            <w:tcW w:w="1363" w:type="dxa"/>
          </w:tcPr>
          <w:p w:rsidR="00044710" w:rsidRPr="00044710" w:rsidRDefault="00044710" w:rsidP="00D30485">
            <w:pPr>
              <w:spacing w:after="120"/>
              <w:rPr>
                <w:szCs w:val="20"/>
              </w:rPr>
            </w:pPr>
            <w:r w:rsidRPr="00044710">
              <w:rPr>
                <w:szCs w:val="20"/>
              </w:rPr>
              <w:t xml:space="preserve">2009 </w:t>
            </w:r>
          </w:p>
        </w:tc>
        <w:tc>
          <w:tcPr>
            <w:tcW w:w="1350" w:type="dxa"/>
            <w:vAlign w:val="center"/>
          </w:tcPr>
          <w:p w:rsidR="00044710" w:rsidRPr="00044710" w:rsidRDefault="00044710" w:rsidP="00D30485">
            <w:pPr>
              <w:spacing w:after="120"/>
              <w:rPr>
                <w:szCs w:val="20"/>
              </w:rPr>
            </w:pPr>
            <w:r w:rsidRPr="00044710">
              <w:rPr>
                <w:rFonts w:cs="Calibri"/>
                <w:szCs w:val="20"/>
              </w:rPr>
              <w:t>5478</w:t>
            </w:r>
          </w:p>
        </w:tc>
        <w:tc>
          <w:tcPr>
            <w:tcW w:w="2520" w:type="dxa"/>
          </w:tcPr>
          <w:p w:rsidR="00044710" w:rsidRPr="00044710" w:rsidRDefault="00044710" w:rsidP="00D30485">
            <w:pPr>
              <w:spacing w:after="120"/>
              <w:rPr>
                <w:szCs w:val="20"/>
              </w:rPr>
            </w:pPr>
            <w:r w:rsidRPr="00044710">
              <w:rPr>
                <w:szCs w:val="20"/>
              </w:rPr>
              <w:t xml:space="preserve">68.99 </w:t>
            </w:r>
          </w:p>
        </w:tc>
      </w:tr>
      <w:tr w:rsidR="00044710" w:rsidRPr="00044710" w:rsidTr="00D30485">
        <w:tc>
          <w:tcPr>
            <w:tcW w:w="1363" w:type="dxa"/>
          </w:tcPr>
          <w:p w:rsidR="00044710" w:rsidRPr="00044710" w:rsidRDefault="00044710" w:rsidP="00D30485">
            <w:pPr>
              <w:spacing w:after="120"/>
              <w:rPr>
                <w:szCs w:val="20"/>
              </w:rPr>
            </w:pPr>
            <w:r w:rsidRPr="00044710">
              <w:rPr>
                <w:szCs w:val="20"/>
              </w:rPr>
              <w:t xml:space="preserve">2010 </w:t>
            </w:r>
          </w:p>
        </w:tc>
        <w:tc>
          <w:tcPr>
            <w:tcW w:w="1350" w:type="dxa"/>
            <w:vAlign w:val="center"/>
          </w:tcPr>
          <w:p w:rsidR="00044710" w:rsidRPr="00044710" w:rsidRDefault="00044710" w:rsidP="00D30485">
            <w:pPr>
              <w:spacing w:after="120"/>
              <w:rPr>
                <w:szCs w:val="20"/>
              </w:rPr>
            </w:pPr>
            <w:r w:rsidRPr="00044710">
              <w:rPr>
                <w:rFonts w:cs="Calibri"/>
                <w:szCs w:val="20"/>
              </w:rPr>
              <w:t>5655</w:t>
            </w:r>
          </w:p>
        </w:tc>
        <w:tc>
          <w:tcPr>
            <w:tcW w:w="2520" w:type="dxa"/>
          </w:tcPr>
          <w:p w:rsidR="00044710" w:rsidRPr="00044710" w:rsidRDefault="00044710" w:rsidP="00D30485">
            <w:pPr>
              <w:spacing w:after="120"/>
              <w:rPr>
                <w:szCs w:val="20"/>
              </w:rPr>
            </w:pPr>
            <w:r w:rsidRPr="00044710">
              <w:rPr>
                <w:szCs w:val="20"/>
              </w:rPr>
              <w:t xml:space="preserve">69.88 </w:t>
            </w:r>
          </w:p>
        </w:tc>
      </w:tr>
      <w:tr w:rsidR="00044710" w:rsidRPr="00044710" w:rsidTr="00D30485">
        <w:tc>
          <w:tcPr>
            <w:tcW w:w="1363" w:type="dxa"/>
          </w:tcPr>
          <w:p w:rsidR="00044710" w:rsidRPr="00044710" w:rsidRDefault="00044710" w:rsidP="00D30485">
            <w:pPr>
              <w:spacing w:after="120"/>
              <w:rPr>
                <w:szCs w:val="20"/>
              </w:rPr>
            </w:pPr>
            <w:r w:rsidRPr="00044710">
              <w:rPr>
                <w:szCs w:val="20"/>
              </w:rPr>
              <w:t xml:space="preserve">2011 </w:t>
            </w:r>
          </w:p>
        </w:tc>
        <w:tc>
          <w:tcPr>
            <w:tcW w:w="1350" w:type="dxa"/>
            <w:vAlign w:val="center"/>
          </w:tcPr>
          <w:p w:rsidR="00044710" w:rsidRPr="00044710" w:rsidRDefault="00044710" w:rsidP="00D30485">
            <w:pPr>
              <w:spacing w:after="120"/>
              <w:rPr>
                <w:szCs w:val="20"/>
              </w:rPr>
            </w:pPr>
            <w:r w:rsidRPr="00044710">
              <w:rPr>
                <w:rFonts w:cs="Calibri"/>
                <w:szCs w:val="20"/>
              </w:rPr>
              <w:t>5793</w:t>
            </w:r>
          </w:p>
        </w:tc>
        <w:tc>
          <w:tcPr>
            <w:tcW w:w="2520" w:type="dxa"/>
          </w:tcPr>
          <w:p w:rsidR="00044710" w:rsidRPr="00044710" w:rsidRDefault="00044710" w:rsidP="00D30485">
            <w:pPr>
              <w:spacing w:after="120"/>
              <w:rPr>
                <w:szCs w:val="20"/>
              </w:rPr>
            </w:pPr>
            <w:r w:rsidRPr="00044710">
              <w:rPr>
                <w:szCs w:val="20"/>
              </w:rPr>
              <w:t>69.93</w:t>
            </w:r>
          </w:p>
        </w:tc>
      </w:tr>
      <w:tr w:rsidR="00044710" w:rsidRPr="00044710" w:rsidTr="00D30485">
        <w:tc>
          <w:tcPr>
            <w:tcW w:w="1363" w:type="dxa"/>
          </w:tcPr>
          <w:p w:rsidR="00044710" w:rsidRPr="00044710" w:rsidRDefault="00044710" w:rsidP="00D30485">
            <w:pPr>
              <w:spacing w:after="120"/>
              <w:rPr>
                <w:szCs w:val="20"/>
              </w:rPr>
            </w:pPr>
            <w:r w:rsidRPr="00044710">
              <w:rPr>
                <w:szCs w:val="20"/>
              </w:rPr>
              <w:t xml:space="preserve">2012 </w:t>
            </w:r>
          </w:p>
        </w:tc>
        <w:tc>
          <w:tcPr>
            <w:tcW w:w="1350" w:type="dxa"/>
            <w:vAlign w:val="center"/>
          </w:tcPr>
          <w:p w:rsidR="00044710" w:rsidRPr="00044710" w:rsidRDefault="00044710" w:rsidP="00D30485">
            <w:pPr>
              <w:spacing w:after="120"/>
              <w:rPr>
                <w:szCs w:val="20"/>
              </w:rPr>
            </w:pPr>
            <w:r w:rsidRPr="00044710">
              <w:rPr>
                <w:rFonts w:cs="Calibri"/>
                <w:szCs w:val="20"/>
              </w:rPr>
              <w:t>5899</w:t>
            </w:r>
          </w:p>
        </w:tc>
        <w:tc>
          <w:tcPr>
            <w:tcW w:w="2520" w:type="dxa"/>
          </w:tcPr>
          <w:p w:rsidR="00044710" w:rsidRPr="00044710" w:rsidRDefault="00044710" w:rsidP="00D30485">
            <w:pPr>
              <w:spacing w:after="120"/>
              <w:rPr>
                <w:szCs w:val="20"/>
              </w:rPr>
            </w:pPr>
            <w:r w:rsidRPr="00044710">
              <w:rPr>
                <w:szCs w:val="20"/>
              </w:rPr>
              <w:t xml:space="preserve">71.97 </w:t>
            </w:r>
          </w:p>
        </w:tc>
      </w:tr>
    </w:tbl>
    <w:p w:rsidR="002E78A0" w:rsidRDefault="002E78A0" w:rsidP="00DB3627">
      <w:pPr>
        <w:autoSpaceDE w:val="0"/>
        <w:autoSpaceDN w:val="0"/>
        <w:adjustRightInd w:val="0"/>
        <w:spacing w:after="0" w:line="240" w:lineRule="auto"/>
        <w:rPr>
          <w:rFonts w:cstheme="minorHAnsi"/>
          <w:bCs/>
        </w:rPr>
      </w:pPr>
    </w:p>
    <w:p w:rsidR="002B5016" w:rsidRPr="00A25024" w:rsidRDefault="002B5016" w:rsidP="00DB3627">
      <w:pPr>
        <w:autoSpaceDE w:val="0"/>
        <w:autoSpaceDN w:val="0"/>
        <w:adjustRightInd w:val="0"/>
        <w:spacing w:after="0" w:line="240" w:lineRule="auto"/>
        <w:rPr>
          <w:rFonts w:cstheme="minorHAnsi"/>
          <w:bCs/>
        </w:rPr>
      </w:pPr>
    </w:p>
    <w:p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rsidR="00044710" w:rsidRPr="00044710" w:rsidRDefault="00044710" w:rsidP="00044710">
      <w:pPr>
        <w:spacing w:after="120"/>
      </w:pPr>
    </w:p>
    <w:tbl>
      <w:tblPr>
        <w:tblStyle w:val="TableGrid"/>
        <w:tblW w:w="0" w:type="auto"/>
        <w:tblInd w:w="432" w:type="dxa"/>
        <w:tblLayout w:type="fixed"/>
        <w:tblLook w:val="04A0" w:firstRow="1" w:lastRow="0" w:firstColumn="1" w:lastColumn="0" w:noHBand="0" w:noVBand="1"/>
      </w:tblPr>
      <w:tblGrid>
        <w:gridCol w:w="1027"/>
        <w:gridCol w:w="1170"/>
        <w:gridCol w:w="1433"/>
        <w:gridCol w:w="2160"/>
      </w:tblGrid>
      <w:tr w:rsidR="00044710" w:rsidRPr="00044710" w:rsidTr="00D30485">
        <w:tc>
          <w:tcPr>
            <w:tcW w:w="1027" w:type="dxa"/>
          </w:tcPr>
          <w:p w:rsidR="00044710" w:rsidRPr="00044710" w:rsidRDefault="00044710" w:rsidP="00D30485">
            <w:pPr>
              <w:spacing w:after="120"/>
              <w:rPr>
                <w:b/>
              </w:rPr>
            </w:pPr>
            <w:r w:rsidRPr="00044710">
              <w:rPr>
                <w:b/>
              </w:rPr>
              <w:t xml:space="preserve">Year </w:t>
            </w:r>
          </w:p>
        </w:tc>
        <w:tc>
          <w:tcPr>
            <w:tcW w:w="1170" w:type="dxa"/>
          </w:tcPr>
          <w:p w:rsidR="00044710" w:rsidRPr="00044710" w:rsidRDefault="00044710" w:rsidP="00D30485">
            <w:pPr>
              <w:spacing w:after="120"/>
              <w:rPr>
                <w:b/>
              </w:rPr>
            </w:pPr>
            <w:r w:rsidRPr="00044710">
              <w:rPr>
                <w:b/>
              </w:rPr>
              <w:t xml:space="preserve"># Facilities </w:t>
            </w:r>
          </w:p>
        </w:tc>
        <w:tc>
          <w:tcPr>
            <w:tcW w:w="1433" w:type="dxa"/>
          </w:tcPr>
          <w:p w:rsidR="00044710" w:rsidRPr="00044710" w:rsidRDefault="00044710" w:rsidP="00D30485">
            <w:pPr>
              <w:spacing w:after="120"/>
              <w:rPr>
                <w:b/>
              </w:rPr>
            </w:pPr>
            <w:r w:rsidRPr="00044710">
              <w:rPr>
                <w:b/>
              </w:rPr>
              <w:t xml:space="preserve"># of Patients </w:t>
            </w:r>
          </w:p>
        </w:tc>
        <w:tc>
          <w:tcPr>
            <w:tcW w:w="2160" w:type="dxa"/>
          </w:tcPr>
          <w:p w:rsidR="00044710" w:rsidRPr="00044710" w:rsidRDefault="00044710" w:rsidP="00D30485">
            <w:pPr>
              <w:spacing w:after="120"/>
              <w:rPr>
                <w:b/>
              </w:rPr>
            </w:pPr>
            <w:r w:rsidRPr="00044710">
              <w:rPr>
                <w:b/>
              </w:rPr>
              <w:t xml:space="preserve">Total Patient Years at Risk </w:t>
            </w:r>
          </w:p>
        </w:tc>
      </w:tr>
      <w:tr w:rsidR="00044710" w:rsidRPr="00044710" w:rsidTr="00D30485">
        <w:tc>
          <w:tcPr>
            <w:tcW w:w="1027" w:type="dxa"/>
          </w:tcPr>
          <w:p w:rsidR="00044710" w:rsidRPr="00044710" w:rsidRDefault="00044710" w:rsidP="00D30485">
            <w:pPr>
              <w:spacing w:after="120"/>
              <w:rPr>
                <w:rFonts w:cstheme="minorHAnsi"/>
              </w:rPr>
            </w:pPr>
            <w:r w:rsidRPr="00044710">
              <w:t>2009</w:t>
            </w:r>
          </w:p>
        </w:tc>
        <w:tc>
          <w:tcPr>
            <w:tcW w:w="1170" w:type="dxa"/>
          </w:tcPr>
          <w:p w:rsidR="00044710" w:rsidRPr="00044710" w:rsidRDefault="00044710" w:rsidP="00D30485">
            <w:pPr>
              <w:spacing w:after="120"/>
              <w:rPr>
                <w:rFonts w:cstheme="minorHAnsi"/>
              </w:rPr>
            </w:pPr>
            <w:r w:rsidRPr="00044710">
              <w:t xml:space="preserve">5478 </w:t>
            </w:r>
          </w:p>
        </w:tc>
        <w:tc>
          <w:tcPr>
            <w:tcW w:w="1433" w:type="dxa"/>
          </w:tcPr>
          <w:p w:rsidR="00044710" w:rsidRPr="00044710" w:rsidRDefault="00044710" w:rsidP="00D30485">
            <w:pPr>
              <w:spacing w:after="120"/>
              <w:rPr>
                <w:rFonts w:cstheme="minorHAnsi"/>
              </w:rPr>
            </w:pPr>
            <w:r w:rsidRPr="00044710">
              <w:t>377957</w:t>
            </w:r>
          </w:p>
        </w:tc>
        <w:tc>
          <w:tcPr>
            <w:tcW w:w="2160" w:type="dxa"/>
          </w:tcPr>
          <w:p w:rsidR="00044710" w:rsidRPr="00044710" w:rsidRDefault="00044710" w:rsidP="00D30485">
            <w:pPr>
              <w:spacing w:after="120"/>
              <w:rPr>
                <w:rFonts w:cstheme="minorHAnsi"/>
              </w:rPr>
            </w:pPr>
            <w:r w:rsidRPr="00044710">
              <w:t xml:space="preserve">215069.1 </w:t>
            </w:r>
          </w:p>
        </w:tc>
      </w:tr>
      <w:tr w:rsidR="00044710" w:rsidRPr="00044710" w:rsidTr="00D30485">
        <w:tc>
          <w:tcPr>
            <w:tcW w:w="1027" w:type="dxa"/>
          </w:tcPr>
          <w:p w:rsidR="00044710" w:rsidRPr="00044710" w:rsidRDefault="00044710" w:rsidP="00D30485">
            <w:pPr>
              <w:spacing w:after="120"/>
              <w:rPr>
                <w:rFonts w:cstheme="minorHAnsi"/>
              </w:rPr>
            </w:pPr>
            <w:r w:rsidRPr="00044710">
              <w:t>2010</w:t>
            </w:r>
          </w:p>
        </w:tc>
        <w:tc>
          <w:tcPr>
            <w:tcW w:w="1170" w:type="dxa"/>
          </w:tcPr>
          <w:p w:rsidR="00044710" w:rsidRPr="00044710" w:rsidRDefault="00044710" w:rsidP="00D30485">
            <w:pPr>
              <w:spacing w:after="120"/>
              <w:rPr>
                <w:rFonts w:cstheme="minorHAnsi"/>
              </w:rPr>
            </w:pPr>
            <w:r w:rsidRPr="00044710">
              <w:t xml:space="preserve">5655 </w:t>
            </w:r>
          </w:p>
        </w:tc>
        <w:tc>
          <w:tcPr>
            <w:tcW w:w="1433" w:type="dxa"/>
          </w:tcPr>
          <w:p w:rsidR="00044710" w:rsidRPr="00044710" w:rsidRDefault="00044710" w:rsidP="00D30485">
            <w:pPr>
              <w:spacing w:after="120"/>
              <w:rPr>
                <w:rFonts w:cstheme="minorHAnsi"/>
              </w:rPr>
            </w:pPr>
            <w:r w:rsidRPr="00044710">
              <w:t xml:space="preserve">395183 </w:t>
            </w:r>
          </w:p>
        </w:tc>
        <w:tc>
          <w:tcPr>
            <w:tcW w:w="2160" w:type="dxa"/>
          </w:tcPr>
          <w:p w:rsidR="00044710" w:rsidRPr="00044710" w:rsidRDefault="00044710" w:rsidP="00D30485">
            <w:pPr>
              <w:spacing w:after="120"/>
              <w:rPr>
                <w:rFonts w:cstheme="minorHAnsi"/>
              </w:rPr>
            </w:pPr>
            <w:r w:rsidRPr="00044710">
              <w:t xml:space="preserve">223699.0 </w:t>
            </w:r>
          </w:p>
        </w:tc>
      </w:tr>
      <w:tr w:rsidR="00044710" w:rsidRPr="00044710" w:rsidTr="00D30485">
        <w:tc>
          <w:tcPr>
            <w:tcW w:w="1027" w:type="dxa"/>
          </w:tcPr>
          <w:p w:rsidR="00044710" w:rsidRPr="00044710" w:rsidRDefault="00044710" w:rsidP="00D30485">
            <w:pPr>
              <w:spacing w:after="120"/>
              <w:rPr>
                <w:rFonts w:cstheme="minorHAnsi"/>
              </w:rPr>
            </w:pPr>
            <w:r w:rsidRPr="00044710">
              <w:t xml:space="preserve">2011 </w:t>
            </w:r>
          </w:p>
        </w:tc>
        <w:tc>
          <w:tcPr>
            <w:tcW w:w="1170" w:type="dxa"/>
          </w:tcPr>
          <w:p w:rsidR="00044710" w:rsidRPr="00044710" w:rsidRDefault="00044710" w:rsidP="00D30485">
            <w:pPr>
              <w:spacing w:after="120"/>
              <w:rPr>
                <w:rFonts w:cstheme="minorHAnsi"/>
              </w:rPr>
            </w:pPr>
            <w:r w:rsidRPr="00044710">
              <w:t>5793</w:t>
            </w:r>
          </w:p>
        </w:tc>
        <w:tc>
          <w:tcPr>
            <w:tcW w:w="1433" w:type="dxa"/>
          </w:tcPr>
          <w:p w:rsidR="00044710" w:rsidRPr="00044710" w:rsidRDefault="00044710" w:rsidP="00D30485">
            <w:pPr>
              <w:spacing w:after="120"/>
              <w:rPr>
                <w:rFonts w:cstheme="minorHAnsi"/>
              </w:rPr>
            </w:pPr>
            <w:r w:rsidRPr="00044710">
              <w:t xml:space="preserve">405104 </w:t>
            </w:r>
          </w:p>
        </w:tc>
        <w:tc>
          <w:tcPr>
            <w:tcW w:w="2160" w:type="dxa"/>
          </w:tcPr>
          <w:p w:rsidR="00044710" w:rsidRPr="00044710" w:rsidRDefault="00044710" w:rsidP="00D30485">
            <w:pPr>
              <w:spacing w:after="120"/>
              <w:rPr>
                <w:rFonts w:cstheme="minorHAnsi"/>
              </w:rPr>
            </w:pPr>
            <w:r w:rsidRPr="00044710">
              <w:t xml:space="preserve">227598.8 </w:t>
            </w:r>
          </w:p>
        </w:tc>
      </w:tr>
      <w:tr w:rsidR="00044710" w:rsidRPr="00044710" w:rsidTr="00D30485">
        <w:tc>
          <w:tcPr>
            <w:tcW w:w="1027" w:type="dxa"/>
          </w:tcPr>
          <w:p w:rsidR="00044710" w:rsidRPr="00044710" w:rsidRDefault="00044710" w:rsidP="00D30485">
            <w:pPr>
              <w:spacing w:after="120"/>
              <w:rPr>
                <w:rFonts w:cstheme="minorHAnsi"/>
              </w:rPr>
            </w:pPr>
            <w:r w:rsidRPr="00044710">
              <w:t xml:space="preserve">2012 </w:t>
            </w:r>
          </w:p>
        </w:tc>
        <w:tc>
          <w:tcPr>
            <w:tcW w:w="1170" w:type="dxa"/>
          </w:tcPr>
          <w:p w:rsidR="00044710" w:rsidRPr="00044710" w:rsidRDefault="00044710" w:rsidP="00D30485">
            <w:pPr>
              <w:spacing w:after="120"/>
              <w:rPr>
                <w:rFonts w:cstheme="minorHAnsi"/>
              </w:rPr>
            </w:pPr>
            <w:r w:rsidRPr="00044710">
              <w:t xml:space="preserve">5899 </w:t>
            </w:r>
          </w:p>
        </w:tc>
        <w:tc>
          <w:tcPr>
            <w:tcW w:w="1433" w:type="dxa"/>
          </w:tcPr>
          <w:p w:rsidR="00044710" w:rsidRPr="00044710" w:rsidRDefault="00044710" w:rsidP="00D30485">
            <w:pPr>
              <w:spacing w:after="120"/>
              <w:rPr>
                <w:rFonts w:cstheme="minorHAnsi"/>
              </w:rPr>
            </w:pPr>
            <w:r w:rsidRPr="00044710">
              <w:t xml:space="preserve">424563 </w:t>
            </w:r>
          </w:p>
        </w:tc>
        <w:tc>
          <w:tcPr>
            <w:tcW w:w="2160" w:type="dxa"/>
          </w:tcPr>
          <w:p w:rsidR="00044710" w:rsidRPr="00044710" w:rsidRDefault="00044710" w:rsidP="00D30485">
            <w:pPr>
              <w:spacing w:after="120"/>
              <w:rPr>
                <w:rFonts w:cstheme="minorHAnsi"/>
              </w:rPr>
            </w:pPr>
            <w:r w:rsidRPr="00044710">
              <w:t xml:space="preserve">233794.9 </w:t>
            </w:r>
          </w:p>
        </w:tc>
      </w:tr>
    </w:tbl>
    <w:p w:rsidR="00044710" w:rsidRPr="00044710" w:rsidRDefault="00044710" w:rsidP="00044710">
      <w:pPr>
        <w:spacing w:after="120"/>
      </w:pPr>
      <w:r w:rsidRPr="00044710">
        <w:lastRenderedPageBreak/>
        <w:br/>
        <w:t>The following table shows the facility level mean number of patients, mean age; mean values for patient years at risk, mean %</w:t>
      </w:r>
      <w:proofErr w:type="gramStart"/>
      <w:r w:rsidRPr="00044710">
        <w:t>females ,</w:t>
      </w:r>
      <w:proofErr w:type="gramEnd"/>
      <w:r w:rsidRPr="00044710">
        <w:t xml:space="preserve"> %black, %white, and %Hispanics for each of the four years.</w:t>
      </w:r>
    </w:p>
    <w:tbl>
      <w:tblPr>
        <w:tblStyle w:val="TableGrid"/>
        <w:tblW w:w="0" w:type="auto"/>
        <w:tblInd w:w="432" w:type="dxa"/>
        <w:tblLayout w:type="fixed"/>
        <w:tblLook w:val="04A0" w:firstRow="1" w:lastRow="0" w:firstColumn="1" w:lastColumn="0" w:noHBand="0" w:noVBand="1"/>
      </w:tblPr>
      <w:tblGrid>
        <w:gridCol w:w="1204"/>
        <w:gridCol w:w="1204"/>
        <w:gridCol w:w="1204"/>
        <w:gridCol w:w="1205"/>
        <w:gridCol w:w="1205"/>
        <w:gridCol w:w="1205"/>
        <w:gridCol w:w="1205"/>
        <w:gridCol w:w="1206"/>
      </w:tblGrid>
      <w:tr w:rsidR="00044710" w:rsidRPr="00044710" w:rsidTr="00D30485">
        <w:tc>
          <w:tcPr>
            <w:tcW w:w="1204" w:type="dxa"/>
            <w:tcBorders>
              <w:top w:val="nil"/>
              <w:left w:val="nil"/>
            </w:tcBorders>
          </w:tcPr>
          <w:p w:rsidR="00044710" w:rsidRPr="00044710" w:rsidRDefault="00044710" w:rsidP="00D30485">
            <w:pPr>
              <w:spacing w:after="120"/>
            </w:pPr>
          </w:p>
        </w:tc>
        <w:tc>
          <w:tcPr>
            <w:tcW w:w="8434" w:type="dxa"/>
            <w:gridSpan w:val="7"/>
          </w:tcPr>
          <w:p w:rsidR="00044710" w:rsidRPr="00044710" w:rsidRDefault="00044710" w:rsidP="00D30485">
            <w:pPr>
              <w:spacing w:after="120"/>
              <w:jc w:val="center"/>
              <w:rPr>
                <w:b/>
              </w:rPr>
            </w:pPr>
            <w:r w:rsidRPr="00044710">
              <w:rPr>
                <w:b/>
              </w:rPr>
              <w:t>Facility Level Mean values</w:t>
            </w:r>
          </w:p>
        </w:tc>
      </w:tr>
      <w:tr w:rsidR="00044710" w:rsidRPr="00044710" w:rsidTr="00D30485">
        <w:tc>
          <w:tcPr>
            <w:tcW w:w="1204" w:type="dxa"/>
          </w:tcPr>
          <w:p w:rsidR="00044710" w:rsidRPr="00044710" w:rsidRDefault="00044710" w:rsidP="00D30485">
            <w:pPr>
              <w:spacing w:after="120"/>
            </w:pPr>
            <w:r w:rsidRPr="00044710">
              <w:rPr>
                <w:b/>
                <w:bCs/>
              </w:rPr>
              <w:t xml:space="preserve">Year </w:t>
            </w:r>
          </w:p>
        </w:tc>
        <w:tc>
          <w:tcPr>
            <w:tcW w:w="1204" w:type="dxa"/>
          </w:tcPr>
          <w:p w:rsidR="00044710" w:rsidRPr="00044710" w:rsidRDefault="00044710" w:rsidP="00D30485">
            <w:pPr>
              <w:spacing w:after="120"/>
            </w:pPr>
            <w:r w:rsidRPr="00044710">
              <w:rPr>
                <w:b/>
                <w:bCs/>
              </w:rPr>
              <w:t xml:space="preserve"># Patients </w:t>
            </w:r>
          </w:p>
        </w:tc>
        <w:tc>
          <w:tcPr>
            <w:tcW w:w="1204" w:type="dxa"/>
          </w:tcPr>
          <w:p w:rsidR="00044710" w:rsidRPr="00044710" w:rsidRDefault="00044710" w:rsidP="00D30485">
            <w:pPr>
              <w:spacing w:after="120"/>
            </w:pPr>
            <w:r w:rsidRPr="00044710">
              <w:rPr>
                <w:b/>
                <w:bCs/>
              </w:rPr>
              <w:t xml:space="preserve">Age as of end of year </w:t>
            </w:r>
          </w:p>
        </w:tc>
        <w:tc>
          <w:tcPr>
            <w:tcW w:w="1205" w:type="dxa"/>
          </w:tcPr>
          <w:p w:rsidR="00044710" w:rsidRPr="00044710" w:rsidRDefault="00044710" w:rsidP="00D30485">
            <w:pPr>
              <w:spacing w:after="120"/>
            </w:pPr>
            <w:r w:rsidRPr="00044710">
              <w:rPr>
                <w:b/>
                <w:bCs/>
              </w:rPr>
              <w:t xml:space="preserve">Patient </w:t>
            </w:r>
            <w:proofErr w:type="spellStart"/>
            <w:r w:rsidRPr="00044710">
              <w:rPr>
                <w:b/>
                <w:bCs/>
              </w:rPr>
              <w:t>Yrs</w:t>
            </w:r>
            <w:proofErr w:type="spellEnd"/>
            <w:r w:rsidRPr="00044710">
              <w:rPr>
                <w:b/>
                <w:bCs/>
              </w:rPr>
              <w:t xml:space="preserve"> at Risk </w:t>
            </w:r>
          </w:p>
        </w:tc>
        <w:tc>
          <w:tcPr>
            <w:tcW w:w="1205" w:type="dxa"/>
          </w:tcPr>
          <w:p w:rsidR="00044710" w:rsidRPr="00044710" w:rsidRDefault="00044710" w:rsidP="00D30485">
            <w:pPr>
              <w:spacing w:after="120"/>
            </w:pPr>
            <w:r w:rsidRPr="00044710">
              <w:rPr>
                <w:b/>
                <w:bCs/>
              </w:rPr>
              <w:t xml:space="preserve">%Female </w:t>
            </w:r>
          </w:p>
        </w:tc>
        <w:tc>
          <w:tcPr>
            <w:tcW w:w="1205" w:type="dxa"/>
          </w:tcPr>
          <w:p w:rsidR="00044710" w:rsidRPr="00044710" w:rsidRDefault="00044710" w:rsidP="00D30485">
            <w:pPr>
              <w:spacing w:after="120"/>
            </w:pPr>
            <w:r w:rsidRPr="00044710">
              <w:rPr>
                <w:b/>
                <w:bCs/>
              </w:rPr>
              <w:t xml:space="preserve">%Black </w:t>
            </w:r>
          </w:p>
        </w:tc>
        <w:tc>
          <w:tcPr>
            <w:tcW w:w="1205" w:type="dxa"/>
          </w:tcPr>
          <w:p w:rsidR="00044710" w:rsidRPr="00044710" w:rsidRDefault="00044710" w:rsidP="00D30485">
            <w:pPr>
              <w:spacing w:after="120"/>
            </w:pPr>
            <w:r w:rsidRPr="00044710">
              <w:rPr>
                <w:b/>
                <w:bCs/>
              </w:rPr>
              <w:t xml:space="preserve">%White </w:t>
            </w:r>
          </w:p>
        </w:tc>
        <w:tc>
          <w:tcPr>
            <w:tcW w:w="1206" w:type="dxa"/>
          </w:tcPr>
          <w:p w:rsidR="00044710" w:rsidRPr="00044710" w:rsidRDefault="00044710" w:rsidP="00D30485">
            <w:pPr>
              <w:spacing w:after="120"/>
            </w:pPr>
            <w:r w:rsidRPr="00044710">
              <w:rPr>
                <w:b/>
                <w:bCs/>
              </w:rPr>
              <w:t>%</w:t>
            </w:r>
            <w:proofErr w:type="spellStart"/>
            <w:r w:rsidRPr="00044710">
              <w:rPr>
                <w:b/>
                <w:bCs/>
              </w:rPr>
              <w:t>Hisp</w:t>
            </w:r>
            <w:proofErr w:type="spellEnd"/>
            <w:r w:rsidRPr="00044710">
              <w:rPr>
                <w:b/>
                <w:bCs/>
              </w:rPr>
              <w:t xml:space="preserve"> </w:t>
            </w:r>
          </w:p>
        </w:tc>
      </w:tr>
      <w:tr w:rsidR="00044710" w:rsidRPr="00044710" w:rsidTr="00D30485">
        <w:tc>
          <w:tcPr>
            <w:tcW w:w="1204" w:type="dxa"/>
          </w:tcPr>
          <w:p w:rsidR="00044710" w:rsidRPr="00044710" w:rsidRDefault="00044710" w:rsidP="00D30485">
            <w:pPr>
              <w:spacing w:after="120"/>
            </w:pPr>
            <w:r w:rsidRPr="00044710">
              <w:t xml:space="preserve">2009 </w:t>
            </w:r>
          </w:p>
        </w:tc>
        <w:tc>
          <w:tcPr>
            <w:tcW w:w="1204" w:type="dxa"/>
          </w:tcPr>
          <w:p w:rsidR="00044710" w:rsidRPr="00044710" w:rsidRDefault="00044710" w:rsidP="00D30485">
            <w:pPr>
              <w:spacing w:after="120"/>
            </w:pPr>
            <w:r w:rsidRPr="00044710">
              <w:t xml:space="preserve">68.99 </w:t>
            </w:r>
          </w:p>
        </w:tc>
        <w:tc>
          <w:tcPr>
            <w:tcW w:w="1204" w:type="dxa"/>
          </w:tcPr>
          <w:p w:rsidR="00044710" w:rsidRPr="00044710" w:rsidRDefault="00044710" w:rsidP="00D30485">
            <w:pPr>
              <w:spacing w:after="120"/>
            </w:pPr>
            <w:r w:rsidRPr="00044710">
              <w:t xml:space="preserve">61.53 </w:t>
            </w:r>
          </w:p>
        </w:tc>
        <w:tc>
          <w:tcPr>
            <w:tcW w:w="1205" w:type="dxa"/>
          </w:tcPr>
          <w:p w:rsidR="00044710" w:rsidRPr="00044710" w:rsidRDefault="00044710" w:rsidP="00D30485">
            <w:pPr>
              <w:spacing w:after="120"/>
            </w:pPr>
            <w:r w:rsidRPr="00044710">
              <w:t xml:space="preserve">39.01 </w:t>
            </w:r>
          </w:p>
        </w:tc>
        <w:tc>
          <w:tcPr>
            <w:tcW w:w="1205" w:type="dxa"/>
          </w:tcPr>
          <w:p w:rsidR="00044710" w:rsidRPr="00044710" w:rsidRDefault="00044710" w:rsidP="00D30485">
            <w:pPr>
              <w:spacing w:after="120"/>
            </w:pPr>
            <w:r w:rsidRPr="00044710">
              <w:t xml:space="preserve">45.76 </w:t>
            </w:r>
          </w:p>
        </w:tc>
        <w:tc>
          <w:tcPr>
            <w:tcW w:w="1205" w:type="dxa"/>
          </w:tcPr>
          <w:p w:rsidR="00044710" w:rsidRPr="00044710" w:rsidRDefault="00044710" w:rsidP="00D30485">
            <w:pPr>
              <w:spacing w:after="120"/>
            </w:pPr>
            <w:r w:rsidRPr="00044710">
              <w:t>36.24</w:t>
            </w:r>
          </w:p>
        </w:tc>
        <w:tc>
          <w:tcPr>
            <w:tcW w:w="1205" w:type="dxa"/>
          </w:tcPr>
          <w:p w:rsidR="00044710" w:rsidRPr="00044710" w:rsidRDefault="00044710" w:rsidP="00D30485">
            <w:pPr>
              <w:spacing w:after="120"/>
            </w:pPr>
            <w:r w:rsidRPr="00044710">
              <w:t>56.90</w:t>
            </w:r>
          </w:p>
        </w:tc>
        <w:tc>
          <w:tcPr>
            <w:tcW w:w="1206" w:type="dxa"/>
          </w:tcPr>
          <w:p w:rsidR="00044710" w:rsidRPr="00044710" w:rsidRDefault="00044710" w:rsidP="00D30485">
            <w:pPr>
              <w:spacing w:after="120"/>
            </w:pPr>
            <w:r w:rsidRPr="00044710">
              <w:t xml:space="preserve">14.63 </w:t>
            </w:r>
          </w:p>
        </w:tc>
      </w:tr>
      <w:tr w:rsidR="00044710" w:rsidRPr="00044710" w:rsidTr="00D30485">
        <w:tc>
          <w:tcPr>
            <w:tcW w:w="1204" w:type="dxa"/>
          </w:tcPr>
          <w:p w:rsidR="00044710" w:rsidRPr="00044710" w:rsidRDefault="00044710" w:rsidP="00D30485">
            <w:pPr>
              <w:spacing w:after="120"/>
            </w:pPr>
            <w:r w:rsidRPr="00044710">
              <w:t xml:space="preserve">2010 </w:t>
            </w:r>
          </w:p>
        </w:tc>
        <w:tc>
          <w:tcPr>
            <w:tcW w:w="1204" w:type="dxa"/>
          </w:tcPr>
          <w:p w:rsidR="00044710" w:rsidRPr="00044710" w:rsidRDefault="00044710" w:rsidP="00D30485">
            <w:pPr>
              <w:spacing w:after="120"/>
            </w:pPr>
            <w:r w:rsidRPr="00044710">
              <w:t xml:space="preserve">69.88 </w:t>
            </w:r>
          </w:p>
        </w:tc>
        <w:tc>
          <w:tcPr>
            <w:tcW w:w="1204" w:type="dxa"/>
          </w:tcPr>
          <w:p w:rsidR="00044710" w:rsidRPr="00044710" w:rsidRDefault="00044710" w:rsidP="00D30485">
            <w:pPr>
              <w:spacing w:after="120"/>
            </w:pPr>
            <w:r w:rsidRPr="00044710">
              <w:t xml:space="preserve">61.66 </w:t>
            </w:r>
          </w:p>
        </w:tc>
        <w:tc>
          <w:tcPr>
            <w:tcW w:w="1205" w:type="dxa"/>
          </w:tcPr>
          <w:p w:rsidR="00044710" w:rsidRPr="00044710" w:rsidRDefault="00044710" w:rsidP="00D30485">
            <w:pPr>
              <w:spacing w:after="120"/>
            </w:pPr>
            <w:r w:rsidRPr="00044710">
              <w:t>39.41</w:t>
            </w:r>
          </w:p>
        </w:tc>
        <w:tc>
          <w:tcPr>
            <w:tcW w:w="1205" w:type="dxa"/>
          </w:tcPr>
          <w:p w:rsidR="00044710" w:rsidRPr="00044710" w:rsidRDefault="00044710" w:rsidP="00D30485">
            <w:pPr>
              <w:spacing w:after="120"/>
            </w:pPr>
            <w:r w:rsidRPr="00044710">
              <w:t xml:space="preserve">45.72 </w:t>
            </w:r>
          </w:p>
        </w:tc>
        <w:tc>
          <w:tcPr>
            <w:tcW w:w="1205" w:type="dxa"/>
          </w:tcPr>
          <w:p w:rsidR="00044710" w:rsidRPr="00044710" w:rsidRDefault="00044710" w:rsidP="00D30485">
            <w:pPr>
              <w:spacing w:after="120"/>
            </w:pPr>
            <w:r w:rsidRPr="00044710">
              <w:t xml:space="preserve">36.25 </w:t>
            </w:r>
          </w:p>
        </w:tc>
        <w:tc>
          <w:tcPr>
            <w:tcW w:w="1205" w:type="dxa"/>
          </w:tcPr>
          <w:p w:rsidR="00044710" w:rsidRPr="00044710" w:rsidRDefault="00044710" w:rsidP="00D30485">
            <w:pPr>
              <w:spacing w:after="120"/>
            </w:pPr>
            <w:r w:rsidRPr="00044710">
              <w:t xml:space="preserve">56.93 </w:t>
            </w:r>
          </w:p>
        </w:tc>
        <w:tc>
          <w:tcPr>
            <w:tcW w:w="1206" w:type="dxa"/>
          </w:tcPr>
          <w:p w:rsidR="00044710" w:rsidRPr="00044710" w:rsidRDefault="00044710" w:rsidP="00D30485">
            <w:pPr>
              <w:spacing w:after="120"/>
            </w:pPr>
            <w:r w:rsidRPr="00044710">
              <w:t xml:space="preserve">14.69 </w:t>
            </w:r>
          </w:p>
        </w:tc>
      </w:tr>
      <w:tr w:rsidR="00044710" w:rsidRPr="00044710" w:rsidTr="00D30485">
        <w:tc>
          <w:tcPr>
            <w:tcW w:w="1204" w:type="dxa"/>
          </w:tcPr>
          <w:p w:rsidR="00044710" w:rsidRPr="00044710" w:rsidRDefault="00044710" w:rsidP="00D30485">
            <w:pPr>
              <w:spacing w:after="120"/>
            </w:pPr>
            <w:r w:rsidRPr="00044710">
              <w:t xml:space="preserve">2011 </w:t>
            </w:r>
          </w:p>
        </w:tc>
        <w:tc>
          <w:tcPr>
            <w:tcW w:w="1204" w:type="dxa"/>
          </w:tcPr>
          <w:p w:rsidR="00044710" w:rsidRPr="00044710" w:rsidRDefault="00044710" w:rsidP="00D30485">
            <w:pPr>
              <w:spacing w:after="120"/>
            </w:pPr>
            <w:r w:rsidRPr="00044710">
              <w:t>69.93</w:t>
            </w:r>
          </w:p>
        </w:tc>
        <w:tc>
          <w:tcPr>
            <w:tcW w:w="1204" w:type="dxa"/>
          </w:tcPr>
          <w:p w:rsidR="00044710" w:rsidRPr="00044710" w:rsidRDefault="00044710" w:rsidP="00D30485">
            <w:pPr>
              <w:spacing w:after="120"/>
            </w:pPr>
            <w:r w:rsidRPr="00044710">
              <w:t xml:space="preserve">61.72 </w:t>
            </w:r>
          </w:p>
        </w:tc>
        <w:tc>
          <w:tcPr>
            <w:tcW w:w="1205" w:type="dxa"/>
          </w:tcPr>
          <w:p w:rsidR="00044710" w:rsidRPr="00044710" w:rsidRDefault="00044710" w:rsidP="00D30485">
            <w:pPr>
              <w:spacing w:after="120"/>
            </w:pPr>
            <w:r w:rsidRPr="00044710">
              <w:t xml:space="preserve">39.10 </w:t>
            </w:r>
          </w:p>
        </w:tc>
        <w:tc>
          <w:tcPr>
            <w:tcW w:w="1205" w:type="dxa"/>
          </w:tcPr>
          <w:p w:rsidR="00044710" w:rsidRPr="00044710" w:rsidRDefault="00044710" w:rsidP="00D30485">
            <w:pPr>
              <w:spacing w:after="120"/>
            </w:pPr>
            <w:r w:rsidRPr="00044710">
              <w:t xml:space="preserve">45.52 </w:t>
            </w:r>
          </w:p>
        </w:tc>
        <w:tc>
          <w:tcPr>
            <w:tcW w:w="1205" w:type="dxa"/>
          </w:tcPr>
          <w:p w:rsidR="00044710" w:rsidRPr="00044710" w:rsidRDefault="00044710" w:rsidP="00D30485">
            <w:pPr>
              <w:spacing w:after="120"/>
            </w:pPr>
            <w:r w:rsidRPr="00044710">
              <w:t xml:space="preserve">36.02 </w:t>
            </w:r>
          </w:p>
        </w:tc>
        <w:tc>
          <w:tcPr>
            <w:tcW w:w="1205" w:type="dxa"/>
          </w:tcPr>
          <w:p w:rsidR="00044710" w:rsidRPr="00044710" w:rsidRDefault="00044710" w:rsidP="00D30485">
            <w:pPr>
              <w:spacing w:after="120"/>
            </w:pPr>
            <w:r w:rsidRPr="00044710">
              <w:t xml:space="preserve">57.13 </w:t>
            </w:r>
          </w:p>
        </w:tc>
        <w:tc>
          <w:tcPr>
            <w:tcW w:w="1206" w:type="dxa"/>
          </w:tcPr>
          <w:p w:rsidR="00044710" w:rsidRPr="00044710" w:rsidRDefault="00044710" w:rsidP="00D30485">
            <w:pPr>
              <w:spacing w:after="120"/>
            </w:pPr>
            <w:r w:rsidRPr="00044710">
              <w:t xml:space="preserve">14.90 </w:t>
            </w:r>
          </w:p>
        </w:tc>
      </w:tr>
      <w:tr w:rsidR="00044710" w:rsidRPr="00044710" w:rsidTr="00D30485">
        <w:tc>
          <w:tcPr>
            <w:tcW w:w="1204" w:type="dxa"/>
          </w:tcPr>
          <w:p w:rsidR="00044710" w:rsidRPr="00044710" w:rsidRDefault="00044710" w:rsidP="00D30485">
            <w:pPr>
              <w:spacing w:after="120"/>
            </w:pPr>
            <w:r w:rsidRPr="00044710">
              <w:t xml:space="preserve">2012 </w:t>
            </w:r>
          </w:p>
        </w:tc>
        <w:tc>
          <w:tcPr>
            <w:tcW w:w="1204" w:type="dxa"/>
          </w:tcPr>
          <w:p w:rsidR="00044710" w:rsidRPr="00044710" w:rsidRDefault="00044710" w:rsidP="00D30485">
            <w:pPr>
              <w:spacing w:after="120"/>
            </w:pPr>
            <w:r w:rsidRPr="00044710">
              <w:t xml:space="preserve">71.97 </w:t>
            </w:r>
          </w:p>
        </w:tc>
        <w:tc>
          <w:tcPr>
            <w:tcW w:w="1204" w:type="dxa"/>
          </w:tcPr>
          <w:p w:rsidR="00044710" w:rsidRPr="00044710" w:rsidRDefault="00044710" w:rsidP="00D30485">
            <w:pPr>
              <w:spacing w:after="120"/>
            </w:pPr>
            <w:r w:rsidRPr="00044710">
              <w:t>61.69</w:t>
            </w:r>
          </w:p>
        </w:tc>
        <w:tc>
          <w:tcPr>
            <w:tcW w:w="1205" w:type="dxa"/>
          </w:tcPr>
          <w:p w:rsidR="00044710" w:rsidRPr="00044710" w:rsidRDefault="00044710" w:rsidP="00D30485">
            <w:pPr>
              <w:spacing w:after="120"/>
            </w:pPr>
            <w:r w:rsidRPr="00044710">
              <w:t xml:space="preserve">39.44 </w:t>
            </w:r>
          </w:p>
        </w:tc>
        <w:tc>
          <w:tcPr>
            <w:tcW w:w="1205" w:type="dxa"/>
          </w:tcPr>
          <w:p w:rsidR="00044710" w:rsidRPr="00044710" w:rsidRDefault="00044710" w:rsidP="00D30485">
            <w:pPr>
              <w:spacing w:after="120"/>
            </w:pPr>
            <w:r w:rsidRPr="00044710">
              <w:t xml:space="preserve">45.34 </w:t>
            </w:r>
          </w:p>
        </w:tc>
        <w:tc>
          <w:tcPr>
            <w:tcW w:w="1205" w:type="dxa"/>
          </w:tcPr>
          <w:p w:rsidR="00044710" w:rsidRPr="00044710" w:rsidRDefault="00044710" w:rsidP="00D30485">
            <w:pPr>
              <w:spacing w:after="120"/>
            </w:pPr>
            <w:r w:rsidRPr="00044710">
              <w:t xml:space="preserve">36.03 </w:t>
            </w:r>
          </w:p>
        </w:tc>
        <w:tc>
          <w:tcPr>
            <w:tcW w:w="1205" w:type="dxa"/>
          </w:tcPr>
          <w:p w:rsidR="00044710" w:rsidRPr="00044710" w:rsidRDefault="00044710" w:rsidP="00D30485">
            <w:pPr>
              <w:spacing w:after="120"/>
            </w:pPr>
            <w:r w:rsidRPr="00044710">
              <w:t xml:space="preserve">57.01 </w:t>
            </w:r>
          </w:p>
        </w:tc>
        <w:tc>
          <w:tcPr>
            <w:tcW w:w="1206" w:type="dxa"/>
          </w:tcPr>
          <w:p w:rsidR="00044710" w:rsidRPr="00044710" w:rsidRDefault="00044710" w:rsidP="00D30485">
            <w:pPr>
              <w:spacing w:after="120"/>
            </w:pPr>
            <w:r w:rsidRPr="00044710">
              <w:t xml:space="preserve">14.84 </w:t>
            </w:r>
          </w:p>
        </w:tc>
      </w:tr>
    </w:tbl>
    <w:p w:rsidR="00044710" w:rsidRDefault="00044710"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044710" w:rsidRPr="00044710" w:rsidRDefault="00044710" w:rsidP="00044710">
      <w:pPr>
        <w:spacing w:after="120"/>
        <w:rPr>
          <w:szCs w:val="20"/>
        </w:rPr>
      </w:pPr>
      <w:r w:rsidRPr="00044710">
        <w:rPr>
          <w:szCs w:val="20"/>
        </w:rPr>
        <w:t>All reliability, validity, risk adjustment analyses are done using this data set as explained in Table 2 of Section 1.5 above.</w:t>
      </w:r>
    </w:p>
    <w:p w:rsidR="00044710" w:rsidRPr="00044710" w:rsidRDefault="00044710" w:rsidP="00044710">
      <w:pPr>
        <w:spacing w:after="120"/>
        <w:rPr>
          <w:szCs w:val="20"/>
        </w:rPr>
      </w:pPr>
      <w:r w:rsidRPr="00044710">
        <w:rPr>
          <w:szCs w:val="20"/>
        </w:rPr>
        <w:t xml:space="preserve">For testing of meaningful differences (please refer section 2b.5), as implemented in the NQF endorsed Standardized Hospitalization Ratio measure (NQF #1463 http://www.qualityforum.org/QPS/1463) facilities with less than 10 patient years at risk are excluded from this analysis. </w:t>
      </w:r>
    </w:p>
    <w:p w:rsidR="00044710" w:rsidRPr="00044710" w:rsidRDefault="00044710" w:rsidP="00044710">
      <w:pPr>
        <w:spacing w:after="120"/>
        <w:rPr>
          <w:szCs w:val="20"/>
        </w:rPr>
      </w:pPr>
      <w:r w:rsidRPr="00044710">
        <w:rPr>
          <w:szCs w:val="20"/>
        </w:rPr>
        <w:t>The table below gives the counts of facilities included or excluded facilities, with less than 10 patient years at risk for the years 2009-2012.</w:t>
      </w:r>
    </w:p>
    <w:tbl>
      <w:tblPr>
        <w:tblStyle w:val="TableGrid"/>
        <w:tblW w:w="0" w:type="auto"/>
        <w:tblInd w:w="580" w:type="dxa"/>
        <w:tblLayout w:type="fixed"/>
        <w:tblLook w:val="04A0" w:firstRow="1" w:lastRow="0" w:firstColumn="1" w:lastColumn="0" w:noHBand="0" w:noVBand="1"/>
      </w:tblPr>
      <w:tblGrid>
        <w:gridCol w:w="805"/>
        <w:gridCol w:w="2480"/>
        <w:gridCol w:w="2340"/>
        <w:gridCol w:w="1710"/>
      </w:tblGrid>
      <w:tr w:rsidR="00044710" w:rsidRPr="00044710" w:rsidTr="00D30485">
        <w:tc>
          <w:tcPr>
            <w:tcW w:w="805" w:type="dxa"/>
          </w:tcPr>
          <w:p w:rsidR="00044710" w:rsidRPr="00044710" w:rsidRDefault="00044710" w:rsidP="00D30485">
            <w:pPr>
              <w:spacing w:after="120"/>
              <w:rPr>
                <w:b/>
                <w:szCs w:val="20"/>
              </w:rPr>
            </w:pPr>
            <w:r w:rsidRPr="00044710">
              <w:rPr>
                <w:b/>
                <w:szCs w:val="20"/>
              </w:rPr>
              <w:t xml:space="preserve">Year </w:t>
            </w:r>
          </w:p>
        </w:tc>
        <w:tc>
          <w:tcPr>
            <w:tcW w:w="2480" w:type="dxa"/>
          </w:tcPr>
          <w:p w:rsidR="00044710" w:rsidRPr="00044710" w:rsidRDefault="00044710" w:rsidP="00D30485">
            <w:pPr>
              <w:spacing w:after="120"/>
              <w:rPr>
                <w:b/>
                <w:szCs w:val="20"/>
              </w:rPr>
            </w:pPr>
            <w:r w:rsidRPr="00044710">
              <w:rPr>
                <w:b/>
                <w:szCs w:val="20"/>
              </w:rPr>
              <w:t># Facilities Included in the Testing and Analysis</w:t>
            </w:r>
          </w:p>
        </w:tc>
        <w:tc>
          <w:tcPr>
            <w:tcW w:w="2340" w:type="dxa"/>
          </w:tcPr>
          <w:p w:rsidR="00044710" w:rsidRPr="00044710" w:rsidRDefault="00044710" w:rsidP="00D30485">
            <w:pPr>
              <w:spacing w:after="120"/>
              <w:rPr>
                <w:b/>
                <w:szCs w:val="20"/>
              </w:rPr>
            </w:pPr>
            <w:r w:rsidRPr="00044710">
              <w:rPr>
                <w:b/>
                <w:szCs w:val="20"/>
              </w:rPr>
              <w:t># Facilities with at least 10 patient years at risk</w:t>
            </w:r>
          </w:p>
        </w:tc>
        <w:tc>
          <w:tcPr>
            <w:tcW w:w="1710" w:type="dxa"/>
          </w:tcPr>
          <w:p w:rsidR="00044710" w:rsidRPr="00044710" w:rsidRDefault="00044710" w:rsidP="00D30485">
            <w:pPr>
              <w:spacing w:after="120"/>
              <w:rPr>
                <w:b/>
                <w:szCs w:val="20"/>
              </w:rPr>
            </w:pPr>
            <w:r w:rsidRPr="00044710">
              <w:rPr>
                <w:b/>
                <w:bCs/>
                <w:szCs w:val="20"/>
              </w:rPr>
              <w:t>Percent excluded</w:t>
            </w:r>
          </w:p>
        </w:tc>
      </w:tr>
      <w:tr w:rsidR="00044710" w:rsidRPr="00044710" w:rsidTr="00D30485">
        <w:trPr>
          <w:trHeight w:val="269"/>
        </w:trPr>
        <w:tc>
          <w:tcPr>
            <w:tcW w:w="805" w:type="dxa"/>
          </w:tcPr>
          <w:p w:rsidR="00044710" w:rsidRPr="00044710" w:rsidRDefault="00044710" w:rsidP="00D30485">
            <w:pPr>
              <w:spacing w:after="120"/>
              <w:rPr>
                <w:szCs w:val="20"/>
              </w:rPr>
            </w:pPr>
            <w:r w:rsidRPr="00044710">
              <w:rPr>
                <w:szCs w:val="20"/>
              </w:rPr>
              <w:t xml:space="preserve">2009 </w:t>
            </w:r>
          </w:p>
        </w:tc>
        <w:tc>
          <w:tcPr>
            <w:tcW w:w="2480" w:type="dxa"/>
          </w:tcPr>
          <w:p w:rsidR="00044710" w:rsidRPr="00044710" w:rsidRDefault="00044710" w:rsidP="00D30485">
            <w:pPr>
              <w:spacing w:after="120"/>
              <w:rPr>
                <w:szCs w:val="20"/>
              </w:rPr>
            </w:pPr>
            <w:r w:rsidRPr="00044710">
              <w:rPr>
                <w:szCs w:val="20"/>
              </w:rPr>
              <w:t xml:space="preserve">5478 </w:t>
            </w:r>
          </w:p>
        </w:tc>
        <w:tc>
          <w:tcPr>
            <w:tcW w:w="2340" w:type="dxa"/>
          </w:tcPr>
          <w:p w:rsidR="00044710" w:rsidRPr="00044710" w:rsidRDefault="00044710" w:rsidP="00D30485">
            <w:pPr>
              <w:spacing w:after="120"/>
              <w:rPr>
                <w:szCs w:val="20"/>
              </w:rPr>
            </w:pPr>
            <w:r w:rsidRPr="00044710">
              <w:rPr>
                <w:szCs w:val="20"/>
              </w:rPr>
              <w:t>4798</w:t>
            </w:r>
          </w:p>
        </w:tc>
        <w:tc>
          <w:tcPr>
            <w:tcW w:w="1710" w:type="dxa"/>
            <w:vAlign w:val="bottom"/>
          </w:tcPr>
          <w:p w:rsidR="00044710" w:rsidRPr="00044710" w:rsidRDefault="00044710" w:rsidP="00D30485">
            <w:pPr>
              <w:spacing w:after="120"/>
              <w:rPr>
                <w:szCs w:val="20"/>
              </w:rPr>
            </w:pPr>
            <w:r w:rsidRPr="00044710">
              <w:rPr>
                <w:rFonts w:cs="Calibri"/>
                <w:szCs w:val="20"/>
              </w:rPr>
              <w:t>12.4%</w:t>
            </w:r>
          </w:p>
        </w:tc>
      </w:tr>
      <w:tr w:rsidR="00044710" w:rsidRPr="00044710" w:rsidTr="00D30485">
        <w:tc>
          <w:tcPr>
            <w:tcW w:w="805" w:type="dxa"/>
          </w:tcPr>
          <w:p w:rsidR="00044710" w:rsidRPr="00044710" w:rsidRDefault="00044710" w:rsidP="00D30485">
            <w:pPr>
              <w:spacing w:after="120"/>
              <w:rPr>
                <w:szCs w:val="20"/>
              </w:rPr>
            </w:pPr>
            <w:r w:rsidRPr="00044710">
              <w:rPr>
                <w:szCs w:val="20"/>
              </w:rPr>
              <w:t xml:space="preserve">2010 </w:t>
            </w:r>
          </w:p>
        </w:tc>
        <w:tc>
          <w:tcPr>
            <w:tcW w:w="2480" w:type="dxa"/>
          </w:tcPr>
          <w:p w:rsidR="00044710" w:rsidRPr="00044710" w:rsidRDefault="00044710" w:rsidP="00D30485">
            <w:pPr>
              <w:spacing w:after="120"/>
              <w:rPr>
                <w:szCs w:val="20"/>
              </w:rPr>
            </w:pPr>
            <w:r w:rsidRPr="00044710">
              <w:rPr>
                <w:szCs w:val="20"/>
              </w:rPr>
              <w:t xml:space="preserve">5655 </w:t>
            </w:r>
          </w:p>
        </w:tc>
        <w:tc>
          <w:tcPr>
            <w:tcW w:w="2340" w:type="dxa"/>
          </w:tcPr>
          <w:p w:rsidR="00044710" w:rsidRPr="00044710" w:rsidRDefault="00044710" w:rsidP="00D30485">
            <w:pPr>
              <w:spacing w:after="120"/>
              <w:rPr>
                <w:szCs w:val="20"/>
              </w:rPr>
            </w:pPr>
            <w:r w:rsidRPr="00044710">
              <w:rPr>
                <w:szCs w:val="20"/>
              </w:rPr>
              <w:t xml:space="preserve">4986 </w:t>
            </w:r>
          </w:p>
        </w:tc>
        <w:tc>
          <w:tcPr>
            <w:tcW w:w="1710" w:type="dxa"/>
            <w:vAlign w:val="bottom"/>
          </w:tcPr>
          <w:p w:rsidR="00044710" w:rsidRPr="00044710" w:rsidRDefault="00044710" w:rsidP="00D30485">
            <w:pPr>
              <w:spacing w:after="120"/>
              <w:rPr>
                <w:szCs w:val="20"/>
              </w:rPr>
            </w:pPr>
            <w:r w:rsidRPr="00044710">
              <w:rPr>
                <w:rFonts w:cs="Calibri"/>
                <w:szCs w:val="20"/>
              </w:rPr>
              <w:t>11.8%</w:t>
            </w:r>
          </w:p>
        </w:tc>
      </w:tr>
      <w:tr w:rsidR="00044710" w:rsidRPr="00044710" w:rsidTr="00D30485">
        <w:tc>
          <w:tcPr>
            <w:tcW w:w="805" w:type="dxa"/>
          </w:tcPr>
          <w:p w:rsidR="00044710" w:rsidRPr="00044710" w:rsidRDefault="00044710" w:rsidP="00D30485">
            <w:pPr>
              <w:spacing w:after="120"/>
              <w:rPr>
                <w:szCs w:val="20"/>
              </w:rPr>
            </w:pPr>
            <w:r w:rsidRPr="00044710">
              <w:rPr>
                <w:szCs w:val="20"/>
              </w:rPr>
              <w:t xml:space="preserve">2011 </w:t>
            </w:r>
          </w:p>
        </w:tc>
        <w:tc>
          <w:tcPr>
            <w:tcW w:w="2480" w:type="dxa"/>
          </w:tcPr>
          <w:p w:rsidR="00044710" w:rsidRPr="00044710" w:rsidRDefault="00044710" w:rsidP="00D30485">
            <w:pPr>
              <w:spacing w:after="120"/>
              <w:rPr>
                <w:szCs w:val="20"/>
              </w:rPr>
            </w:pPr>
            <w:r w:rsidRPr="00044710">
              <w:rPr>
                <w:szCs w:val="20"/>
              </w:rPr>
              <w:t>5793</w:t>
            </w:r>
          </w:p>
        </w:tc>
        <w:tc>
          <w:tcPr>
            <w:tcW w:w="2340" w:type="dxa"/>
          </w:tcPr>
          <w:p w:rsidR="00044710" w:rsidRPr="00044710" w:rsidRDefault="00044710" w:rsidP="00D30485">
            <w:pPr>
              <w:spacing w:after="120"/>
              <w:rPr>
                <w:szCs w:val="20"/>
              </w:rPr>
            </w:pPr>
            <w:r w:rsidRPr="00044710">
              <w:rPr>
                <w:szCs w:val="20"/>
              </w:rPr>
              <w:t xml:space="preserve">5118 </w:t>
            </w:r>
          </w:p>
        </w:tc>
        <w:tc>
          <w:tcPr>
            <w:tcW w:w="1710" w:type="dxa"/>
            <w:vAlign w:val="bottom"/>
          </w:tcPr>
          <w:p w:rsidR="00044710" w:rsidRPr="00044710" w:rsidRDefault="00044710" w:rsidP="00D30485">
            <w:pPr>
              <w:spacing w:after="120"/>
              <w:rPr>
                <w:szCs w:val="20"/>
              </w:rPr>
            </w:pPr>
            <w:r w:rsidRPr="00044710">
              <w:rPr>
                <w:rFonts w:cs="Calibri"/>
                <w:szCs w:val="20"/>
              </w:rPr>
              <w:t>11.7%</w:t>
            </w:r>
          </w:p>
        </w:tc>
      </w:tr>
      <w:tr w:rsidR="00044710" w:rsidRPr="00044710" w:rsidTr="00D30485">
        <w:tc>
          <w:tcPr>
            <w:tcW w:w="805" w:type="dxa"/>
          </w:tcPr>
          <w:p w:rsidR="00044710" w:rsidRPr="00044710" w:rsidRDefault="00044710" w:rsidP="00D30485">
            <w:pPr>
              <w:spacing w:after="120"/>
              <w:rPr>
                <w:szCs w:val="20"/>
              </w:rPr>
            </w:pPr>
            <w:r w:rsidRPr="00044710">
              <w:rPr>
                <w:szCs w:val="20"/>
              </w:rPr>
              <w:t xml:space="preserve">2012 </w:t>
            </w:r>
          </w:p>
        </w:tc>
        <w:tc>
          <w:tcPr>
            <w:tcW w:w="2480" w:type="dxa"/>
          </w:tcPr>
          <w:p w:rsidR="00044710" w:rsidRPr="00044710" w:rsidRDefault="00044710" w:rsidP="00D30485">
            <w:pPr>
              <w:spacing w:after="120"/>
              <w:rPr>
                <w:szCs w:val="20"/>
              </w:rPr>
            </w:pPr>
            <w:r w:rsidRPr="00044710">
              <w:rPr>
                <w:szCs w:val="20"/>
              </w:rPr>
              <w:t xml:space="preserve">5899 </w:t>
            </w:r>
          </w:p>
        </w:tc>
        <w:tc>
          <w:tcPr>
            <w:tcW w:w="2340" w:type="dxa"/>
          </w:tcPr>
          <w:p w:rsidR="00044710" w:rsidRPr="00044710" w:rsidRDefault="00044710" w:rsidP="00D30485">
            <w:pPr>
              <w:spacing w:after="120"/>
              <w:rPr>
                <w:szCs w:val="20"/>
              </w:rPr>
            </w:pPr>
            <w:r w:rsidRPr="00044710">
              <w:rPr>
                <w:szCs w:val="20"/>
              </w:rPr>
              <w:t xml:space="preserve">5279 </w:t>
            </w:r>
          </w:p>
        </w:tc>
        <w:tc>
          <w:tcPr>
            <w:tcW w:w="1710" w:type="dxa"/>
            <w:vAlign w:val="bottom"/>
          </w:tcPr>
          <w:p w:rsidR="00044710" w:rsidRPr="00044710" w:rsidRDefault="00044710" w:rsidP="00D30485">
            <w:pPr>
              <w:spacing w:after="120"/>
              <w:rPr>
                <w:szCs w:val="20"/>
              </w:rPr>
            </w:pPr>
            <w:r w:rsidRPr="00044710">
              <w:rPr>
                <w:rFonts w:cs="Calibri"/>
                <w:szCs w:val="20"/>
              </w:rPr>
              <w:t>10.5%</w:t>
            </w:r>
          </w:p>
        </w:tc>
      </w:tr>
    </w:tbl>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044710">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044710" w:rsidRPr="00044710" w:rsidRDefault="00044710" w:rsidP="008C54A9">
      <w:pPr>
        <w:autoSpaceDE w:val="0"/>
        <w:autoSpaceDN w:val="0"/>
        <w:adjustRightInd w:val="0"/>
        <w:spacing w:after="0" w:line="240" w:lineRule="auto"/>
        <w:rPr>
          <w:rFonts w:cstheme="minorHAnsi"/>
          <w:bCs/>
          <w:sz w:val="24"/>
        </w:rPr>
      </w:pPr>
    </w:p>
    <w:p w:rsidR="00044710" w:rsidRPr="00044710" w:rsidRDefault="00044710" w:rsidP="00044710">
      <w:pPr>
        <w:rPr>
          <w:rFonts w:cs="Arial"/>
          <w:szCs w:val="20"/>
          <w:shd w:val="clear" w:color="auto" w:fill="FFFFFF"/>
        </w:rPr>
      </w:pPr>
      <w:r w:rsidRPr="00044710">
        <w:rPr>
          <w:szCs w:val="20"/>
        </w:rPr>
        <w:t xml:space="preserve">The reliability of the </w:t>
      </w:r>
      <w:proofErr w:type="spellStart"/>
      <w:r w:rsidRPr="00044710">
        <w:rPr>
          <w:szCs w:val="20"/>
        </w:rPr>
        <w:t>STrR</w:t>
      </w:r>
      <w:proofErr w:type="spellEnd"/>
      <w:r w:rsidRPr="00044710">
        <w:rPr>
          <w:szCs w:val="20"/>
        </w:rPr>
        <w:t xml:space="preserve"> was assessed using data among ESRD dialysis patients during 2009-2012. If the measure were a simple average across individuals in the facility, the usual approach for determining measure reliability would be a one-way analysis of variance (ANOVA), in which the between and within facility variation in the measure is determined.</w:t>
      </w:r>
      <w:r w:rsidRPr="00044710">
        <w:rPr>
          <w:szCs w:val="20"/>
          <w:vertAlign w:val="superscript"/>
        </w:rPr>
        <w:t xml:space="preserve"> </w:t>
      </w:r>
      <w:r w:rsidRPr="00044710">
        <w:rPr>
          <w:szCs w:val="20"/>
        </w:rPr>
        <w:t xml:space="preserve">The inter-unit reliability (IUR) measures the proportion of the measure variability that is attributable to the between-facility variance. The </w:t>
      </w:r>
      <w:proofErr w:type="spellStart"/>
      <w:r w:rsidRPr="00044710">
        <w:rPr>
          <w:szCs w:val="20"/>
        </w:rPr>
        <w:t>STrR</w:t>
      </w:r>
      <w:proofErr w:type="spellEnd"/>
      <w:r w:rsidRPr="00044710">
        <w:rPr>
          <w:szCs w:val="20"/>
        </w:rPr>
        <w:t>, however, is not a simple average and we instead estimate the IUR using a bootstrap approach, which uses a resampling scheme to estimate the within facility variation that cannot be directly estimated by A</w:t>
      </w:r>
      <w:r w:rsidRPr="00044710">
        <w:rPr>
          <w:caps/>
          <w:szCs w:val="20"/>
        </w:rPr>
        <w:t>NOVA</w:t>
      </w:r>
      <w:r w:rsidRPr="00044710">
        <w:rPr>
          <w:szCs w:val="20"/>
        </w:rPr>
        <w:t xml:space="preserve">. </w:t>
      </w:r>
      <w:r w:rsidRPr="00044710">
        <w:rPr>
          <w:rFonts w:cs="Arial"/>
          <w:szCs w:val="20"/>
          <w:shd w:val="clear" w:color="auto" w:fill="FFFFFF"/>
        </w:rPr>
        <w:t xml:space="preserve">A small IUR (near 0) reveals that most of the variation of the measures between facilities is driven by random noise, indicating the measure would not be a good characterization of the differences among facilities, whereas a large IUR (near 1) indicates that most of the variation between facilities is due to the real difference between facilities. </w:t>
      </w:r>
    </w:p>
    <w:p w:rsidR="00044710" w:rsidRPr="00044710" w:rsidRDefault="00044710" w:rsidP="00044710">
      <w:pPr>
        <w:rPr>
          <w:rFonts w:cstheme="minorHAnsi"/>
          <w:bCs/>
          <w:szCs w:val="20"/>
        </w:rPr>
      </w:pPr>
      <w:r w:rsidRPr="00044710">
        <w:rPr>
          <w:rFonts w:cstheme="minorHAnsi"/>
          <w:bCs/>
          <w:szCs w:val="20"/>
        </w:rPr>
        <w:t xml:space="preserve">Here we describe our approach to calculating IUR. Let </w:t>
      </w:r>
      <w:r w:rsidRPr="00044710">
        <w:rPr>
          <w:rFonts w:cstheme="minorHAnsi"/>
          <w:bCs/>
          <w:i/>
          <w:szCs w:val="20"/>
        </w:rPr>
        <w:t>T</w:t>
      </w:r>
      <w:r w:rsidRPr="00044710">
        <w:rPr>
          <w:rFonts w:cstheme="minorHAnsi"/>
          <w:bCs/>
          <w:szCs w:val="20"/>
          <w:vertAlign w:val="subscript"/>
        </w:rPr>
        <w:t>1</w:t>
      </w:r>
      <w:r w:rsidRPr="00044710">
        <w:rPr>
          <w:rFonts w:cstheme="minorHAnsi"/>
          <w:bCs/>
          <w:szCs w:val="20"/>
        </w:rPr>
        <w:t>,…</w:t>
      </w:r>
      <w:proofErr w:type="gramStart"/>
      <w:r w:rsidRPr="00044710">
        <w:rPr>
          <w:rFonts w:cstheme="minorHAnsi"/>
          <w:bCs/>
          <w:szCs w:val="20"/>
        </w:rPr>
        <w:t>,</w:t>
      </w:r>
      <w:r w:rsidRPr="00044710">
        <w:rPr>
          <w:rFonts w:cstheme="minorHAnsi"/>
          <w:bCs/>
          <w:i/>
          <w:szCs w:val="20"/>
        </w:rPr>
        <w:t>T</w:t>
      </w:r>
      <w:r w:rsidRPr="00044710">
        <w:rPr>
          <w:rFonts w:cstheme="minorHAnsi"/>
          <w:bCs/>
          <w:i/>
          <w:szCs w:val="20"/>
          <w:vertAlign w:val="subscript"/>
        </w:rPr>
        <w:t>N</w:t>
      </w:r>
      <w:proofErr w:type="gramEnd"/>
      <w:r w:rsidRPr="00044710">
        <w:rPr>
          <w:rFonts w:cstheme="minorHAnsi"/>
          <w:bCs/>
          <w:szCs w:val="20"/>
        </w:rPr>
        <w:t xml:space="preserve"> be the </w:t>
      </w:r>
      <w:proofErr w:type="spellStart"/>
      <w:r w:rsidRPr="00044710">
        <w:rPr>
          <w:rFonts w:cstheme="minorHAnsi"/>
          <w:bCs/>
          <w:szCs w:val="20"/>
        </w:rPr>
        <w:t>STrR</w:t>
      </w:r>
      <w:proofErr w:type="spellEnd"/>
      <w:r w:rsidRPr="00044710">
        <w:rPr>
          <w:rFonts w:cstheme="minorHAnsi"/>
          <w:bCs/>
          <w:szCs w:val="20"/>
        </w:rPr>
        <w:t xml:space="preserve"> for these facilities. Within each facility, select at random and with replacement </w:t>
      </w:r>
      <w:r w:rsidRPr="00044710">
        <w:rPr>
          <w:rFonts w:cstheme="minorHAnsi"/>
          <w:bCs/>
          <w:i/>
          <w:szCs w:val="20"/>
        </w:rPr>
        <w:t>B</w:t>
      </w:r>
      <w:r w:rsidRPr="00044710">
        <w:rPr>
          <w:rFonts w:cstheme="minorHAnsi"/>
          <w:bCs/>
          <w:szCs w:val="20"/>
        </w:rPr>
        <w:t xml:space="preserve"> = 100 bootstrap samples. That is, if the </w:t>
      </w:r>
      <w:proofErr w:type="spellStart"/>
      <w:r w:rsidRPr="00044710">
        <w:rPr>
          <w:rFonts w:cstheme="minorHAnsi"/>
          <w:bCs/>
          <w:i/>
          <w:szCs w:val="20"/>
        </w:rPr>
        <w:t>i</w:t>
      </w:r>
      <w:r w:rsidRPr="00044710">
        <w:rPr>
          <w:rFonts w:cstheme="minorHAnsi"/>
          <w:bCs/>
          <w:szCs w:val="20"/>
        </w:rPr>
        <w:t>th</w:t>
      </w:r>
      <w:proofErr w:type="spellEnd"/>
      <w:r w:rsidRPr="00044710">
        <w:rPr>
          <w:rFonts w:cstheme="minorHAnsi"/>
          <w:bCs/>
          <w:szCs w:val="20"/>
        </w:rPr>
        <w:t xml:space="preserve"> facility has </w:t>
      </w:r>
      <w:proofErr w:type="spellStart"/>
      <w:proofErr w:type="gramStart"/>
      <w:r w:rsidRPr="00044710">
        <w:rPr>
          <w:rFonts w:cstheme="minorHAnsi"/>
          <w:bCs/>
          <w:i/>
          <w:szCs w:val="20"/>
        </w:rPr>
        <w:t>n</w:t>
      </w:r>
      <w:r w:rsidRPr="00044710">
        <w:rPr>
          <w:rFonts w:cstheme="minorHAnsi"/>
          <w:bCs/>
          <w:i/>
          <w:szCs w:val="20"/>
          <w:vertAlign w:val="subscript"/>
        </w:rPr>
        <w:t>i</w:t>
      </w:r>
      <w:proofErr w:type="spellEnd"/>
      <w:proofErr w:type="gramEnd"/>
      <w:r w:rsidRPr="00044710">
        <w:rPr>
          <w:rFonts w:cstheme="minorHAnsi"/>
          <w:bCs/>
          <w:szCs w:val="20"/>
        </w:rPr>
        <w:t xml:space="preserve"> subjects, randomly draw with replacement </w:t>
      </w:r>
      <w:proofErr w:type="spellStart"/>
      <w:r w:rsidRPr="00044710">
        <w:rPr>
          <w:rFonts w:cstheme="minorHAnsi"/>
          <w:bCs/>
          <w:i/>
          <w:szCs w:val="20"/>
        </w:rPr>
        <w:t>n</w:t>
      </w:r>
      <w:r w:rsidRPr="00044710">
        <w:rPr>
          <w:rFonts w:cstheme="minorHAnsi"/>
          <w:bCs/>
          <w:i/>
          <w:szCs w:val="20"/>
          <w:vertAlign w:val="subscript"/>
        </w:rPr>
        <w:t>i</w:t>
      </w:r>
      <w:proofErr w:type="spellEnd"/>
      <w:r w:rsidRPr="00044710">
        <w:rPr>
          <w:rFonts w:cstheme="minorHAnsi"/>
          <w:bCs/>
          <w:szCs w:val="20"/>
        </w:rPr>
        <w:t xml:space="preserve"> subjects from those in the same facility, find their corresponding </w:t>
      </w:r>
      <w:proofErr w:type="spellStart"/>
      <w:r w:rsidRPr="00044710">
        <w:rPr>
          <w:rFonts w:cstheme="minorHAnsi"/>
          <w:bCs/>
          <w:szCs w:val="20"/>
        </w:rPr>
        <w:t>STrR</w:t>
      </w:r>
      <w:r w:rsidRPr="00044710">
        <w:rPr>
          <w:rFonts w:cstheme="minorHAnsi"/>
          <w:bCs/>
          <w:i/>
          <w:szCs w:val="20"/>
          <w:vertAlign w:val="subscript"/>
        </w:rPr>
        <w:t>i</w:t>
      </w:r>
      <w:proofErr w:type="spellEnd"/>
      <w:r w:rsidRPr="00044710">
        <w:rPr>
          <w:rFonts w:cstheme="minorHAnsi"/>
          <w:bCs/>
          <w:szCs w:val="20"/>
        </w:rPr>
        <w:t xml:space="preserve"> and repeat the process 100 times. Thus, for the </w:t>
      </w:r>
      <w:proofErr w:type="spellStart"/>
      <w:r w:rsidRPr="00044710">
        <w:rPr>
          <w:rFonts w:cstheme="minorHAnsi"/>
          <w:bCs/>
          <w:i/>
          <w:szCs w:val="20"/>
        </w:rPr>
        <w:t>i</w:t>
      </w:r>
      <w:r w:rsidRPr="00044710">
        <w:rPr>
          <w:rFonts w:cstheme="minorHAnsi"/>
          <w:bCs/>
          <w:szCs w:val="20"/>
        </w:rPr>
        <w:t>th</w:t>
      </w:r>
      <w:proofErr w:type="spellEnd"/>
      <w:r w:rsidRPr="00044710">
        <w:rPr>
          <w:rFonts w:cstheme="minorHAnsi"/>
          <w:bCs/>
          <w:szCs w:val="20"/>
        </w:rPr>
        <w:t xml:space="preserve"> facility, we have bootstrapped </w:t>
      </w:r>
      <w:proofErr w:type="spellStart"/>
      <w:r w:rsidRPr="00044710">
        <w:rPr>
          <w:rFonts w:cstheme="minorHAnsi"/>
          <w:bCs/>
          <w:szCs w:val="20"/>
        </w:rPr>
        <w:t>STrRs</w:t>
      </w:r>
      <w:proofErr w:type="spellEnd"/>
      <w:r w:rsidRPr="00044710">
        <w:rPr>
          <w:rFonts w:cstheme="minorHAnsi"/>
          <w:bCs/>
          <w:szCs w:val="20"/>
        </w:rPr>
        <w:t xml:space="preserve"> </w:t>
      </w:r>
      <w:proofErr w:type="gramStart"/>
      <w:r w:rsidRPr="00044710">
        <w:rPr>
          <w:rFonts w:cstheme="minorHAnsi"/>
          <w:bCs/>
          <w:szCs w:val="20"/>
        </w:rPr>
        <w:t xml:space="preserve">of </w:t>
      </w:r>
      <w:proofErr w:type="gramEnd"/>
      <m:oMath>
        <m:sSubSup>
          <m:sSubSupPr>
            <m:ctrlPr>
              <w:rPr>
                <w:rFonts w:ascii="Cambria Math" w:hAnsi="Cambria Math" w:cs="Cambria Math"/>
                <w:bCs/>
                <w:i/>
                <w:szCs w:val="20"/>
              </w:rPr>
            </m:ctrlPr>
          </m:sSubSupPr>
          <m:e>
            <m:r>
              <w:rPr>
                <w:rFonts w:ascii="Cambria Math" w:hAnsi="Cambria Math" w:cs="Cambria Math"/>
                <w:szCs w:val="20"/>
              </w:rPr>
              <m:t>T</m:t>
            </m:r>
          </m:e>
          <m:sub>
            <m:r>
              <w:rPr>
                <w:rFonts w:ascii="Cambria Math" w:hAnsi="Cambria Math" w:cs="Cambria Math"/>
                <w:szCs w:val="20"/>
              </w:rPr>
              <m:t>i1</m:t>
            </m:r>
          </m:sub>
          <m:sup>
            <m:r>
              <w:rPr>
                <w:rFonts w:ascii="Cambria Math" w:hAnsi="Cambria Math" w:cs="Cambria Math"/>
                <w:szCs w:val="20"/>
              </w:rPr>
              <m:t>*</m:t>
            </m:r>
          </m:sup>
        </m:sSubSup>
      </m:oMath>
      <w:r w:rsidRPr="00044710">
        <w:rPr>
          <w:rFonts w:cstheme="minorHAnsi"/>
          <w:bCs/>
          <w:szCs w:val="20"/>
        </w:rPr>
        <w:t>,…,</w:t>
      </w:r>
      <w:r w:rsidRPr="00044710">
        <w:rPr>
          <w:rFonts w:cstheme="minorHAnsi"/>
          <w:bCs/>
          <w:i/>
          <w:szCs w:val="20"/>
        </w:rPr>
        <w:t xml:space="preserve"> </w:t>
      </w:r>
      <m:oMath>
        <m:sSubSup>
          <m:sSubSupPr>
            <m:ctrlPr>
              <w:rPr>
                <w:rFonts w:ascii="Cambria Math" w:hAnsi="Cambria Math" w:cs="Cambria Math"/>
                <w:bCs/>
                <w:i/>
                <w:szCs w:val="20"/>
              </w:rPr>
            </m:ctrlPr>
          </m:sSubSupPr>
          <m:e>
            <m:r>
              <w:rPr>
                <w:rFonts w:ascii="Cambria Math" w:hAnsi="Cambria Math" w:cs="Cambria Math"/>
                <w:szCs w:val="20"/>
              </w:rPr>
              <m:t>T</m:t>
            </m:r>
          </m:e>
          <m:sub>
            <m:r>
              <w:rPr>
                <w:rFonts w:ascii="Cambria Math" w:hAnsi="Cambria Math" w:cs="Cambria Math"/>
                <w:szCs w:val="20"/>
              </w:rPr>
              <m:t>i100</m:t>
            </m:r>
          </m:sub>
          <m:sup>
            <m:r>
              <w:rPr>
                <w:rFonts w:ascii="Cambria Math" w:hAnsi="Cambria Math" w:cs="Cambria Math"/>
                <w:szCs w:val="20"/>
              </w:rPr>
              <m:t>*</m:t>
            </m:r>
          </m:sup>
        </m:sSubSup>
        <m:r>
          <w:rPr>
            <w:rFonts w:ascii="Cambria Math" w:hAnsi="Cambria Math" w:cs="Cambria Math"/>
            <w:szCs w:val="20"/>
          </w:rPr>
          <m:t>.</m:t>
        </m:r>
      </m:oMath>
      <w:r w:rsidRPr="00044710">
        <w:rPr>
          <w:rFonts w:cstheme="minorHAnsi"/>
          <w:bCs/>
          <w:szCs w:val="20"/>
        </w:rPr>
        <w:t xml:space="preserve"> Let </w:t>
      </w:r>
      <m:oMath>
        <m:sSubSup>
          <m:sSubSupPr>
            <m:ctrlPr>
              <w:rPr>
                <w:rFonts w:ascii="Cambria Math" w:hAnsi="Cambria Math" w:cs="Cambria Math"/>
                <w:bCs/>
                <w:i/>
                <w:szCs w:val="20"/>
              </w:rPr>
            </m:ctrlPr>
          </m:sSubSupPr>
          <m:e>
            <m:r>
              <w:rPr>
                <w:rFonts w:ascii="Cambria Math" w:hAnsi="Cambria Math" w:cs="Cambria Math"/>
                <w:szCs w:val="20"/>
              </w:rPr>
              <m:t>S</m:t>
            </m:r>
          </m:e>
          <m:sub>
            <m:r>
              <w:rPr>
                <w:rFonts w:ascii="Cambria Math" w:hAnsi="Cambria Math" w:cs="Cambria Math"/>
                <w:szCs w:val="20"/>
              </w:rPr>
              <m:t>i</m:t>
            </m:r>
          </m:sub>
          <m:sup>
            <m:r>
              <w:rPr>
                <w:rFonts w:ascii="Cambria Math" w:hAnsi="Cambria Math" w:cs="Cambria Math"/>
                <w:szCs w:val="20"/>
              </w:rPr>
              <m:t>*</m:t>
            </m:r>
          </m:sup>
        </m:sSubSup>
      </m:oMath>
      <w:r w:rsidRPr="00044710">
        <w:rPr>
          <w:rFonts w:cstheme="minorHAnsi"/>
          <w:bCs/>
          <w:szCs w:val="20"/>
        </w:rPr>
        <w:t xml:space="preserve"> be the sample variance of this bootstrap sample.  From this it can be seen that </w:t>
      </w:r>
    </w:p>
    <w:p w:rsidR="00044710" w:rsidRPr="00044710" w:rsidRDefault="00044710" w:rsidP="00044710">
      <w:pPr>
        <w:ind w:left="1080"/>
        <w:rPr>
          <w:rFonts w:cstheme="minorHAnsi"/>
          <w:bCs/>
          <w:szCs w:val="20"/>
        </w:rPr>
      </w:pPr>
    </w:p>
    <w:p w:rsidR="00044710" w:rsidRPr="00044710" w:rsidRDefault="00383473" w:rsidP="00044710">
      <w:pPr>
        <w:rPr>
          <w:rFonts w:cstheme="minorHAnsi"/>
          <w:bCs/>
          <w:szCs w:val="20"/>
        </w:rPr>
      </w:pPr>
      <m:oMathPara>
        <m:oMath>
          <m:sSubSup>
            <m:sSubSupPr>
              <m:ctrlPr>
                <w:rPr>
                  <w:rFonts w:ascii="Cambria Math" w:hAnsi="Cambria Math" w:cs="Cambria Math"/>
                  <w:bCs/>
                  <w:i/>
                  <w:szCs w:val="20"/>
                </w:rPr>
              </m:ctrlPr>
            </m:sSubSupPr>
            <m:e>
              <m:r>
                <w:rPr>
                  <w:rFonts w:ascii="Cambria Math" w:hAnsi="Cambria Math" w:cs="Cambria Math"/>
                  <w:szCs w:val="20"/>
                </w:rPr>
                <m:t>s</m:t>
              </m:r>
            </m:e>
            <m:sub>
              <m:r>
                <w:rPr>
                  <w:rFonts w:ascii="Cambria Math" w:hAnsi="Cambria Math" w:cs="Cambria Math"/>
                  <w:szCs w:val="20"/>
                </w:rPr>
                <m:t>t, w</m:t>
              </m:r>
            </m:sub>
            <m:sup>
              <m:r>
                <w:rPr>
                  <w:rFonts w:ascii="Cambria Math" w:hAnsi="Cambria Math" w:cs="Cambria Math"/>
                  <w:szCs w:val="20"/>
                </w:rPr>
                <m:t>2</m:t>
              </m:r>
            </m:sup>
          </m:sSubSup>
          <m:r>
            <m:rPr>
              <m:sty m:val="p"/>
            </m:rPr>
            <w:rPr>
              <w:rFonts w:ascii="Cambria Math" w:hAnsi="Cambria Math" w:cs="Cambria Math"/>
              <w:szCs w:val="20"/>
            </w:rPr>
            <m:t>=</m:t>
          </m:r>
          <m:f>
            <m:fPr>
              <m:ctrlPr>
                <w:rPr>
                  <w:rFonts w:ascii="Cambria Math" w:hAnsi="Cambria Math" w:cstheme="minorHAnsi"/>
                  <w:bCs/>
                  <w:szCs w:val="20"/>
                </w:rPr>
              </m:ctrlPr>
            </m:fPr>
            <m:num>
              <m:nary>
                <m:naryPr>
                  <m:chr m:val="∑"/>
                  <m:limLoc m:val="subSup"/>
                  <m:ctrlPr>
                    <w:rPr>
                      <w:rFonts w:ascii="Cambria Math" w:hAnsi="Cambria Math" w:cstheme="minorHAnsi"/>
                      <w:bCs/>
                      <w:i/>
                      <w:szCs w:val="20"/>
                    </w:rPr>
                  </m:ctrlPr>
                </m:naryPr>
                <m:sub>
                  <m:r>
                    <w:rPr>
                      <w:rFonts w:ascii="Cambria Math" w:hAnsi="Cambria Math" w:cstheme="minorHAnsi"/>
                      <w:szCs w:val="20"/>
                    </w:rPr>
                    <m:t>i</m:t>
                  </m:r>
                  <m:r>
                    <m:rPr>
                      <m:sty m:val="p"/>
                    </m:rPr>
                    <w:rPr>
                      <w:rFonts w:ascii="Cambria Math" w:hAnsi="Cambria Math" w:cstheme="minorHAnsi"/>
                      <w:szCs w:val="20"/>
                    </w:rPr>
                    <m:t>=1</m:t>
                  </m:r>
                </m:sub>
                <m:sup>
                  <m:r>
                    <w:rPr>
                      <w:rFonts w:ascii="Cambria Math" w:hAnsi="Cambria Math" w:cstheme="minorHAnsi"/>
                      <w:szCs w:val="20"/>
                    </w:rPr>
                    <m:t>N</m:t>
                  </m:r>
                </m:sup>
                <m:e>
                  <m:r>
                    <w:rPr>
                      <w:rFonts w:ascii="Cambria Math" w:hAnsi="Cambria Math" w:cstheme="minorHAnsi"/>
                      <w:szCs w:val="20"/>
                    </w:rPr>
                    <m:t>[</m:t>
                  </m:r>
                  <m:d>
                    <m:dPr>
                      <m:ctrlPr>
                        <w:rPr>
                          <w:rFonts w:ascii="Cambria Math" w:hAnsi="Cambria Math" w:cstheme="minorHAnsi"/>
                          <w:bCs/>
                          <w:i/>
                          <w:szCs w:val="20"/>
                        </w:rPr>
                      </m:ctrlPr>
                    </m:dPr>
                    <m:e>
                      <m:sSub>
                        <m:sSubPr>
                          <m:ctrlPr>
                            <w:rPr>
                              <w:rFonts w:ascii="Cambria Math" w:hAnsi="Cambria Math" w:cstheme="minorHAnsi"/>
                              <w:bCs/>
                              <w:i/>
                              <w:szCs w:val="20"/>
                            </w:rPr>
                          </m:ctrlPr>
                        </m:sSubPr>
                        <m:e>
                          <m:r>
                            <w:rPr>
                              <w:rFonts w:ascii="Cambria Math" w:hAnsi="Cambria Math" w:cstheme="minorHAnsi"/>
                              <w:szCs w:val="20"/>
                            </w:rPr>
                            <m:t>n</m:t>
                          </m:r>
                        </m:e>
                        <m:sub>
                          <m:r>
                            <w:rPr>
                              <w:rFonts w:ascii="Cambria Math" w:hAnsi="Cambria Math" w:cstheme="minorHAnsi"/>
                              <w:szCs w:val="20"/>
                            </w:rPr>
                            <m:t>i</m:t>
                          </m:r>
                        </m:sub>
                      </m:sSub>
                      <m:r>
                        <w:rPr>
                          <w:rFonts w:ascii="Cambria Math" w:hAnsi="Cambria Math" w:cstheme="minorHAnsi"/>
                          <w:szCs w:val="20"/>
                        </w:rPr>
                        <m:t>-1</m:t>
                      </m:r>
                    </m:e>
                  </m:d>
                  <m:sSubSup>
                    <m:sSubSupPr>
                      <m:ctrlPr>
                        <w:rPr>
                          <w:rFonts w:ascii="Cambria Math" w:hAnsi="Cambria Math" w:cstheme="minorHAnsi"/>
                          <w:bCs/>
                          <w:i/>
                          <w:szCs w:val="20"/>
                        </w:rPr>
                      </m:ctrlPr>
                    </m:sSubSupPr>
                    <m:e>
                      <m:r>
                        <w:rPr>
                          <w:rFonts w:ascii="Cambria Math" w:hAnsi="Cambria Math" w:cstheme="minorHAnsi"/>
                          <w:szCs w:val="20"/>
                        </w:rPr>
                        <m:t>S</m:t>
                      </m:r>
                    </m:e>
                    <m:sub>
                      <m:r>
                        <w:rPr>
                          <w:rFonts w:ascii="Cambria Math" w:hAnsi="Cambria Math" w:cstheme="minorHAnsi"/>
                          <w:szCs w:val="20"/>
                        </w:rPr>
                        <m:t>i</m:t>
                      </m:r>
                    </m:sub>
                    <m:sup>
                      <m:r>
                        <w:rPr>
                          <w:rFonts w:ascii="Cambria Math" w:hAnsi="Cambria Math" w:cstheme="minorHAnsi"/>
                          <w:szCs w:val="20"/>
                        </w:rPr>
                        <m:t>*2</m:t>
                      </m:r>
                    </m:sup>
                  </m:sSubSup>
                  <m:r>
                    <w:rPr>
                      <w:rFonts w:ascii="Cambria Math" w:hAnsi="Cambria Math" w:cstheme="minorHAnsi"/>
                      <w:szCs w:val="20"/>
                    </w:rPr>
                    <m:t>]</m:t>
                  </m:r>
                </m:e>
              </m:nary>
            </m:num>
            <m:den>
              <m:nary>
                <m:naryPr>
                  <m:chr m:val="∑"/>
                  <m:limLoc m:val="subSup"/>
                  <m:ctrlPr>
                    <w:rPr>
                      <w:rFonts w:ascii="Cambria Math" w:hAnsi="Cambria Math" w:cstheme="minorHAnsi"/>
                      <w:bCs/>
                      <w:i/>
                      <w:szCs w:val="20"/>
                    </w:rPr>
                  </m:ctrlPr>
                </m:naryPr>
                <m:sub>
                  <m:r>
                    <w:rPr>
                      <w:rFonts w:ascii="Cambria Math" w:hAnsi="Cambria Math" w:cstheme="minorHAnsi"/>
                      <w:szCs w:val="20"/>
                    </w:rPr>
                    <m:t>i</m:t>
                  </m:r>
                  <m:r>
                    <m:rPr>
                      <m:sty m:val="p"/>
                    </m:rPr>
                    <w:rPr>
                      <w:rFonts w:ascii="Cambria Math" w:hAnsi="Cambria Math" w:cstheme="minorHAnsi"/>
                      <w:szCs w:val="20"/>
                    </w:rPr>
                    <m:t>=1</m:t>
                  </m:r>
                </m:sub>
                <m:sup>
                  <m:r>
                    <w:rPr>
                      <w:rFonts w:ascii="Cambria Math" w:hAnsi="Cambria Math" w:cstheme="minorHAnsi"/>
                      <w:szCs w:val="20"/>
                    </w:rPr>
                    <m:t>N</m:t>
                  </m:r>
                </m:sup>
                <m:e>
                  <m:r>
                    <w:rPr>
                      <w:rFonts w:ascii="Cambria Math" w:hAnsi="Cambria Math" w:cstheme="minorHAnsi"/>
                      <w:szCs w:val="20"/>
                    </w:rPr>
                    <m:t>(</m:t>
                  </m:r>
                  <m:sSub>
                    <m:sSubPr>
                      <m:ctrlPr>
                        <w:rPr>
                          <w:rFonts w:ascii="Cambria Math" w:hAnsi="Cambria Math" w:cstheme="minorHAnsi"/>
                          <w:bCs/>
                          <w:i/>
                          <w:szCs w:val="20"/>
                        </w:rPr>
                      </m:ctrlPr>
                    </m:sSubPr>
                    <m:e>
                      <m:r>
                        <w:rPr>
                          <w:rFonts w:ascii="Cambria Math" w:hAnsi="Cambria Math" w:cstheme="minorHAnsi"/>
                          <w:szCs w:val="20"/>
                        </w:rPr>
                        <m:t>n</m:t>
                      </m:r>
                    </m:e>
                    <m:sub>
                      <m:r>
                        <w:rPr>
                          <w:rFonts w:ascii="Cambria Math" w:hAnsi="Cambria Math" w:cstheme="minorHAnsi"/>
                          <w:szCs w:val="20"/>
                        </w:rPr>
                        <m:t>i</m:t>
                      </m:r>
                    </m:sub>
                  </m:sSub>
                  <m:r>
                    <w:rPr>
                      <w:rFonts w:ascii="Cambria Math" w:hAnsi="Cambria Math" w:cstheme="minorHAnsi"/>
                      <w:szCs w:val="20"/>
                    </w:rPr>
                    <m:t>-1)</m:t>
                  </m:r>
                </m:e>
              </m:nary>
            </m:den>
          </m:f>
        </m:oMath>
      </m:oMathPara>
    </w:p>
    <w:p w:rsidR="00044710" w:rsidRPr="00044710" w:rsidRDefault="00044710" w:rsidP="00044710">
      <w:pPr>
        <w:ind w:left="1080"/>
        <w:rPr>
          <w:rFonts w:cstheme="minorHAnsi"/>
          <w:bCs/>
          <w:szCs w:val="20"/>
        </w:rPr>
      </w:pPr>
    </w:p>
    <w:p w:rsidR="00044710" w:rsidRPr="00044710" w:rsidRDefault="00044710" w:rsidP="00044710">
      <w:pPr>
        <w:rPr>
          <w:rFonts w:cstheme="minorHAnsi"/>
          <w:bCs/>
          <w:szCs w:val="20"/>
        </w:rPr>
      </w:pPr>
      <w:proofErr w:type="gramStart"/>
      <w:r w:rsidRPr="00044710">
        <w:rPr>
          <w:rFonts w:cstheme="minorHAnsi"/>
          <w:bCs/>
          <w:szCs w:val="20"/>
        </w:rPr>
        <w:t>is</w:t>
      </w:r>
      <w:proofErr w:type="gramEnd"/>
      <w:r w:rsidRPr="00044710">
        <w:rPr>
          <w:rFonts w:cstheme="minorHAnsi"/>
          <w:bCs/>
          <w:szCs w:val="20"/>
        </w:rPr>
        <w:t xml:space="preserve"> a bootstrap estimate of the within-facility variance in the </w:t>
      </w:r>
      <w:proofErr w:type="spellStart"/>
      <w:r w:rsidRPr="00044710">
        <w:rPr>
          <w:rFonts w:cstheme="minorHAnsi"/>
          <w:bCs/>
          <w:szCs w:val="20"/>
        </w:rPr>
        <w:t>STrR</w:t>
      </w:r>
      <w:proofErr w:type="spellEnd"/>
      <w:r w:rsidRPr="00044710">
        <w:rPr>
          <w:rFonts w:cstheme="minorHAnsi"/>
          <w:bCs/>
          <w:szCs w:val="20"/>
        </w:rPr>
        <w:t xml:space="preserve">, namely, </w:t>
      </w:r>
      <m:oMath>
        <m:sSubSup>
          <m:sSubSupPr>
            <m:ctrlPr>
              <w:rPr>
                <w:rFonts w:ascii="Cambria Math" w:hAnsi="Cambria Math" w:cs="Cambria Math"/>
                <w:bCs/>
                <w:i/>
                <w:szCs w:val="20"/>
              </w:rPr>
            </m:ctrlPr>
          </m:sSubSupPr>
          <m:e>
            <m:r>
              <w:rPr>
                <w:rFonts w:ascii="Cambria Math" w:hAnsi="Cambria Math" w:cs="Cambria Math"/>
                <w:szCs w:val="20"/>
              </w:rPr>
              <m:t>σ</m:t>
            </m:r>
          </m:e>
          <m:sub>
            <m:r>
              <w:rPr>
                <w:rFonts w:ascii="Cambria Math" w:hAnsi="Cambria Math" w:cs="Cambria Math"/>
                <w:szCs w:val="20"/>
              </w:rPr>
              <m:t>t, w</m:t>
            </m:r>
          </m:sub>
          <m:sup>
            <m:r>
              <w:rPr>
                <w:rFonts w:ascii="Cambria Math" w:hAnsi="Cambria Math" w:cs="Cambria Math"/>
                <w:szCs w:val="20"/>
              </w:rPr>
              <m:t>2</m:t>
            </m:r>
          </m:sup>
        </m:sSubSup>
      </m:oMath>
      <w:r w:rsidRPr="00044710">
        <w:rPr>
          <w:rFonts w:cstheme="minorHAnsi"/>
          <w:bCs/>
          <w:szCs w:val="20"/>
        </w:rPr>
        <w:t xml:space="preserve">. Calling on formulas from the one way analysis of variance, an estimate of the overall variance of </w:t>
      </w:r>
      <w:proofErr w:type="spellStart"/>
      <w:r w:rsidRPr="00044710">
        <w:rPr>
          <w:rFonts w:cstheme="minorHAnsi"/>
          <w:bCs/>
          <w:i/>
          <w:szCs w:val="20"/>
        </w:rPr>
        <w:t>T</w:t>
      </w:r>
      <w:r w:rsidRPr="00044710">
        <w:rPr>
          <w:rFonts w:cstheme="minorHAnsi"/>
          <w:bCs/>
          <w:szCs w:val="20"/>
          <w:vertAlign w:val="subscript"/>
        </w:rPr>
        <w:t>i</w:t>
      </w:r>
      <w:proofErr w:type="spellEnd"/>
      <w:r w:rsidRPr="00044710">
        <w:rPr>
          <w:rFonts w:cstheme="minorHAnsi"/>
          <w:bCs/>
          <w:szCs w:val="20"/>
          <w:vertAlign w:val="subscript"/>
        </w:rPr>
        <w:t xml:space="preserve"> </w:t>
      </w:r>
      <w:r w:rsidRPr="00044710">
        <w:rPr>
          <w:rFonts w:cstheme="minorHAnsi"/>
          <w:bCs/>
          <w:szCs w:val="20"/>
        </w:rPr>
        <w:t>is</w:t>
      </w:r>
    </w:p>
    <w:p w:rsidR="00044710" w:rsidRPr="00044710" w:rsidRDefault="00383473" w:rsidP="00044710">
      <w:pPr>
        <w:rPr>
          <w:rFonts w:cstheme="minorHAnsi"/>
          <w:bCs/>
          <w:szCs w:val="20"/>
        </w:rPr>
      </w:pPr>
      <m:oMathPara>
        <m:oMath>
          <m:sSubSup>
            <m:sSubSupPr>
              <m:ctrlPr>
                <w:rPr>
                  <w:rFonts w:ascii="Cambria Math" w:hAnsi="Cambria Math" w:cs="Cambria Math"/>
                  <w:bCs/>
                  <w:i/>
                  <w:szCs w:val="20"/>
                </w:rPr>
              </m:ctrlPr>
            </m:sSubSupPr>
            <m:e>
              <m:r>
                <w:rPr>
                  <w:rFonts w:ascii="Cambria Math" w:hAnsi="Cambria Math" w:cs="Cambria Math"/>
                  <w:szCs w:val="20"/>
                </w:rPr>
                <m:t>s</m:t>
              </m:r>
            </m:e>
            <m:sub>
              <m:r>
                <w:rPr>
                  <w:rFonts w:ascii="Cambria Math" w:hAnsi="Cambria Math" w:cs="Cambria Math"/>
                  <w:szCs w:val="20"/>
                </w:rPr>
                <m:t>t</m:t>
              </m:r>
            </m:sub>
            <m:sup>
              <m:r>
                <w:rPr>
                  <w:rFonts w:ascii="Cambria Math" w:hAnsi="Cambria Math" w:cs="Cambria Math"/>
                  <w:szCs w:val="20"/>
                </w:rPr>
                <m:t>2</m:t>
              </m:r>
            </m:sup>
          </m:sSubSup>
          <m:r>
            <m:rPr>
              <m:sty m:val="p"/>
            </m:rPr>
            <w:rPr>
              <w:rFonts w:ascii="Cambria Math" w:hAnsi="Cambria Math" w:cs="Cambria Math"/>
              <w:szCs w:val="20"/>
            </w:rPr>
            <m:t>=</m:t>
          </m:r>
          <m:f>
            <m:fPr>
              <m:ctrlPr>
                <w:rPr>
                  <w:rFonts w:ascii="Cambria Math" w:hAnsi="Cambria Math" w:cs="Cambria Math"/>
                  <w:bCs/>
                  <w:szCs w:val="20"/>
                </w:rPr>
              </m:ctrlPr>
            </m:fPr>
            <m:num>
              <m:r>
                <w:rPr>
                  <w:rFonts w:ascii="Cambria Math" w:hAnsi="Cambria Math" w:cs="Cambria Math"/>
                  <w:szCs w:val="20"/>
                </w:rPr>
                <m:t>1</m:t>
              </m:r>
            </m:num>
            <m:den>
              <m:r>
                <w:rPr>
                  <w:rFonts w:ascii="Cambria Math" w:hAnsi="Cambria Math"/>
                  <w:szCs w:val="20"/>
                </w:rPr>
                <m:t>n'(N-1)</m:t>
              </m:r>
            </m:den>
          </m:f>
          <m:r>
            <w:rPr>
              <w:rFonts w:ascii="Cambria Math" w:hAnsi="Cambria Math" w:cs="Cambria Math"/>
              <w:szCs w:val="20"/>
            </w:rPr>
            <m:t xml:space="preserve"> </m:t>
          </m:r>
          <m:nary>
            <m:naryPr>
              <m:chr m:val="∑"/>
              <m:limLoc m:val="undOvr"/>
              <m:ctrlPr>
                <w:rPr>
                  <w:rFonts w:ascii="Cambria Math" w:hAnsi="Cambria Math" w:cs="Cambria Math"/>
                  <w:bCs/>
                  <w:i/>
                  <w:szCs w:val="20"/>
                </w:rPr>
              </m:ctrlPr>
            </m:naryPr>
            <m:sub>
              <m:r>
                <w:rPr>
                  <w:rFonts w:ascii="Cambria Math" w:hAnsi="Cambria Math" w:cs="Cambria Math"/>
                  <w:szCs w:val="20"/>
                </w:rPr>
                <m:t>i</m:t>
              </m:r>
              <m:r>
                <m:rPr>
                  <m:sty m:val="p"/>
                </m:rPr>
                <w:rPr>
                  <w:rFonts w:ascii="Cambria Math" w:hAnsi="Cambria Math" w:cs="Cambria Math"/>
                  <w:szCs w:val="20"/>
                </w:rPr>
                <m:t>=1</m:t>
              </m:r>
            </m:sub>
            <m:sup>
              <m:r>
                <w:rPr>
                  <w:rFonts w:ascii="Cambria Math" w:hAnsi="Cambria Math" w:cs="Cambria Math"/>
                  <w:szCs w:val="20"/>
                </w:rPr>
                <m:t>N</m:t>
              </m:r>
            </m:sup>
            <m:e>
              <m:sSup>
                <m:sSupPr>
                  <m:ctrlPr>
                    <w:rPr>
                      <w:rFonts w:ascii="Cambria Math" w:hAnsi="Cambria Math" w:cs="Cambria Math"/>
                      <w:bCs/>
                      <w:i/>
                      <w:szCs w:val="20"/>
                    </w:rPr>
                  </m:ctrlPr>
                </m:sSupPr>
                <m:e>
                  <m:sSub>
                    <m:sSubPr>
                      <m:ctrlPr>
                        <w:rPr>
                          <w:rFonts w:ascii="Cambria Math" w:hAnsi="Cambria Math" w:cs="Cambria Math"/>
                          <w:bCs/>
                          <w:i/>
                          <w:szCs w:val="20"/>
                        </w:rPr>
                      </m:ctrlPr>
                    </m:sSubPr>
                    <m:e>
                      <m:r>
                        <w:rPr>
                          <w:rFonts w:ascii="Cambria Math" w:hAnsi="Cambria Math" w:cs="Cambria Math"/>
                          <w:szCs w:val="20"/>
                        </w:rPr>
                        <m:t>n</m:t>
                      </m:r>
                    </m:e>
                    <m:sub>
                      <m:r>
                        <w:rPr>
                          <w:rFonts w:ascii="Cambria Math" w:hAnsi="Cambria Math" w:cs="Cambria Math"/>
                          <w:szCs w:val="20"/>
                        </w:rPr>
                        <m:t>i</m:t>
                      </m:r>
                    </m:sub>
                  </m:sSub>
                  <m:r>
                    <w:rPr>
                      <w:rFonts w:ascii="Cambria Math" w:hAnsi="Cambria Math" w:cs="Cambria Math"/>
                      <w:szCs w:val="20"/>
                    </w:rPr>
                    <m:t>(</m:t>
                  </m:r>
                  <m:sSub>
                    <m:sSubPr>
                      <m:ctrlPr>
                        <w:rPr>
                          <w:rFonts w:ascii="Cambria Math" w:hAnsi="Cambria Math" w:cs="Cambria Math"/>
                          <w:bCs/>
                          <w:i/>
                          <w:szCs w:val="20"/>
                        </w:rPr>
                      </m:ctrlPr>
                    </m:sSubPr>
                    <m:e>
                      <m:r>
                        <w:rPr>
                          <w:rFonts w:ascii="Cambria Math" w:hAnsi="Cambria Math" w:cs="Cambria Math"/>
                          <w:szCs w:val="20"/>
                        </w:rPr>
                        <m:t>T</m:t>
                      </m:r>
                    </m:e>
                    <m:sub>
                      <m:r>
                        <w:rPr>
                          <w:rFonts w:ascii="Cambria Math" w:hAnsi="Cambria Math" w:cs="Cambria Math"/>
                          <w:szCs w:val="20"/>
                        </w:rPr>
                        <m:t>i</m:t>
                      </m:r>
                    </m:sub>
                  </m:sSub>
                  <m:r>
                    <w:rPr>
                      <w:rFonts w:ascii="Cambria Math" w:hAnsi="Cambria Math" w:cs="Cambria Math"/>
                      <w:szCs w:val="20"/>
                    </w:rPr>
                    <m:t>-</m:t>
                  </m:r>
                  <m:acc>
                    <m:accPr>
                      <m:chr m:val="̅"/>
                      <m:ctrlPr>
                        <w:rPr>
                          <w:rFonts w:ascii="Cambria Math" w:hAnsi="Cambria Math" w:cs="Cambria Math"/>
                          <w:bCs/>
                          <w:i/>
                          <w:szCs w:val="20"/>
                        </w:rPr>
                      </m:ctrlPr>
                    </m:accPr>
                    <m:e>
                      <m:r>
                        <w:rPr>
                          <w:rFonts w:ascii="Cambria Math" w:hAnsi="Cambria Math" w:cs="Cambria Math"/>
                          <w:szCs w:val="20"/>
                        </w:rPr>
                        <m:t>T</m:t>
                      </m:r>
                    </m:e>
                  </m:acc>
                  <m:r>
                    <w:rPr>
                      <w:rFonts w:ascii="Cambria Math" w:hAnsi="Cambria Math" w:cs="Cambria Math"/>
                      <w:szCs w:val="20"/>
                    </w:rPr>
                    <m:t>)</m:t>
                  </m:r>
                </m:e>
                <m:sup>
                  <m:r>
                    <w:rPr>
                      <w:rFonts w:ascii="Cambria Math" w:hAnsi="Cambria Math" w:cs="Cambria Math"/>
                      <w:szCs w:val="20"/>
                    </w:rPr>
                    <m:t>2</m:t>
                  </m:r>
                </m:sup>
              </m:sSup>
            </m:e>
          </m:nary>
        </m:oMath>
      </m:oMathPara>
    </w:p>
    <w:p w:rsidR="00044710" w:rsidRPr="00044710" w:rsidRDefault="00044710" w:rsidP="00044710">
      <w:pPr>
        <w:ind w:left="1080"/>
        <w:rPr>
          <w:rFonts w:cstheme="minorHAnsi"/>
          <w:bCs/>
          <w:szCs w:val="20"/>
        </w:rPr>
      </w:pPr>
    </w:p>
    <w:p w:rsidR="00044710" w:rsidRPr="00044710" w:rsidRDefault="00044710" w:rsidP="00044710">
      <w:pPr>
        <w:rPr>
          <w:rFonts w:cstheme="minorHAnsi"/>
          <w:bCs/>
          <w:szCs w:val="20"/>
        </w:rPr>
      </w:pPr>
      <w:proofErr w:type="gramStart"/>
      <w:r w:rsidRPr="00044710">
        <w:rPr>
          <w:rFonts w:cstheme="minorHAnsi"/>
          <w:bCs/>
          <w:szCs w:val="20"/>
        </w:rPr>
        <w:t>where</w:t>
      </w:r>
      <w:proofErr w:type="gramEnd"/>
      <w:r w:rsidRPr="00044710">
        <w:rPr>
          <w:rFonts w:cstheme="minorHAnsi"/>
          <w:bCs/>
          <w:szCs w:val="20"/>
        </w:rPr>
        <w:t xml:space="preserve"> </w:t>
      </w:r>
    </w:p>
    <w:p w:rsidR="00044710" w:rsidRPr="00044710" w:rsidRDefault="00383473" w:rsidP="00044710">
      <w:pPr>
        <w:rPr>
          <w:rFonts w:cstheme="minorHAnsi"/>
          <w:bCs/>
          <w:szCs w:val="20"/>
        </w:rPr>
      </w:pPr>
      <m:oMathPara>
        <m:oMath>
          <m:acc>
            <m:accPr>
              <m:chr m:val="̅"/>
              <m:ctrlPr>
                <w:rPr>
                  <w:rFonts w:ascii="Cambria Math" w:hAnsi="Cambria Math" w:cstheme="minorHAnsi"/>
                  <w:bCs/>
                  <w:i/>
                  <w:szCs w:val="20"/>
                </w:rPr>
              </m:ctrlPr>
            </m:accPr>
            <m:e>
              <m:r>
                <w:rPr>
                  <w:rFonts w:ascii="Cambria Math" w:hAnsi="Cambria Math" w:cstheme="minorHAnsi"/>
                  <w:szCs w:val="20"/>
                </w:rPr>
                <m:t>T</m:t>
              </m:r>
            </m:e>
          </m:acc>
          <m:r>
            <w:rPr>
              <w:rFonts w:ascii="Cambria Math" w:hAnsi="Cambria Math" w:cstheme="minorHAnsi"/>
              <w:szCs w:val="20"/>
            </w:rPr>
            <m:t>=</m:t>
          </m:r>
          <m:f>
            <m:fPr>
              <m:type m:val="lin"/>
              <m:ctrlPr>
                <w:rPr>
                  <w:rFonts w:ascii="Cambria Math" w:hAnsi="Cambria Math" w:cstheme="minorHAnsi"/>
                  <w:bCs/>
                  <w:i/>
                  <w:szCs w:val="20"/>
                </w:rPr>
              </m:ctrlPr>
            </m:fPr>
            <m:num>
              <m:nary>
                <m:naryPr>
                  <m:chr m:val="∑"/>
                  <m:limLoc m:val="undOvr"/>
                  <m:subHide m:val="1"/>
                  <m:supHide m:val="1"/>
                  <m:ctrlPr>
                    <w:rPr>
                      <w:rFonts w:ascii="Cambria Math" w:hAnsi="Cambria Math" w:cstheme="minorHAnsi"/>
                      <w:bCs/>
                      <w:i/>
                      <w:szCs w:val="20"/>
                    </w:rPr>
                  </m:ctrlPr>
                </m:naryPr>
                <m:sub/>
                <m:sup/>
                <m:e>
                  <m:sSub>
                    <m:sSubPr>
                      <m:ctrlPr>
                        <w:rPr>
                          <w:rFonts w:ascii="Cambria Math" w:hAnsi="Cambria Math" w:cstheme="minorHAnsi"/>
                          <w:bCs/>
                          <w:i/>
                          <w:szCs w:val="20"/>
                        </w:rPr>
                      </m:ctrlPr>
                    </m:sSubPr>
                    <m:e>
                      <m:r>
                        <w:rPr>
                          <w:rFonts w:ascii="Cambria Math" w:hAnsi="Cambria Math" w:cstheme="minorHAnsi"/>
                          <w:szCs w:val="20"/>
                        </w:rPr>
                        <m:t>n</m:t>
                      </m:r>
                    </m:e>
                    <m:sub>
                      <m:r>
                        <w:rPr>
                          <w:rFonts w:ascii="Cambria Math" w:hAnsi="Cambria Math" w:cstheme="minorHAnsi"/>
                          <w:szCs w:val="20"/>
                        </w:rPr>
                        <m:t>i</m:t>
                      </m:r>
                    </m:sub>
                  </m:sSub>
                </m:e>
              </m:nary>
              <m:sSub>
                <m:sSubPr>
                  <m:ctrlPr>
                    <w:rPr>
                      <w:rFonts w:ascii="Cambria Math" w:hAnsi="Cambria Math" w:cstheme="minorHAnsi"/>
                      <w:bCs/>
                      <w:i/>
                      <w:szCs w:val="20"/>
                    </w:rPr>
                  </m:ctrlPr>
                </m:sSubPr>
                <m:e>
                  <m:r>
                    <w:rPr>
                      <w:rFonts w:ascii="Cambria Math" w:hAnsi="Cambria Math" w:cstheme="minorHAnsi"/>
                      <w:szCs w:val="20"/>
                    </w:rPr>
                    <m:t>T</m:t>
                  </m:r>
                </m:e>
                <m:sub>
                  <m:r>
                    <w:rPr>
                      <w:rFonts w:ascii="Cambria Math" w:hAnsi="Cambria Math" w:cstheme="minorHAnsi"/>
                      <w:szCs w:val="20"/>
                    </w:rPr>
                    <m:t>i</m:t>
                  </m:r>
                </m:sub>
              </m:sSub>
            </m:num>
            <m:den>
              <m:nary>
                <m:naryPr>
                  <m:chr m:val="∑"/>
                  <m:limLoc m:val="undOvr"/>
                  <m:subHide m:val="1"/>
                  <m:supHide m:val="1"/>
                  <m:ctrlPr>
                    <w:rPr>
                      <w:rFonts w:ascii="Cambria Math" w:hAnsi="Cambria Math" w:cstheme="minorHAnsi"/>
                      <w:bCs/>
                      <w:i/>
                      <w:szCs w:val="20"/>
                    </w:rPr>
                  </m:ctrlPr>
                </m:naryPr>
                <m:sub/>
                <m:sup/>
                <m:e>
                  <m:sSub>
                    <m:sSubPr>
                      <m:ctrlPr>
                        <w:rPr>
                          <w:rFonts w:ascii="Cambria Math" w:hAnsi="Cambria Math" w:cstheme="minorHAnsi"/>
                          <w:bCs/>
                          <w:i/>
                          <w:szCs w:val="20"/>
                        </w:rPr>
                      </m:ctrlPr>
                    </m:sSubPr>
                    <m:e>
                      <m:r>
                        <w:rPr>
                          <w:rFonts w:ascii="Cambria Math" w:hAnsi="Cambria Math" w:cstheme="minorHAnsi"/>
                          <w:szCs w:val="20"/>
                        </w:rPr>
                        <m:t>n</m:t>
                      </m:r>
                    </m:e>
                    <m:sub>
                      <m:r>
                        <w:rPr>
                          <w:rFonts w:ascii="Cambria Math" w:hAnsi="Cambria Math" w:cstheme="minorHAnsi"/>
                          <w:szCs w:val="20"/>
                        </w:rPr>
                        <m:t>i</m:t>
                      </m:r>
                    </m:sub>
                  </m:sSub>
                </m:e>
              </m:nary>
            </m:den>
          </m:f>
        </m:oMath>
      </m:oMathPara>
    </w:p>
    <w:p w:rsidR="00044710" w:rsidRPr="00044710" w:rsidRDefault="00044710" w:rsidP="00044710">
      <w:pPr>
        <w:ind w:left="1080"/>
        <w:rPr>
          <w:rFonts w:cstheme="minorHAnsi"/>
          <w:bCs/>
          <w:szCs w:val="20"/>
        </w:rPr>
      </w:pPr>
    </w:p>
    <w:p w:rsidR="00044710" w:rsidRPr="00044710" w:rsidRDefault="00044710" w:rsidP="00044710">
      <w:pPr>
        <w:rPr>
          <w:rFonts w:cstheme="minorHAnsi"/>
          <w:bCs/>
          <w:szCs w:val="20"/>
        </w:rPr>
      </w:pPr>
      <w:proofErr w:type="gramStart"/>
      <w:r w:rsidRPr="00044710">
        <w:rPr>
          <w:rFonts w:cstheme="minorHAnsi"/>
          <w:bCs/>
          <w:szCs w:val="20"/>
        </w:rPr>
        <w:lastRenderedPageBreak/>
        <w:t>is</w:t>
      </w:r>
      <w:proofErr w:type="gramEnd"/>
      <w:r w:rsidRPr="00044710">
        <w:rPr>
          <w:rFonts w:cstheme="minorHAnsi"/>
          <w:bCs/>
          <w:szCs w:val="20"/>
        </w:rPr>
        <w:t xml:space="preserve"> the weighted mean of the observed </w:t>
      </w:r>
      <w:proofErr w:type="spellStart"/>
      <w:r w:rsidRPr="00044710">
        <w:rPr>
          <w:rFonts w:cstheme="minorHAnsi"/>
          <w:bCs/>
          <w:szCs w:val="20"/>
        </w:rPr>
        <w:t>STrR</w:t>
      </w:r>
      <w:proofErr w:type="spellEnd"/>
      <w:r w:rsidRPr="00044710">
        <w:rPr>
          <w:rFonts w:cstheme="minorHAnsi"/>
          <w:bCs/>
          <w:szCs w:val="20"/>
        </w:rPr>
        <w:t xml:space="preserve"> and</w:t>
      </w:r>
    </w:p>
    <w:p w:rsidR="00044710" w:rsidRPr="00044710" w:rsidRDefault="00044710" w:rsidP="00044710">
      <w:pPr>
        <w:rPr>
          <w:rFonts w:cstheme="minorHAnsi"/>
          <w:bCs/>
          <w:szCs w:val="20"/>
        </w:rPr>
      </w:pPr>
      <m:oMathPara>
        <m:oMath>
          <m:r>
            <w:rPr>
              <w:rFonts w:ascii="Cambria Math" w:hAnsi="Cambria Math" w:cstheme="minorHAnsi"/>
              <w:szCs w:val="20"/>
            </w:rPr>
            <m:t>n'=</m:t>
          </m:r>
          <m:f>
            <m:fPr>
              <m:type m:val="lin"/>
              <m:ctrlPr>
                <w:rPr>
                  <w:rFonts w:ascii="Cambria Math" w:hAnsi="Cambria Math" w:cstheme="minorHAnsi"/>
                  <w:bCs/>
                  <w:i/>
                  <w:szCs w:val="20"/>
                </w:rPr>
              </m:ctrlPr>
            </m:fPr>
            <m:num>
              <m:f>
                <m:fPr>
                  <m:ctrlPr>
                    <w:rPr>
                      <w:rFonts w:ascii="Cambria Math" w:hAnsi="Cambria Math" w:cs="Cambria Math"/>
                      <w:bCs/>
                      <w:szCs w:val="20"/>
                    </w:rPr>
                  </m:ctrlPr>
                </m:fPr>
                <m:num>
                  <m:r>
                    <w:rPr>
                      <w:rFonts w:ascii="Cambria Math" w:hAnsi="Cambria Math" w:cs="Cambria Math"/>
                      <w:szCs w:val="20"/>
                    </w:rPr>
                    <m:t>1</m:t>
                  </m:r>
                </m:num>
                <m:den>
                  <m:r>
                    <w:rPr>
                      <w:rFonts w:ascii="Cambria Math" w:hAnsi="Cambria Math"/>
                      <w:szCs w:val="20"/>
                    </w:rPr>
                    <m:t>N-1</m:t>
                  </m:r>
                </m:den>
              </m:f>
              <m:r>
                <w:rPr>
                  <w:rFonts w:ascii="Cambria Math" w:hAnsi="Cambria Math" w:cs="Cambria Math"/>
                  <w:szCs w:val="20"/>
                </w:rPr>
                <m:t xml:space="preserve"> </m:t>
              </m:r>
              <m:r>
                <m:rPr>
                  <m:sty m:val="p"/>
                </m:rPr>
                <w:rPr>
                  <w:rFonts w:ascii="Cambria Math" w:hAnsi="Cambria Math" w:cs="Cambria Math"/>
                  <w:szCs w:val="20"/>
                </w:rPr>
                <m:t>(</m:t>
              </m:r>
              <m:nary>
                <m:naryPr>
                  <m:chr m:val="∑"/>
                  <m:limLoc m:val="undOvr"/>
                  <m:subHide m:val="1"/>
                  <m:supHide m:val="1"/>
                  <m:ctrlPr>
                    <w:rPr>
                      <w:rFonts w:ascii="Cambria Math" w:hAnsi="Cambria Math" w:cstheme="minorHAnsi"/>
                      <w:bCs/>
                      <w:i/>
                      <w:szCs w:val="20"/>
                    </w:rPr>
                  </m:ctrlPr>
                </m:naryPr>
                <m:sub/>
                <m:sup/>
                <m:e>
                  <m:sSub>
                    <m:sSubPr>
                      <m:ctrlPr>
                        <w:rPr>
                          <w:rFonts w:ascii="Cambria Math" w:hAnsi="Cambria Math" w:cstheme="minorHAnsi"/>
                          <w:bCs/>
                          <w:i/>
                          <w:szCs w:val="20"/>
                        </w:rPr>
                      </m:ctrlPr>
                    </m:sSubPr>
                    <m:e>
                      <m:r>
                        <w:rPr>
                          <w:rFonts w:ascii="Cambria Math" w:hAnsi="Cambria Math" w:cstheme="minorHAnsi"/>
                          <w:szCs w:val="20"/>
                        </w:rPr>
                        <m:t>n</m:t>
                      </m:r>
                    </m:e>
                    <m:sub>
                      <m:r>
                        <w:rPr>
                          <w:rFonts w:ascii="Cambria Math" w:hAnsi="Cambria Math" w:cstheme="minorHAnsi"/>
                          <w:szCs w:val="20"/>
                        </w:rPr>
                        <m:t>i</m:t>
                      </m:r>
                    </m:sub>
                  </m:sSub>
                </m:e>
              </m:nary>
              <m:r>
                <w:rPr>
                  <w:rFonts w:ascii="Cambria Math" w:hAnsi="Cambria Math" w:cstheme="minorHAnsi"/>
                  <w:szCs w:val="20"/>
                </w:rPr>
                <m:t>-</m:t>
              </m:r>
              <m:nary>
                <m:naryPr>
                  <m:chr m:val="∑"/>
                  <m:limLoc m:val="undOvr"/>
                  <m:subHide m:val="1"/>
                  <m:supHide m:val="1"/>
                  <m:ctrlPr>
                    <w:rPr>
                      <w:rFonts w:ascii="Cambria Math" w:hAnsi="Cambria Math" w:cstheme="minorHAnsi"/>
                      <w:bCs/>
                      <w:i/>
                      <w:szCs w:val="20"/>
                    </w:rPr>
                  </m:ctrlPr>
                </m:naryPr>
                <m:sub/>
                <m:sup/>
                <m:e>
                  <m:sSubSup>
                    <m:sSubSupPr>
                      <m:ctrlPr>
                        <w:rPr>
                          <w:rFonts w:ascii="Cambria Math" w:hAnsi="Cambria Math" w:cs="Cambria Math"/>
                          <w:bCs/>
                          <w:i/>
                          <w:szCs w:val="20"/>
                        </w:rPr>
                      </m:ctrlPr>
                    </m:sSubSupPr>
                    <m:e>
                      <m:r>
                        <w:rPr>
                          <w:rFonts w:ascii="Cambria Math" w:hAnsi="Cambria Math" w:cs="Cambria Math"/>
                          <w:szCs w:val="20"/>
                        </w:rPr>
                        <m:t>n</m:t>
                      </m:r>
                    </m:e>
                    <m:sub>
                      <m:r>
                        <w:rPr>
                          <w:rFonts w:ascii="Cambria Math" w:hAnsi="Cambria Math" w:cs="Cambria Math"/>
                          <w:szCs w:val="20"/>
                        </w:rPr>
                        <m:t>i</m:t>
                      </m:r>
                    </m:sub>
                    <m:sup>
                      <m:r>
                        <w:rPr>
                          <w:rFonts w:ascii="Cambria Math" w:hAnsi="Cambria Math" w:cs="Cambria Math"/>
                          <w:szCs w:val="20"/>
                        </w:rPr>
                        <m:t>2</m:t>
                      </m:r>
                    </m:sup>
                  </m:sSubSup>
                </m:e>
              </m:nary>
            </m:num>
            <m:den>
              <m:nary>
                <m:naryPr>
                  <m:chr m:val="∑"/>
                  <m:limLoc m:val="undOvr"/>
                  <m:subHide m:val="1"/>
                  <m:supHide m:val="1"/>
                  <m:ctrlPr>
                    <w:rPr>
                      <w:rFonts w:ascii="Cambria Math" w:hAnsi="Cambria Math" w:cstheme="minorHAnsi"/>
                      <w:bCs/>
                      <w:i/>
                      <w:szCs w:val="20"/>
                    </w:rPr>
                  </m:ctrlPr>
                </m:naryPr>
                <m:sub/>
                <m:sup/>
                <m:e>
                  <m:sSub>
                    <m:sSubPr>
                      <m:ctrlPr>
                        <w:rPr>
                          <w:rFonts w:ascii="Cambria Math" w:hAnsi="Cambria Math" w:cstheme="minorHAnsi"/>
                          <w:bCs/>
                          <w:i/>
                          <w:szCs w:val="20"/>
                        </w:rPr>
                      </m:ctrlPr>
                    </m:sSubPr>
                    <m:e>
                      <m:r>
                        <w:rPr>
                          <w:rFonts w:ascii="Cambria Math" w:hAnsi="Cambria Math" w:cstheme="minorHAnsi"/>
                          <w:szCs w:val="20"/>
                        </w:rPr>
                        <m:t>n</m:t>
                      </m:r>
                    </m:e>
                    <m:sub>
                      <m:r>
                        <w:rPr>
                          <w:rFonts w:ascii="Cambria Math" w:hAnsi="Cambria Math" w:cstheme="minorHAnsi"/>
                          <w:szCs w:val="20"/>
                        </w:rPr>
                        <m:t>i</m:t>
                      </m:r>
                    </m:sub>
                  </m:sSub>
                </m:e>
              </m:nary>
            </m:den>
          </m:f>
          <m:r>
            <m:rPr>
              <m:sty m:val="p"/>
            </m:rPr>
            <w:rPr>
              <w:rFonts w:ascii="Cambria Math" w:hAnsi="Cambria Math" w:cs="Cambria Math"/>
              <w:szCs w:val="20"/>
            </w:rPr>
            <m:t>)</m:t>
          </m:r>
        </m:oMath>
      </m:oMathPara>
    </w:p>
    <w:p w:rsidR="00044710" w:rsidRPr="00044710" w:rsidRDefault="00044710" w:rsidP="00044710">
      <w:pPr>
        <w:ind w:left="1080"/>
        <w:rPr>
          <w:rFonts w:cstheme="minorHAnsi"/>
          <w:bCs/>
          <w:szCs w:val="20"/>
        </w:rPr>
      </w:pPr>
    </w:p>
    <w:p w:rsidR="00044710" w:rsidRPr="00044710" w:rsidRDefault="00044710" w:rsidP="00044710">
      <w:pPr>
        <w:rPr>
          <w:rFonts w:cstheme="minorHAnsi"/>
          <w:bCs/>
          <w:szCs w:val="20"/>
        </w:rPr>
      </w:pPr>
      <w:proofErr w:type="gramStart"/>
      <w:r w:rsidRPr="00044710">
        <w:rPr>
          <w:rFonts w:cstheme="minorHAnsi"/>
          <w:bCs/>
          <w:szCs w:val="20"/>
        </w:rPr>
        <w:t>is</w:t>
      </w:r>
      <w:proofErr w:type="gramEnd"/>
      <w:r w:rsidRPr="00044710">
        <w:rPr>
          <w:rFonts w:cstheme="minorHAnsi"/>
          <w:bCs/>
          <w:szCs w:val="20"/>
        </w:rPr>
        <w:t xml:space="preserve"> approximately the average facility size (number of patients per facility). Note that  </w:t>
      </w:r>
      <m:oMath>
        <m:sSubSup>
          <m:sSubSupPr>
            <m:ctrlPr>
              <w:rPr>
                <w:rFonts w:ascii="Cambria Math" w:hAnsi="Cambria Math" w:cs="Cambria Math"/>
                <w:bCs/>
                <w:i/>
                <w:szCs w:val="20"/>
              </w:rPr>
            </m:ctrlPr>
          </m:sSubSupPr>
          <m:e>
            <m:r>
              <w:rPr>
                <w:rFonts w:ascii="Cambria Math" w:hAnsi="Cambria Math" w:cs="Cambria Math"/>
                <w:szCs w:val="20"/>
              </w:rPr>
              <m:t>s</m:t>
            </m:r>
          </m:e>
          <m:sub>
            <m:r>
              <w:rPr>
                <w:rFonts w:ascii="Cambria Math" w:hAnsi="Cambria Math" w:cs="Cambria Math"/>
                <w:szCs w:val="20"/>
              </w:rPr>
              <m:t>t</m:t>
            </m:r>
          </m:sub>
          <m:sup>
            <m:r>
              <w:rPr>
                <w:rFonts w:ascii="Cambria Math" w:hAnsi="Cambria Math" w:cs="Cambria Math"/>
                <w:szCs w:val="20"/>
              </w:rPr>
              <m:t>2</m:t>
            </m:r>
          </m:sup>
        </m:sSubSup>
        <m:r>
          <w:rPr>
            <w:rFonts w:ascii="Cambria Math" w:hAnsi="Cambria Math" w:cs="Cambria Math"/>
            <w:szCs w:val="20"/>
          </w:rPr>
          <m:t xml:space="preserve"> </m:t>
        </m:r>
      </m:oMath>
      <w:r w:rsidRPr="00044710">
        <w:rPr>
          <w:rFonts w:cstheme="minorHAnsi"/>
          <w:bCs/>
          <w:szCs w:val="20"/>
        </w:rPr>
        <w:t xml:space="preserve"> is an estimate </w:t>
      </w:r>
      <w:proofErr w:type="gramStart"/>
      <w:r w:rsidRPr="00044710">
        <w:rPr>
          <w:rFonts w:cstheme="minorHAnsi"/>
          <w:bCs/>
          <w:szCs w:val="20"/>
        </w:rPr>
        <w:t xml:space="preserve">of </w:t>
      </w:r>
      <w:proofErr w:type="gramEnd"/>
      <m:oMath>
        <m:sSubSup>
          <m:sSubSupPr>
            <m:ctrlPr>
              <w:rPr>
                <w:rFonts w:ascii="Cambria Math" w:hAnsi="Cambria Math" w:cs="Cambria Math"/>
                <w:bCs/>
                <w:i/>
                <w:szCs w:val="20"/>
              </w:rPr>
            </m:ctrlPr>
          </m:sSubSupPr>
          <m:e>
            <m:r>
              <w:rPr>
                <w:rFonts w:ascii="Cambria Math" w:hAnsi="Cambria Math" w:cs="Cambria Math"/>
                <w:szCs w:val="20"/>
              </w:rPr>
              <m:t>σ</m:t>
            </m:r>
          </m:e>
          <m:sub>
            <m:r>
              <w:rPr>
                <w:rFonts w:ascii="Cambria Math" w:hAnsi="Cambria Math" w:cs="Cambria Math"/>
                <w:szCs w:val="20"/>
              </w:rPr>
              <m:t>b</m:t>
            </m:r>
          </m:sub>
          <m:sup>
            <m:r>
              <w:rPr>
                <w:rFonts w:ascii="Cambria Math" w:hAnsi="Cambria Math" w:cs="Cambria Math"/>
                <w:szCs w:val="20"/>
              </w:rPr>
              <m:t>2</m:t>
            </m:r>
          </m:sup>
        </m:sSubSup>
        <m:r>
          <w:rPr>
            <w:rFonts w:ascii="Cambria Math" w:hAnsi="Cambria Math" w:cs="Cambria Math"/>
            <w:szCs w:val="20"/>
          </w:rPr>
          <m:t>+</m:t>
        </m:r>
        <m:sSubSup>
          <m:sSubSupPr>
            <m:ctrlPr>
              <w:rPr>
                <w:rFonts w:ascii="Cambria Math" w:hAnsi="Cambria Math" w:cs="Cambria Math"/>
                <w:bCs/>
                <w:i/>
                <w:szCs w:val="20"/>
              </w:rPr>
            </m:ctrlPr>
          </m:sSubSupPr>
          <m:e>
            <m:r>
              <w:rPr>
                <w:rFonts w:ascii="Cambria Math" w:hAnsi="Cambria Math" w:cs="Cambria Math"/>
                <w:szCs w:val="20"/>
              </w:rPr>
              <m:t>σ</m:t>
            </m:r>
          </m:e>
          <m:sub>
            <m:r>
              <w:rPr>
                <w:rFonts w:ascii="Cambria Math" w:hAnsi="Cambria Math" w:cs="Cambria Math"/>
                <w:szCs w:val="20"/>
              </w:rPr>
              <m:t>t, w</m:t>
            </m:r>
          </m:sub>
          <m:sup>
            <m:r>
              <w:rPr>
                <w:rFonts w:ascii="Cambria Math" w:hAnsi="Cambria Math" w:cs="Cambria Math"/>
                <w:szCs w:val="20"/>
              </w:rPr>
              <m:t>2</m:t>
            </m:r>
          </m:sup>
        </m:sSubSup>
      </m:oMath>
      <w:r w:rsidRPr="00044710">
        <w:rPr>
          <w:rFonts w:cstheme="minorHAnsi"/>
          <w:bCs/>
          <w:szCs w:val="20"/>
        </w:rPr>
        <w:t xml:space="preserve">, where </w:t>
      </w:r>
      <m:oMath>
        <m:sSubSup>
          <m:sSubSupPr>
            <m:ctrlPr>
              <w:rPr>
                <w:rFonts w:ascii="Cambria Math" w:hAnsi="Cambria Math" w:cs="Cambria Math"/>
                <w:bCs/>
                <w:i/>
                <w:szCs w:val="20"/>
              </w:rPr>
            </m:ctrlPr>
          </m:sSubSupPr>
          <m:e>
            <m:r>
              <w:rPr>
                <w:rFonts w:ascii="Cambria Math" w:hAnsi="Cambria Math" w:cs="Cambria Math"/>
                <w:szCs w:val="20"/>
              </w:rPr>
              <m:t>σ</m:t>
            </m:r>
          </m:e>
          <m:sub>
            <m:r>
              <w:rPr>
                <w:rFonts w:ascii="Cambria Math" w:hAnsi="Cambria Math" w:cs="Cambria Math"/>
                <w:szCs w:val="20"/>
              </w:rPr>
              <m:t>b</m:t>
            </m:r>
          </m:sub>
          <m:sup>
            <m:r>
              <w:rPr>
                <w:rFonts w:ascii="Cambria Math" w:hAnsi="Cambria Math" w:cs="Cambria Math"/>
                <w:szCs w:val="20"/>
              </w:rPr>
              <m:t>2</m:t>
            </m:r>
          </m:sup>
        </m:sSubSup>
        <m:r>
          <w:rPr>
            <w:rFonts w:ascii="Cambria Math" w:hAnsi="Cambria Math" w:cs="Cambria Math"/>
            <w:szCs w:val="20"/>
          </w:rPr>
          <m:t xml:space="preserve"> </m:t>
        </m:r>
      </m:oMath>
      <w:r w:rsidRPr="00044710">
        <w:rPr>
          <w:rFonts w:cstheme="minorHAnsi"/>
          <w:bCs/>
          <w:szCs w:val="20"/>
        </w:rPr>
        <w:t xml:space="preserve"> is the between-facility variance, the true signal reflecting the differences across facilities. Thus, the IUR, which is defined by</w:t>
      </w:r>
    </w:p>
    <w:p w:rsidR="00044710" w:rsidRPr="00044710" w:rsidRDefault="00044710" w:rsidP="00044710">
      <w:pPr>
        <w:rPr>
          <w:rFonts w:cstheme="minorHAnsi"/>
          <w:bCs/>
          <w:szCs w:val="20"/>
        </w:rPr>
      </w:pPr>
      <m:oMathPara>
        <m:oMath>
          <m:r>
            <w:rPr>
              <w:rFonts w:ascii="Cambria Math" w:hAnsi="Cambria Math" w:cstheme="minorHAnsi"/>
              <w:szCs w:val="20"/>
            </w:rPr>
            <m:t>IUR=</m:t>
          </m:r>
          <m:f>
            <m:fPr>
              <m:ctrlPr>
                <w:rPr>
                  <w:rFonts w:ascii="Cambria Math" w:hAnsi="Cambria Math" w:cs="Cambria Math"/>
                  <w:bCs/>
                  <w:szCs w:val="20"/>
                </w:rPr>
              </m:ctrlPr>
            </m:fPr>
            <m:num>
              <m:sSubSup>
                <m:sSubSupPr>
                  <m:ctrlPr>
                    <w:rPr>
                      <w:rFonts w:ascii="Cambria Math" w:hAnsi="Cambria Math" w:cs="Cambria Math"/>
                      <w:bCs/>
                      <w:i/>
                      <w:szCs w:val="20"/>
                    </w:rPr>
                  </m:ctrlPr>
                </m:sSubSupPr>
                <m:e>
                  <m:r>
                    <w:rPr>
                      <w:rFonts w:ascii="Cambria Math" w:hAnsi="Cambria Math" w:cs="Cambria Math"/>
                      <w:szCs w:val="20"/>
                    </w:rPr>
                    <m:t>σ</m:t>
                  </m:r>
                </m:e>
                <m:sub>
                  <m:r>
                    <w:rPr>
                      <w:rFonts w:ascii="Cambria Math" w:hAnsi="Cambria Math" w:cs="Cambria Math"/>
                      <w:szCs w:val="20"/>
                    </w:rPr>
                    <m:t>b</m:t>
                  </m:r>
                </m:sub>
                <m:sup>
                  <m:r>
                    <w:rPr>
                      <w:rFonts w:ascii="Cambria Math" w:hAnsi="Cambria Math" w:cs="Cambria Math"/>
                      <w:szCs w:val="20"/>
                    </w:rPr>
                    <m:t>2</m:t>
                  </m:r>
                </m:sup>
              </m:sSubSup>
            </m:num>
            <m:den>
              <m:sSubSup>
                <m:sSubSupPr>
                  <m:ctrlPr>
                    <w:rPr>
                      <w:rFonts w:ascii="Cambria Math" w:hAnsi="Cambria Math" w:cs="Cambria Math"/>
                      <w:bCs/>
                      <w:i/>
                      <w:szCs w:val="20"/>
                    </w:rPr>
                  </m:ctrlPr>
                </m:sSubSupPr>
                <m:e>
                  <m:r>
                    <w:rPr>
                      <w:rFonts w:ascii="Cambria Math" w:hAnsi="Cambria Math" w:cs="Cambria Math"/>
                      <w:szCs w:val="20"/>
                    </w:rPr>
                    <m:t>σ</m:t>
                  </m:r>
                </m:e>
                <m:sub>
                  <m:r>
                    <w:rPr>
                      <w:rFonts w:ascii="Cambria Math" w:hAnsi="Cambria Math" w:cs="Cambria Math"/>
                      <w:szCs w:val="20"/>
                    </w:rPr>
                    <m:t>b</m:t>
                  </m:r>
                </m:sub>
                <m:sup>
                  <m:r>
                    <w:rPr>
                      <w:rFonts w:ascii="Cambria Math" w:hAnsi="Cambria Math" w:cs="Cambria Math"/>
                      <w:szCs w:val="20"/>
                    </w:rPr>
                    <m:t>2</m:t>
                  </m:r>
                </m:sup>
              </m:sSubSup>
              <m:r>
                <w:rPr>
                  <w:rFonts w:ascii="Cambria Math" w:hAnsi="Cambria Math" w:cs="Cambria Math"/>
                  <w:szCs w:val="20"/>
                </w:rPr>
                <m:t>+</m:t>
              </m:r>
              <m:sSubSup>
                <m:sSubSupPr>
                  <m:ctrlPr>
                    <w:rPr>
                      <w:rFonts w:ascii="Cambria Math" w:hAnsi="Cambria Math" w:cs="Cambria Math"/>
                      <w:bCs/>
                      <w:i/>
                      <w:szCs w:val="20"/>
                    </w:rPr>
                  </m:ctrlPr>
                </m:sSubSupPr>
                <m:e>
                  <m:r>
                    <w:rPr>
                      <w:rFonts w:ascii="Cambria Math" w:hAnsi="Cambria Math" w:cs="Cambria Math"/>
                      <w:szCs w:val="20"/>
                    </w:rPr>
                    <m:t>σ</m:t>
                  </m:r>
                </m:e>
                <m:sub>
                  <m:r>
                    <w:rPr>
                      <w:rFonts w:ascii="Cambria Math" w:hAnsi="Cambria Math" w:cs="Cambria Math"/>
                      <w:szCs w:val="20"/>
                    </w:rPr>
                    <m:t>t, w</m:t>
                  </m:r>
                </m:sub>
                <m:sup>
                  <m:r>
                    <w:rPr>
                      <w:rFonts w:ascii="Cambria Math" w:hAnsi="Cambria Math" w:cs="Cambria Math"/>
                      <w:szCs w:val="20"/>
                    </w:rPr>
                    <m:t>2</m:t>
                  </m:r>
                </m:sup>
              </m:sSubSup>
            </m:den>
          </m:f>
          <m:r>
            <w:rPr>
              <w:rFonts w:ascii="Cambria Math" w:hAnsi="Cambria Math" w:cs="Cambria Math"/>
              <w:szCs w:val="20"/>
            </w:rPr>
            <m:t xml:space="preserve"> </m:t>
          </m:r>
        </m:oMath>
      </m:oMathPara>
    </w:p>
    <w:p w:rsidR="00044710" w:rsidRPr="00044710" w:rsidRDefault="00044710" w:rsidP="00044710">
      <w:pPr>
        <w:rPr>
          <w:rFonts w:cstheme="minorHAnsi"/>
          <w:bCs/>
          <w:szCs w:val="20"/>
        </w:rPr>
      </w:pPr>
    </w:p>
    <w:p w:rsidR="00044710" w:rsidRPr="00044710" w:rsidRDefault="00044710" w:rsidP="00044710">
      <w:pPr>
        <w:autoSpaceDE w:val="0"/>
        <w:autoSpaceDN w:val="0"/>
        <w:adjustRightInd w:val="0"/>
        <w:spacing w:after="0" w:line="240" w:lineRule="auto"/>
        <w:rPr>
          <w:rFonts w:cstheme="minorHAnsi"/>
          <w:bCs/>
          <w:sz w:val="24"/>
        </w:rPr>
      </w:pPr>
      <w:proofErr w:type="gramStart"/>
      <w:r w:rsidRPr="00044710">
        <w:rPr>
          <w:rFonts w:cstheme="minorHAnsi"/>
          <w:bCs/>
          <w:szCs w:val="20"/>
        </w:rPr>
        <w:t>can</w:t>
      </w:r>
      <w:proofErr w:type="gramEnd"/>
      <w:r w:rsidRPr="00044710">
        <w:rPr>
          <w:rFonts w:cstheme="minorHAnsi"/>
          <w:bCs/>
          <w:szCs w:val="20"/>
        </w:rPr>
        <w:t xml:space="preserve"> be estimated with </w:t>
      </w:r>
      <m:oMath>
        <m:sSubSup>
          <m:sSubSupPr>
            <m:ctrlPr>
              <w:rPr>
                <w:rFonts w:ascii="Cambria Math" w:hAnsi="Cambria Math" w:cs="Cambria Math"/>
                <w:bCs/>
                <w:i/>
                <w:szCs w:val="20"/>
              </w:rPr>
            </m:ctrlPr>
          </m:sSubSupPr>
          <m:e>
            <m:r>
              <w:rPr>
                <w:rFonts w:ascii="Cambria Math" w:hAnsi="Cambria Math" w:cs="Cambria Math"/>
                <w:szCs w:val="20"/>
              </w:rPr>
              <m:t>(s</m:t>
            </m:r>
          </m:e>
          <m:sub>
            <m:r>
              <w:rPr>
                <w:rFonts w:ascii="Cambria Math" w:hAnsi="Cambria Math" w:cs="Cambria Math"/>
                <w:szCs w:val="20"/>
              </w:rPr>
              <m:t>t</m:t>
            </m:r>
          </m:sub>
          <m:sup>
            <m:r>
              <w:rPr>
                <w:rFonts w:ascii="Cambria Math" w:hAnsi="Cambria Math" w:cs="Cambria Math"/>
                <w:szCs w:val="20"/>
              </w:rPr>
              <m:t>2</m:t>
            </m:r>
          </m:sup>
        </m:sSubSup>
        <m:r>
          <w:rPr>
            <w:rFonts w:ascii="Cambria Math" w:hAnsi="Cambria Math" w:cs="Cambria Math"/>
            <w:szCs w:val="20"/>
          </w:rPr>
          <m:t>-</m:t>
        </m:r>
        <m:sSubSup>
          <m:sSubSupPr>
            <m:ctrlPr>
              <w:rPr>
                <w:rFonts w:ascii="Cambria Math" w:hAnsi="Cambria Math" w:cs="Cambria Math"/>
                <w:bCs/>
                <w:i/>
                <w:szCs w:val="20"/>
              </w:rPr>
            </m:ctrlPr>
          </m:sSubSupPr>
          <m:e>
            <m:r>
              <w:rPr>
                <w:rFonts w:ascii="Cambria Math" w:hAnsi="Cambria Math" w:cs="Cambria Math"/>
                <w:szCs w:val="20"/>
              </w:rPr>
              <m:t>s</m:t>
            </m:r>
          </m:e>
          <m:sub>
            <m:r>
              <w:rPr>
                <w:rFonts w:ascii="Cambria Math" w:hAnsi="Cambria Math" w:cs="Cambria Math"/>
                <w:szCs w:val="20"/>
              </w:rPr>
              <m:t>t, w</m:t>
            </m:r>
          </m:sub>
          <m:sup>
            <m:r>
              <w:rPr>
                <w:rFonts w:ascii="Cambria Math" w:hAnsi="Cambria Math" w:cs="Cambria Math"/>
                <w:szCs w:val="20"/>
              </w:rPr>
              <m:t>2</m:t>
            </m:r>
          </m:sup>
        </m:sSubSup>
        <m:r>
          <w:rPr>
            <w:rFonts w:ascii="Cambria Math" w:hAnsi="Cambria Math" w:cs="Cambria Math"/>
            <w:szCs w:val="20"/>
          </w:rPr>
          <m:t>)/</m:t>
        </m:r>
        <m:sSubSup>
          <m:sSubSupPr>
            <m:ctrlPr>
              <w:rPr>
                <w:rFonts w:ascii="Cambria Math" w:hAnsi="Cambria Math" w:cs="Cambria Math"/>
                <w:bCs/>
                <w:i/>
                <w:szCs w:val="20"/>
              </w:rPr>
            </m:ctrlPr>
          </m:sSubSupPr>
          <m:e>
            <m:r>
              <w:rPr>
                <w:rFonts w:ascii="Cambria Math" w:hAnsi="Cambria Math" w:cs="Cambria Math"/>
                <w:szCs w:val="20"/>
              </w:rPr>
              <m:t>s</m:t>
            </m:r>
          </m:e>
          <m:sub>
            <m:r>
              <w:rPr>
                <w:rFonts w:ascii="Cambria Math" w:hAnsi="Cambria Math" w:cs="Cambria Math"/>
                <w:szCs w:val="20"/>
              </w:rPr>
              <m:t>t</m:t>
            </m:r>
          </m:sub>
          <m:sup>
            <m:r>
              <w:rPr>
                <w:rFonts w:ascii="Cambria Math" w:hAnsi="Cambria Math" w:cs="Cambria Math"/>
                <w:szCs w:val="20"/>
              </w:rPr>
              <m:t>2</m:t>
            </m:r>
          </m:sup>
        </m:sSubSup>
        <m:r>
          <w:rPr>
            <w:rFonts w:ascii="Cambria Math" w:hAnsi="Cambria Math" w:cs="Cambria Math"/>
            <w:szCs w:val="20"/>
          </w:rPr>
          <m:t>.</m:t>
        </m:r>
      </m:oMath>
    </w:p>
    <w:p w:rsidR="008C54A9" w:rsidRPr="00A25024" w:rsidRDefault="008C54A9" w:rsidP="008C54A9">
      <w:pPr>
        <w:autoSpaceDE w:val="0"/>
        <w:autoSpaceDN w:val="0"/>
        <w:adjustRightInd w:val="0"/>
        <w:spacing w:after="0" w:line="240" w:lineRule="auto"/>
        <w:rPr>
          <w:rFonts w:cstheme="minorHAnsi"/>
          <w:bCs/>
        </w:rPr>
      </w:pPr>
    </w:p>
    <w:p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rsidR="00044710" w:rsidRPr="00044710" w:rsidRDefault="00044710" w:rsidP="00044710">
      <w:pPr>
        <w:rPr>
          <w:rFonts w:cstheme="minorHAnsi"/>
          <w:szCs w:val="20"/>
        </w:rPr>
      </w:pPr>
      <w:r w:rsidRPr="00044710">
        <w:rPr>
          <w:szCs w:val="20"/>
        </w:rPr>
        <w:t xml:space="preserve">The </w:t>
      </w:r>
      <w:proofErr w:type="spellStart"/>
      <w:r w:rsidRPr="00044710">
        <w:rPr>
          <w:szCs w:val="20"/>
        </w:rPr>
        <w:t>STrR</w:t>
      </w:r>
      <w:proofErr w:type="spellEnd"/>
      <w:r w:rsidRPr="00044710">
        <w:rPr>
          <w:szCs w:val="20"/>
        </w:rPr>
        <w:t xml:space="preserve"> calculation only included facilities with at least 10 patient years at risk. Overall, we found that IURs for the one-year </w:t>
      </w:r>
      <w:proofErr w:type="spellStart"/>
      <w:r w:rsidRPr="00044710">
        <w:rPr>
          <w:szCs w:val="20"/>
        </w:rPr>
        <w:t>STrR</w:t>
      </w:r>
      <w:proofErr w:type="spellEnd"/>
      <w:r w:rsidRPr="00044710">
        <w:rPr>
          <w:szCs w:val="20"/>
        </w:rPr>
        <w:t xml:space="preserve"> have a range of </w:t>
      </w:r>
      <w:r w:rsidRPr="00044710">
        <w:rPr>
          <w:rFonts w:cstheme="minorHAnsi"/>
          <w:szCs w:val="20"/>
        </w:rPr>
        <w:t xml:space="preserve">0.49-0.55 </w:t>
      </w:r>
      <w:r w:rsidRPr="00044710">
        <w:rPr>
          <w:szCs w:val="20"/>
        </w:rPr>
        <w:t xml:space="preserve">across the years 2009, 2010, 2011 and 2012, </w:t>
      </w:r>
      <w:r w:rsidRPr="00044710">
        <w:rPr>
          <w:rFonts w:cstheme="minorHAnsi"/>
          <w:szCs w:val="20"/>
        </w:rPr>
        <w:t xml:space="preserve">which indicates that around half of the variation in the one-year </w:t>
      </w:r>
      <w:proofErr w:type="spellStart"/>
      <w:r w:rsidRPr="00044710">
        <w:rPr>
          <w:rFonts w:cstheme="minorHAnsi"/>
          <w:szCs w:val="20"/>
        </w:rPr>
        <w:t>STrR</w:t>
      </w:r>
      <w:proofErr w:type="spellEnd"/>
      <w:r w:rsidRPr="00044710">
        <w:rPr>
          <w:rFonts w:cstheme="minorHAnsi"/>
          <w:szCs w:val="20"/>
        </w:rPr>
        <w:t xml:space="preserve"> can be attributed to the between-facility differences and half to within-facility variation. This value of IUR indicates a </w:t>
      </w:r>
      <w:r w:rsidRPr="00044710">
        <w:rPr>
          <w:rFonts w:cstheme="minorHAnsi"/>
          <w:b/>
          <w:szCs w:val="20"/>
        </w:rPr>
        <w:t>moderate degree of reliability</w:t>
      </w:r>
      <w:r w:rsidRPr="00044710">
        <w:rPr>
          <w:rFonts w:cstheme="minorHAnsi"/>
          <w:szCs w:val="20"/>
        </w:rPr>
        <w:t>. When stratified by facility size, we find that, as expected, larger facilities have greater IUR.</w:t>
      </w:r>
    </w:p>
    <w:p w:rsidR="00044710" w:rsidRPr="00044710" w:rsidRDefault="00044710" w:rsidP="00044710">
      <w:pPr>
        <w:rPr>
          <w:b/>
          <w:szCs w:val="20"/>
        </w:rPr>
      </w:pPr>
      <w:r w:rsidRPr="00044710">
        <w:rPr>
          <w:b/>
          <w:szCs w:val="20"/>
        </w:rPr>
        <w:t xml:space="preserve">Table: IUR for One-year </w:t>
      </w:r>
      <w:proofErr w:type="spellStart"/>
      <w:r w:rsidRPr="00044710">
        <w:rPr>
          <w:b/>
          <w:szCs w:val="20"/>
        </w:rPr>
        <w:t>STrR</w:t>
      </w:r>
      <w:proofErr w:type="spellEnd"/>
      <w:r w:rsidRPr="00044710">
        <w:rPr>
          <w:b/>
          <w:szCs w:val="20"/>
        </w:rPr>
        <w:t>, Overall and by Facility Size, 2009-2012</w:t>
      </w:r>
    </w:p>
    <w:tbl>
      <w:tblPr>
        <w:tblStyle w:val="TableGrid"/>
        <w:tblW w:w="9180" w:type="dxa"/>
        <w:tblInd w:w="449"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932"/>
        <w:gridCol w:w="973"/>
        <w:gridCol w:w="932"/>
        <w:gridCol w:w="973"/>
        <w:gridCol w:w="932"/>
        <w:gridCol w:w="973"/>
        <w:gridCol w:w="932"/>
        <w:gridCol w:w="973"/>
      </w:tblGrid>
      <w:tr w:rsidR="00044710" w:rsidRPr="008A7F87" w:rsidTr="00D30485">
        <w:tc>
          <w:tcPr>
            <w:tcW w:w="1560" w:type="dxa"/>
            <w:tcBorders>
              <w:top w:val="single" w:sz="4" w:space="0" w:color="auto"/>
              <w:bottom w:val="nil"/>
            </w:tcBorders>
          </w:tcPr>
          <w:p w:rsidR="00044710" w:rsidRPr="008A7F87" w:rsidRDefault="00044710" w:rsidP="00D30485">
            <w:pPr>
              <w:pStyle w:val="BodyText"/>
              <w:rPr>
                <w:rFonts w:asciiTheme="minorHAnsi" w:hAnsiTheme="minorHAnsi" w:cstheme="minorHAnsi"/>
                <w:sz w:val="16"/>
                <w:szCs w:val="18"/>
              </w:rPr>
            </w:pPr>
          </w:p>
        </w:tc>
        <w:tc>
          <w:tcPr>
            <w:tcW w:w="1905" w:type="dxa"/>
            <w:gridSpan w:val="2"/>
            <w:tcBorders>
              <w:top w:val="single" w:sz="4" w:space="0" w:color="auto"/>
              <w:bottom w:val="single" w:sz="4" w:space="0" w:color="auto"/>
            </w:tcBorders>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2009</w:t>
            </w:r>
          </w:p>
        </w:tc>
        <w:tc>
          <w:tcPr>
            <w:tcW w:w="1905" w:type="dxa"/>
            <w:gridSpan w:val="2"/>
            <w:tcBorders>
              <w:top w:val="single" w:sz="4" w:space="0" w:color="auto"/>
              <w:left w:val="single" w:sz="4" w:space="0" w:color="auto"/>
              <w:bottom w:val="single" w:sz="4" w:space="0" w:color="auto"/>
            </w:tcBorders>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2010</w:t>
            </w:r>
          </w:p>
        </w:tc>
        <w:tc>
          <w:tcPr>
            <w:tcW w:w="1905" w:type="dxa"/>
            <w:gridSpan w:val="2"/>
            <w:tcBorders>
              <w:top w:val="single" w:sz="4" w:space="0" w:color="auto"/>
              <w:left w:val="single" w:sz="4" w:space="0" w:color="auto"/>
              <w:bottom w:val="single" w:sz="4" w:space="0" w:color="auto"/>
            </w:tcBorders>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2011</w:t>
            </w:r>
          </w:p>
        </w:tc>
        <w:tc>
          <w:tcPr>
            <w:tcW w:w="1905" w:type="dxa"/>
            <w:gridSpan w:val="2"/>
            <w:tcBorders>
              <w:top w:val="single" w:sz="4" w:space="0" w:color="auto"/>
              <w:left w:val="single" w:sz="4" w:space="0" w:color="auto"/>
              <w:bottom w:val="single" w:sz="4" w:space="0" w:color="auto"/>
            </w:tcBorders>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2012</w:t>
            </w:r>
          </w:p>
        </w:tc>
      </w:tr>
      <w:tr w:rsidR="00044710" w:rsidRPr="008A7F87" w:rsidTr="00D30485">
        <w:tc>
          <w:tcPr>
            <w:tcW w:w="1560" w:type="dxa"/>
            <w:tcBorders>
              <w:top w:val="nil"/>
              <w:bottom w:val="single" w:sz="4" w:space="0" w:color="auto"/>
            </w:tcBorders>
          </w:tcPr>
          <w:p w:rsidR="00044710" w:rsidRPr="008A7F87" w:rsidRDefault="00044710" w:rsidP="00D30485">
            <w:pPr>
              <w:pStyle w:val="BodyText"/>
              <w:ind w:left="0"/>
              <w:rPr>
                <w:rFonts w:asciiTheme="minorHAnsi" w:hAnsiTheme="minorHAnsi" w:cstheme="minorHAnsi"/>
                <w:sz w:val="16"/>
                <w:szCs w:val="18"/>
                <w:lang w:val="en-US"/>
              </w:rPr>
            </w:pPr>
            <w:r w:rsidRPr="008A7F87">
              <w:rPr>
                <w:rFonts w:asciiTheme="minorHAnsi" w:hAnsiTheme="minorHAnsi" w:cstheme="minorHAnsi"/>
                <w:sz w:val="16"/>
                <w:szCs w:val="18"/>
              </w:rPr>
              <w:t>Facility Size</w:t>
            </w:r>
          </w:p>
          <w:p w:rsidR="00044710" w:rsidRPr="008A7F87" w:rsidRDefault="00044710" w:rsidP="00D30485">
            <w:pPr>
              <w:pStyle w:val="BodyText"/>
              <w:ind w:left="0"/>
              <w:rPr>
                <w:rFonts w:asciiTheme="minorHAnsi" w:hAnsiTheme="minorHAnsi" w:cstheme="minorHAnsi"/>
                <w:sz w:val="16"/>
                <w:szCs w:val="18"/>
              </w:rPr>
            </w:pPr>
            <w:r w:rsidRPr="008A7F87">
              <w:rPr>
                <w:rFonts w:asciiTheme="minorHAnsi" w:hAnsiTheme="minorHAnsi" w:cstheme="minorHAnsi"/>
                <w:sz w:val="16"/>
                <w:szCs w:val="18"/>
              </w:rPr>
              <w:t>(N</w:t>
            </w:r>
            <w:r w:rsidRPr="008A7F87">
              <w:rPr>
                <w:rFonts w:asciiTheme="minorHAnsi" w:hAnsiTheme="minorHAnsi" w:cstheme="minorHAnsi"/>
                <w:sz w:val="16"/>
                <w:szCs w:val="18"/>
                <w:lang w:val="en-US"/>
              </w:rPr>
              <w:t xml:space="preserve">o. </w:t>
            </w:r>
            <w:r w:rsidRPr="008A7F87">
              <w:rPr>
                <w:rFonts w:asciiTheme="minorHAnsi" w:hAnsiTheme="minorHAnsi" w:cstheme="minorHAnsi"/>
                <w:sz w:val="16"/>
                <w:szCs w:val="18"/>
              </w:rPr>
              <w:t>of</w:t>
            </w:r>
            <w:r w:rsidRPr="008A7F87">
              <w:rPr>
                <w:rFonts w:asciiTheme="minorHAnsi" w:hAnsiTheme="minorHAnsi" w:cstheme="minorHAnsi"/>
                <w:sz w:val="16"/>
                <w:szCs w:val="18"/>
                <w:lang w:val="en-US"/>
              </w:rPr>
              <w:t xml:space="preserve"> </w:t>
            </w:r>
            <w:r w:rsidRPr="008A7F87">
              <w:rPr>
                <w:rFonts w:asciiTheme="minorHAnsi" w:hAnsiTheme="minorHAnsi" w:cstheme="minorHAnsi"/>
                <w:sz w:val="16"/>
                <w:szCs w:val="18"/>
              </w:rPr>
              <w:t>patients)</w:t>
            </w:r>
          </w:p>
        </w:tc>
        <w:tc>
          <w:tcPr>
            <w:tcW w:w="932" w:type="dxa"/>
            <w:tcBorders>
              <w:top w:val="single" w:sz="4" w:space="0" w:color="auto"/>
              <w:bottom w:val="single" w:sz="4" w:space="0" w:color="auto"/>
            </w:tcBorders>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IUR</w:t>
            </w:r>
          </w:p>
        </w:tc>
        <w:tc>
          <w:tcPr>
            <w:tcW w:w="973" w:type="dxa"/>
            <w:tcBorders>
              <w:top w:val="single" w:sz="4" w:space="0" w:color="auto"/>
              <w:bottom w:val="single" w:sz="4" w:space="0" w:color="auto"/>
            </w:tcBorders>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N</w:t>
            </w:r>
          </w:p>
        </w:tc>
        <w:tc>
          <w:tcPr>
            <w:tcW w:w="932" w:type="dxa"/>
            <w:tcBorders>
              <w:top w:val="single" w:sz="4" w:space="0" w:color="auto"/>
              <w:left w:val="single" w:sz="4" w:space="0" w:color="auto"/>
              <w:bottom w:val="single" w:sz="4" w:space="0" w:color="auto"/>
            </w:tcBorders>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IUR</w:t>
            </w:r>
          </w:p>
        </w:tc>
        <w:tc>
          <w:tcPr>
            <w:tcW w:w="973" w:type="dxa"/>
            <w:tcBorders>
              <w:top w:val="single" w:sz="4" w:space="0" w:color="auto"/>
              <w:bottom w:val="single" w:sz="4" w:space="0" w:color="auto"/>
            </w:tcBorders>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N</w:t>
            </w:r>
          </w:p>
        </w:tc>
        <w:tc>
          <w:tcPr>
            <w:tcW w:w="932" w:type="dxa"/>
            <w:tcBorders>
              <w:top w:val="single" w:sz="4" w:space="0" w:color="auto"/>
              <w:left w:val="single" w:sz="4" w:space="0" w:color="auto"/>
              <w:bottom w:val="single" w:sz="4" w:space="0" w:color="auto"/>
            </w:tcBorders>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IUR</w:t>
            </w:r>
          </w:p>
        </w:tc>
        <w:tc>
          <w:tcPr>
            <w:tcW w:w="973" w:type="dxa"/>
            <w:tcBorders>
              <w:top w:val="single" w:sz="4" w:space="0" w:color="auto"/>
              <w:bottom w:val="single" w:sz="4" w:space="0" w:color="auto"/>
            </w:tcBorders>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N</w:t>
            </w:r>
          </w:p>
        </w:tc>
        <w:tc>
          <w:tcPr>
            <w:tcW w:w="932" w:type="dxa"/>
            <w:tcBorders>
              <w:top w:val="single" w:sz="4" w:space="0" w:color="auto"/>
              <w:left w:val="single" w:sz="4" w:space="0" w:color="auto"/>
              <w:bottom w:val="single" w:sz="4" w:space="0" w:color="auto"/>
            </w:tcBorders>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IUR</w:t>
            </w:r>
          </w:p>
        </w:tc>
        <w:tc>
          <w:tcPr>
            <w:tcW w:w="973" w:type="dxa"/>
            <w:tcBorders>
              <w:top w:val="single" w:sz="4" w:space="0" w:color="auto"/>
              <w:bottom w:val="single" w:sz="4" w:space="0" w:color="auto"/>
            </w:tcBorders>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N</w:t>
            </w:r>
          </w:p>
        </w:tc>
      </w:tr>
      <w:tr w:rsidR="00044710" w:rsidRPr="008A7F87" w:rsidTr="00D30485">
        <w:tc>
          <w:tcPr>
            <w:tcW w:w="1560" w:type="dxa"/>
            <w:tcBorders>
              <w:top w:val="single" w:sz="4" w:space="0" w:color="auto"/>
            </w:tcBorders>
          </w:tcPr>
          <w:p w:rsidR="00044710" w:rsidRPr="008A7F87" w:rsidRDefault="00044710" w:rsidP="00D30485">
            <w:pPr>
              <w:pStyle w:val="BodyText"/>
              <w:ind w:left="0"/>
              <w:rPr>
                <w:rFonts w:asciiTheme="minorHAnsi" w:hAnsiTheme="minorHAnsi" w:cstheme="minorHAnsi"/>
                <w:sz w:val="16"/>
                <w:szCs w:val="18"/>
              </w:rPr>
            </w:pPr>
            <w:r w:rsidRPr="008A7F87">
              <w:rPr>
                <w:rFonts w:asciiTheme="minorHAnsi" w:hAnsiTheme="minorHAnsi" w:cstheme="minorHAnsi"/>
                <w:sz w:val="16"/>
                <w:szCs w:val="18"/>
              </w:rPr>
              <w:t>All</w:t>
            </w:r>
          </w:p>
        </w:tc>
        <w:tc>
          <w:tcPr>
            <w:tcW w:w="932" w:type="dxa"/>
            <w:tcBorders>
              <w:top w:val="single" w:sz="4" w:space="0" w:color="auto"/>
            </w:tcBorders>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0.49</w:t>
            </w:r>
          </w:p>
        </w:tc>
        <w:tc>
          <w:tcPr>
            <w:tcW w:w="973" w:type="dxa"/>
            <w:tcBorders>
              <w:top w:val="single" w:sz="4" w:space="0" w:color="auto"/>
            </w:tcBorders>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4797</w:t>
            </w:r>
          </w:p>
        </w:tc>
        <w:tc>
          <w:tcPr>
            <w:tcW w:w="932" w:type="dxa"/>
            <w:tcBorders>
              <w:top w:val="single" w:sz="4" w:space="0" w:color="auto"/>
              <w:left w:val="single" w:sz="4" w:space="0" w:color="auto"/>
            </w:tcBorders>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0.53</w:t>
            </w:r>
          </w:p>
        </w:tc>
        <w:tc>
          <w:tcPr>
            <w:tcW w:w="973" w:type="dxa"/>
            <w:tcBorders>
              <w:top w:val="single" w:sz="4" w:space="0" w:color="auto"/>
            </w:tcBorders>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4985</w:t>
            </w:r>
          </w:p>
        </w:tc>
        <w:tc>
          <w:tcPr>
            <w:tcW w:w="932" w:type="dxa"/>
            <w:tcBorders>
              <w:top w:val="single" w:sz="4" w:space="0" w:color="auto"/>
              <w:left w:val="single" w:sz="4" w:space="0" w:color="auto"/>
            </w:tcBorders>
            <w:vAlign w:val="bottom"/>
          </w:tcPr>
          <w:p w:rsidR="00044710" w:rsidRPr="008A7F87" w:rsidRDefault="00044710" w:rsidP="00D30485">
            <w:pPr>
              <w:pStyle w:val="BodyText"/>
              <w:rPr>
                <w:rFonts w:asciiTheme="minorHAnsi" w:hAnsiTheme="minorHAnsi" w:cstheme="minorHAnsi"/>
                <w:bCs/>
                <w:sz w:val="16"/>
                <w:szCs w:val="18"/>
              </w:rPr>
            </w:pPr>
            <w:r w:rsidRPr="008A7F87">
              <w:rPr>
                <w:rFonts w:asciiTheme="minorHAnsi" w:hAnsiTheme="minorHAnsi" w:cstheme="minorHAnsi"/>
                <w:bCs/>
                <w:sz w:val="16"/>
                <w:szCs w:val="18"/>
              </w:rPr>
              <w:t>0.55</w:t>
            </w:r>
          </w:p>
        </w:tc>
        <w:tc>
          <w:tcPr>
            <w:tcW w:w="973" w:type="dxa"/>
            <w:tcBorders>
              <w:top w:val="single" w:sz="4" w:space="0" w:color="auto"/>
            </w:tcBorders>
            <w:vAlign w:val="bottom"/>
          </w:tcPr>
          <w:p w:rsidR="00044710" w:rsidRPr="008A7F87" w:rsidRDefault="00044710" w:rsidP="00D30485">
            <w:pPr>
              <w:pStyle w:val="BodyText"/>
              <w:rPr>
                <w:rFonts w:asciiTheme="minorHAnsi" w:hAnsiTheme="minorHAnsi" w:cstheme="minorHAnsi"/>
                <w:bCs/>
                <w:sz w:val="16"/>
                <w:szCs w:val="18"/>
              </w:rPr>
            </w:pPr>
            <w:r w:rsidRPr="008A7F87">
              <w:rPr>
                <w:rFonts w:asciiTheme="minorHAnsi" w:hAnsiTheme="minorHAnsi" w:cstheme="minorHAnsi"/>
                <w:bCs/>
                <w:sz w:val="16"/>
                <w:szCs w:val="18"/>
              </w:rPr>
              <w:t>5117</w:t>
            </w:r>
          </w:p>
        </w:tc>
        <w:tc>
          <w:tcPr>
            <w:tcW w:w="932" w:type="dxa"/>
            <w:tcBorders>
              <w:top w:val="single" w:sz="4" w:space="0" w:color="auto"/>
              <w:left w:val="single" w:sz="4" w:space="0" w:color="auto"/>
            </w:tcBorders>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0.54</w:t>
            </w:r>
          </w:p>
        </w:tc>
        <w:tc>
          <w:tcPr>
            <w:tcW w:w="973" w:type="dxa"/>
            <w:tcBorders>
              <w:top w:val="single" w:sz="4" w:space="0" w:color="auto"/>
            </w:tcBorders>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5278</w:t>
            </w:r>
          </w:p>
        </w:tc>
      </w:tr>
      <w:tr w:rsidR="00044710" w:rsidRPr="008A7F87" w:rsidTr="00D30485">
        <w:tc>
          <w:tcPr>
            <w:tcW w:w="1560" w:type="dxa"/>
          </w:tcPr>
          <w:p w:rsidR="00044710" w:rsidRPr="008A7F87" w:rsidRDefault="00044710" w:rsidP="00D30485">
            <w:pPr>
              <w:pStyle w:val="BodyText"/>
              <w:ind w:left="0"/>
              <w:rPr>
                <w:rFonts w:asciiTheme="minorHAnsi" w:hAnsiTheme="minorHAnsi" w:cstheme="minorHAnsi"/>
                <w:sz w:val="16"/>
                <w:szCs w:val="18"/>
              </w:rPr>
            </w:pPr>
            <w:r w:rsidRPr="008A7F87">
              <w:rPr>
                <w:rFonts w:asciiTheme="minorHAnsi" w:hAnsiTheme="minorHAnsi" w:cstheme="minorHAnsi"/>
                <w:sz w:val="16"/>
                <w:szCs w:val="18"/>
              </w:rPr>
              <w:t>Small (&lt;=46)</w:t>
            </w:r>
          </w:p>
        </w:tc>
        <w:tc>
          <w:tcPr>
            <w:tcW w:w="932" w:type="dxa"/>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0.36</w:t>
            </w:r>
          </w:p>
        </w:tc>
        <w:tc>
          <w:tcPr>
            <w:tcW w:w="973" w:type="dxa"/>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1513</w:t>
            </w:r>
          </w:p>
        </w:tc>
        <w:tc>
          <w:tcPr>
            <w:tcW w:w="932" w:type="dxa"/>
            <w:tcBorders>
              <w:left w:val="single" w:sz="4" w:space="0" w:color="auto"/>
            </w:tcBorders>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0.44</w:t>
            </w:r>
          </w:p>
        </w:tc>
        <w:tc>
          <w:tcPr>
            <w:tcW w:w="973" w:type="dxa"/>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1576</w:t>
            </w:r>
          </w:p>
        </w:tc>
        <w:tc>
          <w:tcPr>
            <w:tcW w:w="932" w:type="dxa"/>
            <w:tcBorders>
              <w:left w:val="single" w:sz="4" w:space="0" w:color="auto"/>
            </w:tcBorders>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0.38</w:t>
            </w:r>
          </w:p>
        </w:tc>
        <w:tc>
          <w:tcPr>
            <w:tcW w:w="973" w:type="dxa"/>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1706</w:t>
            </w:r>
          </w:p>
        </w:tc>
        <w:tc>
          <w:tcPr>
            <w:tcW w:w="932" w:type="dxa"/>
            <w:tcBorders>
              <w:left w:val="single" w:sz="4" w:space="0" w:color="auto"/>
            </w:tcBorders>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0.36</w:t>
            </w:r>
          </w:p>
        </w:tc>
        <w:tc>
          <w:tcPr>
            <w:tcW w:w="973" w:type="dxa"/>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1743</w:t>
            </w:r>
          </w:p>
        </w:tc>
      </w:tr>
      <w:tr w:rsidR="00044710" w:rsidRPr="008A7F87" w:rsidTr="00D30485">
        <w:tc>
          <w:tcPr>
            <w:tcW w:w="1560" w:type="dxa"/>
          </w:tcPr>
          <w:p w:rsidR="00044710" w:rsidRPr="008A7F87" w:rsidRDefault="00044710" w:rsidP="00D30485">
            <w:pPr>
              <w:pStyle w:val="BodyText"/>
              <w:ind w:left="0"/>
              <w:rPr>
                <w:rFonts w:asciiTheme="minorHAnsi" w:hAnsiTheme="minorHAnsi" w:cstheme="minorHAnsi"/>
                <w:sz w:val="16"/>
                <w:szCs w:val="18"/>
              </w:rPr>
            </w:pPr>
            <w:r w:rsidRPr="008A7F87">
              <w:rPr>
                <w:rFonts w:asciiTheme="minorHAnsi" w:hAnsiTheme="minorHAnsi" w:cstheme="minorHAnsi"/>
                <w:sz w:val="16"/>
                <w:szCs w:val="18"/>
              </w:rPr>
              <w:t>Medium (47–78)</w:t>
            </w:r>
          </w:p>
        </w:tc>
        <w:tc>
          <w:tcPr>
            <w:tcW w:w="932" w:type="dxa"/>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0.46</w:t>
            </w:r>
          </w:p>
        </w:tc>
        <w:tc>
          <w:tcPr>
            <w:tcW w:w="973" w:type="dxa"/>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1637</w:t>
            </w:r>
          </w:p>
        </w:tc>
        <w:tc>
          <w:tcPr>
            <w:tcW w:w="932" w:type="dxa"/>
            <w:tcBorders>
              <w:left w:val="single" w:sz="4" w:space="0" w:color="auto"/>
            </w:tcBorders>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0.49</w:t>
            </w:r>
          </w:p>
        </w:tc>
        <w:tc>
          <w:tcPr>
            <w:tcW w:w="973" w:type="dxa"/>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1682</w:t>
            </w:r>
          </w:p>
        </w:tc>
        <w:tc>
          <w:tcPr>
            <w:tcW w:w="932" w:type="dxa"/>
            <w:tcBorders>
              <w:left w:val="single" w:sz="4" w:space="0" w:color="auto"/>
            </w:tcBorders>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0.52</w:t>
            </w:r>
          </w:p>
        </w:tc>
        <w:tc>
          <w:tcPr>
            <w:tcW w:w="973" w:type="dxa"/>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1687</w:t>
            </w:r>
          </w:p>
        </w:tc>
        <w:tc>
          <w:tcPr>
            <w:tcW w:w="932" w:type="dxa"/>
            <w:tcBorders>
              <w:left w:val="single" w:sz="4" w:space="0" w:color="auto"/>
            </w:tcBorders>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0.54</w:t>
            </w:r>
          </w:p>
        </w:tc>
        <w:tc>
          <w:tcPr>
            <w:tcW w:w="973" w:type="dxa"/>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1817</w:t>
            </w:r>
          </w:p>
        </w:tc>
      </w:tr>
      <w:tr w:rsidR="00044710" w:rsidRPr="008A7F87" w:rsidTr="00D30485">
        <w:tc>
          <w:tcPr>
            <w:tcW w:w="1560" w:type="dxa"/>
          </w:tcPr>
          <w:p w:rsidR="00044710" w:rsidRPr="008A7F87" w:rsidRDefault="00044710" w:rsidP="00D30485">
            <w:pPr>
              <w:pStyle w:val="BodyText"/>
              <w:ind w:left="0"/>
              <w:rPr>
                <w:rFonts w:asciiTheme="minorHAnsi" w:hAnsiTheme="minorHAnsi" w:cstheme="minorHAnsi"/>
                <w:sz w:val="16"/>
                <w:szCs w:val="18"/>
              </w:rPr>
            </w:pPr>
            <w:r w:rsidRPr="008A7F87">
              <w:rPr>
                <w:rFonts w:asciiTheme="minorHAnsi" w:hAnsiTheme="minorHAnsi" w:cstheme="minorHAnsi"/>
                <w:sz w:val="16"/>
                <w:szCs w:val="18"/>
              </w:rPr>
              <w:t>Large (&gt;=79)</w:t>
            </w:r>
          </w:p>
        </w:tc>
        <w:tc>
          <w:tcPr>
            <w:tcW w:w="932" w:type="dxa"/>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0.59</w:t>
            </w:r>
          </w:p>
        </w:tc>
        <w:tc>
          <w:tcPr>
            <w:tcW w:w="973" w:type="dxa"/>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1647</w:t>
            </w:r>
          </w:p>
        </w:tc>
        <w:tc>
          <w:tcPr>
            <w:tcW w:w="932" w:type="dxa"/>
            <w:tcBorders>
              <w:left w:val="single" w:sz="4" w:space="0" w:color="auto"/>
            </w:tcBorders>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0.6</w:t>
            </w:r>
          </w:p>
        </w:tc>
        <w:tc>
          <w:tcPr>
            <w:tcW w:w="973" w:type="dxa"/>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1727</w:t>
            </w:r>
          </w:p>
        </w:tc>
        <w:tc>
          <w:tcPr>
            <w:tcW w:w="932" w:type="dxa"/>
            <w:tcBorders>
              <w:left w:val="single" w:sz="4" w:space="0" w:color="auto"/>
            </w:tcBorders>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0.66</w:t>
            </w:r>
          </w:p>
        </w:tc>
        <w:tc>
          <w:tcPr>
            <w:tcW w:w="973" w:type="dxa"/>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1724</w:t>
            </w:r>
          </w:p>
        </w:tc>
        <w:tc>
          <w:tcPr>
            <w:tcW w:w="932" w:type="dxa"/>
            <w:tcBorders>
              <w:left w:val="single" w:sz="4" w:space="0" w:color="auto"/>
            </w:tcBorders>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0.65</w:t>
            </w:r>
          </w:p>
        </w:tc>
        <w:tc>
          <w:tcPr>
            <w:tcW w:w="973" w:type="dxa"/>
            <w:vAlign w:val="bottom"/>
          </w:tcPr>
          <w:p w:rsidR="00044710" w:rsidRPr="008A7F87" w:rsidRDefault="00044710" w:rsidP="00D30485">
            <w:pPr>
              <w:pStyle w:val="BodyText"/>
              <w:rPr>
                <w:rFonts w:asciiTheme="minorHAnsi" w:hAnsiTheme="minorHAnsi" w:cstheme="minorHAnsi"/>
                <w:sz w:val="16"/>
                <w:szCs w:val="18"/>
              </w:rPr>
            </w:pPr>
            <w:r w:rsidRPr="008A7F87">
              <w:rPr>
                <w:rFonts w:asciiTheme="minorHAnsi" w:hAnsiTheme="minorHAnsi" w:cstheme="minorHAnsi"/>
                <w:sz w:val="16"/>
                <w:szCs w:val="18"/>
              </w:rPr>
              <w:t>1718</w:t>
            </w:r>
          </w:p>
        </w:tc>
      </w:tr>
    </w:tbl>
    <w:p w:rsidR="00044710" w:rsidRPr="00A25024" w:rsidRDefault="00044710" w:rsidP="008C54A9">
      <w:pPr>
        <w:autoSpaceDE w:val="0"/>
        <w:autoSpaceDN w:val="0"/>
        <w:adjustRightInd w:val="0"/>
        <w:spacing w:after="0" w:line="240" w:lineRule="auto"/>
        <w:rPr>
          <w:rFonts w:cstheme="minorHAnsi"/>
          <w:bCs/>
        </w:rPr>
      </w:pPr>
    </w:p>
    <w:p w:rsidR="00044710" w:rsidRPr="00044710" w:rsidRDefault="00092566" w:rsidP="00044710">
      <w:pPr>
        <w:spacing w:after="120"/>
        <w:rPr>
          <w:szCs w:val="20"/>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044710" w:rsidRPr="00044710">
        <w:rPr>
          <w:szCs w:val="20"/>
        </w:rPr>
        <w:t>The temporal positive correlation values of the measure indicates that facilities with higher (or lower) transfusion rates in one year tend to have higher (or lower) transfusion rates in the following year.</w:t>
      </w:r>
    </w:p>
    <w:p w:rsidR="007422FD" w:rsidRPr="00044710" w:rsidRDefault="00044710" w:rsidP="00044710">
      <w:pPr>
        <w:autoSpaceDE w:val="0"/>
        <w:autoSpaceDN w:val="0"/>
        <w:adjustRightInd w:val="0"/>
        <w:spacing w:after="0" w:line="240" w:lineRule="auto"/>
        <w:rPr>
          <w:rFonts w:cstheme="minorHAnsi"/>
          <w:bCs/>
          <w:sz w:val="24"/>
        </w:rPr>
      </w:pPr>
      <w:r w:rsidRPr="00044710">
        <w:rPr>
          <w:szCs w:val="20"/>
        </w:rPr>
        <w:t>This value of IUR indicates a moderate degree of reliability. When stratified by facility size, we find that, as expected, larger facilities have greater IUR.</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383473"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044710">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383473"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044710">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04471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044710" w:rsidRDefault="00092566" w:rsidP="00DB3627">
      <w:pPr>
        <w:autoSpaceDE w:val="0"/>
        <w:autoSpaceDN w:val="0"/>
        <w:adjustRightInd w:val="0"/>
        <w:spacing w:after="0" w:line="240" w:lineRule="auto"/>
        <w:rPr>
          <w:rFonts w:cstheme="minorHAnsi"/>
          <w:bCs/>
          <w:i/>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rsidR="00044710" w:rsidRDefault="00044710" w:rsidP="00DB3627">
      <w:pPr>
        <w:autoSpaceDE w:val="0"/>
        <w:autoSpaceDN w:val="0"/>
        <w:adjustRightInd w:val="0"/>
        <w:spacing w:after="0" w:line="240" w:lineRule="auto"/>
        <w:rPr>
          <w:rFonts w:cstheme="minorHAnsi"/>
          <w:bCs/>
          <w:i/>
        </w:rPr>
      </w:pPr>
    </w:p>
    <w:p w:rsidR="00044710" w:rsidRPr="00044710" w:rsidRDefault="00044710" w:rsidP="00044710">
      <w:pPr>
        <w:spacing w:after="120"/>
        <w:rPr>
          <w:szCs w:val="20"/>
        </w:rPr>
      </w:pPr>
      <w:r w:rsidRPr="00044710">
        <w:rPr>
          <w:szCs w:val="20"/>
        </w:rPr>
        <w:t>Validation of critical data elements: The critical data elements for this measure (transfusion and exclusion comorbidity claims) come from Medicare claims data. However we did not conduct validation for each individual data element as it is an exhaustive process.</w:t>
      </w:r>
    </w:p>
    <w:p w:rsidR="00833325" w:rsidRPr="00A25024" w:rsidRDefault="00044710" w:rsidP="00044710">
      <w:pPr>
        <w:autoSpaceDE w:val="0"/>
        <w:autoSpaceDN w:val="0"/>
        <w:adjustRightInd w:val="0"/>
        <w:spacing w:after="0" w:line="240" w:lineRule="auto"/>
        <w:rPr>
          <w:rFonts w:cstheme="minorHAnsi"/>
          <w:bCs/>
        </w:rPr>
      </w:pPr>
      <w:r w:rsidRPr="00044710">
        <w:rPr>
          <w:szCs w:val="20"/>
        </w:rPr>
        <w:t xml:space="preserve">Validation of the measure: We assessed validity of the </w:t>
      </w:r>
      <w:proofErr w:type="spellStart"/>
      <w:r w:rsidRPr="00044710">
        <w:rPr>
          <w:szCs w:val="20"/>
        </w:rPr>
        <w:t>STrR</w:t>
      </w:r>
      <w:proofErr w:type="spellEnd"/>
      <w:r w:rsidRPr="00044710">
        <w:rPr>
          <w:szCs w:val="20"/>
        </w:rPr>
        <w:t xml:space="preserve"> by performing Spearman correlations between the </w:t>
      </w:r>
      <w:proofErr w:type="spellStart"/>
      <w:r w:rsidRPr="00044710">
        <w:rPr>
          <w:szCs w:val="20"/>
        </w:rPr>
        <w:t>STrR</w:t>
      </w:r>
      <w:proofErr w:type="spellEnd"/>
      <w:r w:rsidRPr="00044710">
        <w:rPr>
          <w:szCs w:val="20"/>
        </w:rPr>
        <w:t xml:space="preserve"> and other measures of quality among ESRD population. Results of the correlation estimates were statistically significant. In May 2012 there was an assessment of the </w:t>
      </w:r>
      <w:r w:rsidR="009410CF" w:rsidRPr="00044710">
        <w:rPr>
          <w:szCs w:val="20"/>
        </w:rPr>
        <w:t>measure’s face</w:t>
      </w:r>
      <w:r w:rsidRPr="00044710">
        <w:rPr>
          <w:szCs w:val="20"/>
        </w:rPr>
        <w:t xml:space="preserve"> validity based on polling of a CMS Technical Expert Panel (TEP).</w:t>
      </w:r>
      <w:r w:rsidR="00833325" w:rsidRPr="00A25024">
        <w:rPr>
          <w:rFonts w:cstheme="minorHAnsi"/>
          <w:bCs/>
        </w:rPr>
        <w:br/>
      </w:r>
    </w:p>
    <w:p w:rsidR="00833325" w:rsidRPr="00A25024" w:rsidRDefault="00833325" w:rsidP="00DB3627">
      <w:pPr>
        <w:autoSpaceDE w:val="0"/>
        <w:autoSpaceDN w:val="0"/>
        <w:adjustRightInd w:val="0"/>
        <w:spacing w:after="0" w:line="240" w:lineRule="auto"/>
        <w:rPr>
          <w:rFonts w:cstheme="minorHAnsi"/>
          <w:bCs/>
        </w:rPr>
      </w:pPr>
    </w:p>
    <w:p w:rsidR="00044710"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rsidR="00044710" w:rsidRDefault="00044710" w:rsidP="00092566">
      <w:pPr>
        <w:autoSpaceDE w:val="0"/>
        <w:autoSpaceDN w:val="0"/>
        <w:adjustRightInd w:val="0"/>
        <w:spacing w:after="0" w:line="240" w:lineRule="auto"/>
        <w:rPr>
          <w:rFonts w:cstheme="minorHAnsi"/>
          <w:bCs/>
        </w:rPr>
      </w:pPr>
    </w:p>
    <w:p w:rsidR="00044710" w:rsidRDefault="00044710" w:rsidP="00044710">
      <w:pPr>
        <w:autoSpaceDE w:val="0"/>
        <w:autoSpaceDN w:val="0"/>
        <w:adjustRightInd w:val="0"/>
        <w:spacing w:after="0" w:line="240" w:lineRule="auto"/>
        <w:rPr>
          <w:rFonts w:cstheme="minorHAnsi"/>
          <w:bCs/>
        </w:rPr>
      </w:pPr>
      <w:r w:rsidRPr="00044710">
        <w:rPr>
          <w:rFonts w:cstheme="minorHAnsi"/>
          <w:bCs/>
        </w:rPr>
        <w:t xml:space="preserve">The validity of the </w:t>
      </w:r>
      <w:proofErr w:type="spellStart"/>
      <w:r w:rsidRPr="00044710">
        <w:rPr>
          <w:rFonts w:cstheme="minorHAnsi"/>
          <w:bCs/>
        </w:rPr>
        <w:t>STrR</w:t>
      </w:r>
      <w:proofErr w:type="spellEnd"/>
      <w:r w:rsidRPr="00044710">
        <w:rPr>
          <w:rFonts w:cstheme="minorHAnsi"/>
          <w:bCs/>
        </w:rPr>
        <w:t xml:space="preserve"> measure is supported by its association with other known quality measures, which include both dialysis facility outcomes and practices. Spearman’s rho is reported for all measures. For year 2012, we find that the measure is positively correlated with two health outcome measures: the NQF endorsed #1463 one-year Standardized Hospitalization Ratio for Admissions (rho = 0.40, p &lt; .0001), the NQF endorsed #0369 one-year Standardized Mortality Ratio (rho = 0.23, p &lt; .0001), and the one-year Standardized Readmission Ratio (rho = 0.17, p &lt; .0001). We also tested the association with average hemoglobin values of all ESA-treated dialysis patients (rho = -0.16, p &lt; .0001). The negative correlation indicates that lower values of hemoglobin are associated with higher values of </w:t>
      </w:r>
      <w:proofErr w:type="spellStart"/>
      <w:r w:rsidRPr="00044710">
        <w:rPr>
          <w:rFonts w:cstheme="minorHAnsi"/>
          <w:bCs/>
        </w:rPr>
        <w:t>STrR</w:t>
      </w:r>
      <w:proofErr w:type="spellEnd"/>
      <w:r w:rsidRPr="00044710">
        <w:rPr>
          <w:rFonts w:cstheme="minorHAnsi"/>
          <w:bCs/>
        </w:rPr>
        <w:t xml:space="preserve">. Similarly, the positive correlation with the percent of patients with </w:t>
      </w:r>
      <w:proofErr w:type="spellStart"/>
      <w:r w:rsidRPr="00044710">
        <w:rPr>
          <w:rFonts w:cstheme="minorHAnsi"/>
          <w:bCs/>
        </w:rPr>
        <w:t>Hgb</w:t>
      </w:r>
      <w:proofErr w:type="spellEnd"/>
      <w:r w:rsidRPr="00044710">
        <w:rPr>
          <w:rFonts w:cstheme="minorHAnsi"/>
          <w:bCs/>
        </w:rPr>
        <w:t xml:space="preserve"> &lt; 10 (rho = 0.20, p &lt; .0001) indicates that a higher % of patients with </w:t>
      </w:r>
      <w:proofErr w:type="spellStart"/>
      <w:r w:rsidRPr="00044710">
        <w:rPr>
          <w:rFonts w:cstheme="minorHAnsi"/>
          <w:bCs/>
        </w:rPr>
        <w:t>Hgb</w:t>
      </w:r>
      <w:proofErr w:type="spellEnd"/>
      <w:r w:rsidRPr="00044710">
        <w:rPr>
          <w:rFonts w:cstheme="minorHAnsi"/>
          <w:bCs/>
        </w:rPr>
        <w:t xml:space="preserve"> &lt; 10 is associated with higher </w:t>
      </w:r>
      <w:proofErr w:type="spellStart"/>
      <w:r w:rsidRPr="00044710">
        <w:rPr>
          <w:rFonts w:cstheme="minorHAnsi"/>
          <w:bCs/>
        </w:rPr>
        <w:t>STrR</w:t>
      </w:r>
      <w:proofErr w:type="spellEnd"/>
      <w:r w:rsidRPr="00044710">
        <w:rPr>
          <w:rFonts w:cstheme="minorHAnsi"/>
          <w:bCs/>
        </w:rPr>
        <w:t>.</w:t>
      </w:r>
    </w:p>
    <w:p w:rsidR="00044710" w:rsidRPr="00044710" w:rsidRDefault="00044710" w:rsidP="00044710">
      <w:pPr>
        <w:autoSpaceDE w:val="0"/>
        <w:autoSpaceDN w:val="0"/>
        <w:adjustRightInd w:val="0"/>
        <w:spacing w:after="0" w:line="240" w:lineRule="auto"/>
        <w:rPr>
          <w:rFonts w:cstheme="minorHAnsi"/>
          <w:bCs/>
        </w:rPr>
      </w:pPr>
    </w:p>
    <w:p w:rsidR="00044710" w:rsidRDefault="00044710" w:rsidP="00044710">
      <w:pPr>
        <w:autoSpaceDE w:val="0"/>
        <w:autoSpaceDN w:val="0"/>
        <w:adjustRightInd w:val="0"/>
        <w:spacing w:after="0" w:line="240" w:lineRule="auto"/>
        <w:rPr>
          <w:rFonts w:cstheme="minorHAnsi"/>
          <w:bCs/>
        </w:rPr>
      </w:pPr>
      <w:r w:rsidRPr="00044710">
        <w:rPr>
          <w:rFonts w:cstheme="minorHAnsi"/>
          <w:bCs/>
        </w:rPr>
        <w:t xml:space="preserve">Furthermore, the </w:t>
      </w:r>
      <w:proofErr w:type="spellStart"/>
      <w:r w:rsidRPr="00044710">
        <w:rPr>
          <w:rFonts w:cstheme="minorHAnsi"/>
          <w:bCs/>
        </w:rPr>
        <w:t>STrR</w:t>
      </w:r>
      <w:proofErr w:type="spellEnd"/>
      <w:r w:rsidRPr="00044710">
        <w:rPr>
          <w:rFonts w:cstheme="minorHAnsi"/>
          <w:bCs/>
        </w:rPr>
        <w:t xml:space="preserve"> is positively correlated with catheter use (rho =0.22, p &lt; .0001), indicating that higher values of </w:t>
      </w:r>
      <w:proofErr w:type="spellStart"/>
      <w:r w:rsidRPr="00044710">
        <w:rPr>
          <w:rFonts w:cstheme="minorHAnsi"/>
          <w:bCs/>
        </w:rPr>
        <w:t>STrR</w:t>
      </w:r>
      <w:proofErr w:type="spellEnd"/>
      <w:r w:rsidRPr="00044710">
        <w:rPr>
          <w:rFonts w:cstheme="minorHAnsi"/>
          <w:bCs/>
        </w:rPr>
        <w:t xml:space="preserve"> are associated with increased use of catheters. The </w:t>
      </w:r>
      <w:proofErr w:type="spellStart"/>
      <w:r w:rsidRPr="00044710">
        <w:rPr>
          <w:rFonts w:cstheme="minorHAnsi"/>
          <w:bCs/>
        </w:rPr>
        <w:t>STrR</w:t>
      </w:r>
      <w:proofErr w:type="spellEnd"/>
      <w:r w:rsidRPr="00044710">
        <w:rPr>
          <w:rFonts w:cstheme="minorHAnsi"/>
          <w:bCs/>
        </w:rPr>
        <w:t xml:space="preserve"> is negatively correlated with the percentage of patients with </w:t>
      </w:r>
      <w:proofErr w:type="spellStart"/>
      <w:r w:rsidRPr="00044710">
        <w:rPr>
          <w:rFonts w:cstheme="minorHAnsi"/>
          <w:bCs/>
        </w:rPr>
        <w:t>Kt</w:t>
      </w:r>
      <w:proofErr w:type="spellEnd"/>
      <w:r w:rsidRPr="00044710">
        <w:rPr>
          <w:rFonts w:cstheme="minorHAnsi"/>
          <w:bCs/>
        </w:rPr>
        <w:t xml:space="preserve">/V&gt;=1.2 (rho = -0.09, p &lt; .0001) and using a fistula (rho = -0.08, p &lt; .0001). That is, higher values of </w:t>
      </w:r>
      <w:proofErr w:type="spellStart"/>
      <w:r w:rsidRPr="00044710">
        <w:rPr>
          <w:rFonts w:cstheme="minorHAnsi"/>
          <w:bCs/>
        </w:rPr>
        <w:t>STrR</w:t>
      </w:r>
      <w:proofErr w:type="spellEnd"/>
      <w:r w:rsidRPr="00044710">
        <w:rPr>
          <w:rFonts w:cstheme="minorHAnsi"/>
          <w:bCs/>
        </w:rPr>
        <w:t xml:space="preserve"> are associated with lower rates of achievement of adequate dialysis measured by </w:t>
      </w:r>
      <w:proofErr w:type="spellStart"/>
      <w:r w:rsidRPr="00044710">
        <w:rPr>
          <w:rFonts w:cstheme="minorHAnsi"/>
          <w:bCs/>
        </w:rPr>
        <w:t>Kt</w:t>
      </w:r>
      <w:proofErr w:type="spellEnd"/>
      <w:r w:rsidRPr="00044710">
        <w:rPr>
          <w:rFonts w:cstheme="minorHAnsi"/>
          <w:bCs/>
        </w:rPr>
        <w:t>/V&gt;=1.2 and fistula use.</w:t>
      </w:r>
    </w:p>
    <w:p w:rsidR="00044710" w:rsidRPr="00044710" w:rsidRDefault="00044710" w:rsidP="00044710">
      <w:pPr>
        <w:autoSpaceDE w:val="0"/>
        <w:autoSpaceDN w:val="0"/>
        <w:adjustRightInd w:val="0"/>
        <w:spacing w:after="0" w:line="240" w:lineRule="auto"/>
        <w:rPr>
          <w:rFonts w:cstheme="minorHAnsi"/>
          <w:bCs/>
        </w:rPr>
      </w:pPr>
    </w:p>
    <w:p w:rsidR="007422FD" w:rsidRPr="00092566" w:rsidRDefault="00044710" w:rsidP="00044710">
      <w:pPr>
        <w:autoSpaceDE w:val="0"/>
        <w:autoSpaceDN w:val="0"/>
        <w:adjustRightInd w:val="0"/>
        <w:spacing w:after="0" w:line="240" w:lineRule="auto"/>
        <w:rPr>
          <w:rFonts w:cstheme="minorHAnsi"/>
          <w:bCs/>
        </w:rPr>
      </w:pPr>
      <w:r w:rsidRPr="00044710">
        <w:rPr>
          <w:rFonts w:cstheme="minorHAnsi"/>
          <w:bCs/>
        </w:rPr>
        <w:t>Six out of six voting members of CMS’s 2012 Technical Expert Panel voted to recommend development of a facility-level Standardized Transfusion Ratio measure. The consensus recommendation of that clinical expert panel included the recommendation to include risk adjustment for conditions that are associated with an increased risk of blood transfusion such as hereditary anemia, chronic bone marrow failure conditions and active cancer.</w:t>
      </w:r>
      <w:r w:rsidR="00833325" w:rsidRPr="00A25024">
        <w:rPr>
          <w:rFonts w:cstheme="minorHAnsi"/>
          <w:bCs/>
        </w:rPr>
        <w:br/>
      </w:r>
    </w:p>
    <w:p w:rsidR="00044710" w:rsidRDefault="00092566" w:rsidP="00DB3627">
      <w:pPr>
        <w:autoSpaceDE w:val="0"/>
        <w:autoSpaceDN w:val="0"/>
        <w:adjustRightInd w:val="0"/>
        <w:spacing w:after="0" w:line="240" w:lineRule="auto"/>
        <w:rPr>
          <w:rFonts w:cstheme="minorHAnsi"/>
          <w:bCs/>
        </w:rPr>
      </w:pPr>
      <w:r>
        <w:rPr>
          <w:rFonts w:cstheme="minorHAnsi"/>
          <w:b/>
          <w:bCs/>
        </w:rPr>
        <w:lastRenderedPageBreak/>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rsidR="00044710" w:rsidRDefault="00044710" w:rsidP="00DB3627">
      <w:pPr>
        <w:autoSpaceDE w:val="0"/>
        <w:autoSpaceDN w:val="0"/>
        <w:adjustRightInd w:val="0"/>
        <w:spacing w:after="0" w:line="240" w:lineRule="auto"/>
        <w:rPr>
          <w:rFonts w:cstheme="minorHAnsi"/>
          <w:bCs/>
        </w:rPr>
      </w:pPr>
    </w:p>
    <w:p w:rsidR="00044710" w:rsidRDefault="00044710" w:rsidP="00044710">
      <w:pPr>
        <w:autoSpaceDE w:val="0"/>
        <w:autoSpaceDN w:val="0"/>
        <w:adjustRightInd w:val="0"/>
        <w:spacing w:after="0" w:line="240" w:lineRule="auto"/>
        <w:rPr>
          <w:rFonts w:cstheme="minorHAnsi"/>
          <w:bCs/>
        </w:rPr>
      </w:pPr>
      <w:r w:rsidRPr="00044710">
        <w:rPr>
          <w:rFonts w:cstheme="minorHAnsi"/>
          <w:bCs/>
        </w:rPr>
        <w:t xml:space="preserve">The overall </w:t>
      </w:r>
      <w:proofErr w:type="gramStart"/>
      <w:r w:rsidRPr="00044710">
        <w:rPr>
          <w:rFonts w:cstheme="minorHAnsi"/>
          <w:bCs/>
        </w:rPr>
        <w:t>measure demonstrates both strong face validity and construct</w:t>
      </w:r>
      <w:proofErr w:type="gramEnd"/>
      <w:r w:rsidRPr="00044710">
        <w:rPr>
          <w:rFonts w:cstheme="minorHAnsi"/>
          <w:bCs/>
        </w:rPr>
        <w:t xml:space="preserve"> validity. The positive correlation between this measure and SMR and SHR respectively indicates that facilities with more transfusions than would be expected based on national rates, also have higher standardized mortality and standardized hospitalization rates, i.e., standardized to the national rates.</w:t>
      </w:r>
    </w:p>
    <w:p w:rsidR="00044710" w:rsidRPr="00044710" w:rsidRDefault="00044710" w:rsidP="00044710">
      <w:pPr>
        <w:autoSpaceDE w:val="0"/>
        <w:autoSpaceDN w:val="0"/>
        <w:adjustRightInd w:val="0"/>
        <w:spacing w:after="0" w:line="240" w:lineRule="auto"/>
        <w:rPr>
          <w:rFonts w:cstheme="minorHAnsi"/>
          <w:bCs/>
        </w:rPr>
      </w:pP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rsidR="00044710" w:rsidRPr="00044710" w:rsidRDefault="00044710" w:rsidP="00044710">
      <w:pPr>
        <w:autoSpaceDE w:val="0"/>
        <w:autoSpaceDN w:val="0"/>
        <w:adjustRightInd w:val="0"/>
        <w:spacing w:after="0" w:line="240" w:lineRule="auto"/>
        <w:rPr>
          <w:rFonts w:cstheme="minorHAnsi"/>
          <w:bCs/>
        </w:rPr>
      </w:pPr>
      <w:r w:rsidRPr="00044710">
        <w:rPr>
          <w:rFonts w:cstheme="minorHAnsi"/>
          <w:bCs/>
        </w:rPr>
        <w:t>Transfusions associated with transplant hospitalization are excluded as they mark a transition of care from the dialysis facility to a transplant team. This convention is used with other dialysis facility measures developed and previously endorsed by NQF (like SHR NQF #1463 http://www.qualityforum.org/QPS/1463) and SMR NQF #0369 http://www.qualityforum.org/QPS/0369)</w:t>
      </w:r>
    </w:p>
    <w:p w:rsidR="00044710" w:rsidRDefault="00044710" w:rsidP="00044710">
      <w:pPr>
        <w:autoSpaceDE w:val="0"/>
        <w:autoSpaceDN w:val="0"/>
        <w:adjustRightInd w:val="0"/>
        <w:spacing w:after="0" w:line="240" w:lineRule="auto"/>
        <w:rPr>
          <w:rFonts w:cstheme="minorHAnsi"/>
          <w:bCs/>
        </w:rPr>
      </w:pPr>
      <w:r w:rsidRPr="00044710">
        <w:rPr>
          <w:rFonts w:cstheme="minorHAnsi"/>
          <w:bCs/>
        </w:rPr>
        <w:t xml:space="preserve">Patients are also excluded if they have a Medicare claim for hemolytic and aplastic anemia, solid organ cancer (breast, prostate, lung, digestive tract and others), lymphoma, carcinoma in situ, coagulation disorders, multiple myeloma, </w:t>
      </w:r>
      <w:proofErr w:type="spellStart"/>
      <w:r w:rsidRPr="00044710">
        <w:rPr>
          <w:rFonts w:cstheme="minorHAnsi"/>
          <w:bCs/>
        </w:rPr>
        <w:t>myelodysplastic</w:t>
      </w:r>
      <w:proofErr w:type="spellEnd"/>
      <w:r w:rsidRPr="00044710">
        <w:rPr>
          <w:rFonts w:cstheme="minorHAnsi"/>
          <w:bCs/>
        </w:rPr>
        <w:t xml:space="preserve"> syndrome and </w:t>
      </w:r>
      <w:proofErr w:type="spellStart"/>
      <w:r w:rsidRPr="00044710">
        <w:rPr>
          <w:rFonts w:cstheme="minorHAnsi"/>
          <w:bCs/>
        </w:rPr>
        <w:t>myelofibrosis</w:t>
      </w:r>
      <w:proofErr w:type="spellEnd"/>
      <w:r w:rsidRPr="00044710">
        <w:rPr>
          <w:rFonts w:cstheme="minorHAnsi"/>
          <w:bCs/>
        </w:rPr>
        <w:t>, leukemia, head and neck cancer, other cancers (connective tissue, skin, and others)</w:t>
      </w:r>
      <w:proofErr w:type="gramStart"/>
      <w:r w:rsidRPr="00044710">
        <w:rPr>
          <w:rFonts w:cstheme="minorHAnsi"/>
          <w:bCs/>
        </w:rPr>
        <w:t>,metastatic</w:t>
      </w:r>
      <w:proofErr w:type="gramEnd"/>
      <w:r w:rsidRPr="00044710">
        <w:rPr>
          <w:rFonts w:cstheme="minorHAnsi"/>
          <w:bCs/>
        </w:rPr>
        <w:t xml:space="preserve"> cancer, sickle cell anemia within one year of their patient at risk time. Since these comorbidities are associated with higher risk of transfusion and require different anemia management practices that this measure is not intended to address, every patient’s risk window is modified to have at least 1 year free of claims that contain diagnoses on the exclusion list.  We assessed the predictive power of comorbidities on future transfusions, as a function of the time interval between development of the comorbidity and the occurrence of the transfusion by performing multivariate logistic regression with transfusion event as the dependent variable. Results showed that 1-year look back period for each of the above mentioned comorbidities was the most predictive of one or more RBC transfusions.</w:t>
      </w:r>
    </w:p>
    <w:p w:rsidR="009410CF" w:rsidRPr="00044710" w:rsidRDefault="009410CF" w:rsidP="00044710">
      <w:pPr>
        <w:autoSpaceDE w:val="0"/>
        <w:autoSpaceDN w:val="0"/>
        <w:adjustRightInd w:val="0"/>
        <w:spacing w:after="0" w:line="240" w:lineRule="auto"/>
        <w:rPr>
          <w:rFonts w:cstheme="minorHAnsi"/>
          <w:bCs/>
        </w:rPr>
      </w:pPr>
    </w:p>
    <w:p w:rsidR="00044710" w:rsidRPr="00044710" w:rsidRDefault="00044710" w:rsidP="00044710">
      <w:pPr>
        <w:autoSpaceDE w:val="0"/>
        <w:autoSpaceDN w:val="0"/>
        <w:adjustRightInd w:val="0"/>
        <w:spacing w:after="0" w:line="240" w:lineRule="auto"/>
        <w:rPr>
          <w:rFonts w:cstheme="minorHAnsi"/>
          <w:bCs/>
        </w:rPr>
      </w:pPr>
      <w:r w:rsidRPr="00044710">
        <w:rPr>
          <w:rFonts w:cstheme="minorHAnsi"/>
          <w:bCs/>
        </w:rPr>
        <w:t>The following figure describes the inclusion and exclusion period of a hypothetical patient.</w:t>
      </w:r>
    </w:p>
    <w:p w:rsidR="00044710" w:rsidRPr="00044710" w:rsidRDefault="00044710" w:rsidP="00044710">
      <w:pPr>
        <w:autoSpaceDE w:val="0"/>
        <w:autoSpaceDN w:val="0"/>
        <w:adjustRightInd w:val="0"/>
        <w:spacing w:after="0" w:line="240" w:lineRule="auto"/>
        <w:rPr>
          <w:rFonts w:cstheme="minorHAnsi"/>
          <w:bCs/>
        </w:rPr>
      </w:pPr>
      <w:r w:rsidRPr="00044710">
        <w:rPr>
          <w:rFonts w:cstheme="minorHAnsi"/>
          <w:bCs/>
        </w:rPr>
        <w:t xml:space="preserve"> </w:t>
      </w:r>
    </w:p>
    <w:p w:rsidR="00044710" w:rsidRPr="00044710" w:rsidRDefault="00044710" w:rsidP="00044710">
      <w:pPr>
        <w:autoSpaceDE w:val="0"/>
        <w:autoSpaceDN w:val="0"/>
        <w:adjustRightInd w:val="0"/>
        <w:spacing w:after="0" w:line="240" w:lineRule="auto"/>
        <w:rPr>
          <w:rFonts w:cstheme="minorHAnsi"/>
          <w:bCs/>
        </w:rPr>
      </w:pPr>
      <w:r w:rsidRPr="0021129F">
        <w:rPr>
          <w:noProof/>
        </w:rPr>
        <w:lastRenderedPageBreak/>
        <w:drawing>
          <wp:inline distT="0" distB="0" distL="0" distR="0" wp14:anchorId="4C979305" wp14:editId="6DF0109D">
            <wp:extent cx="5943600" cy="3419981"/>
            <wp:effectExtent l="0" t="0" r="0" b="9525"/>
            <wp:docPr id="2" name="Picture 2" descr="C:\Users\jmsto\AppData\Local\Microsoft\Windows\Temporary Internet Files\Content.Word\strr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msto\AppData\Local\Microsoft\Windows\Temporary Internet Files\Content.Word\strr imag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419981"/>
                    </a:xfrm>
                    <a:prstGeom prst="rect">
                      <a:avLst/>
                    </a:prstGeom>
                    <a:noFill/>
                    <a:ln>
                      <a:noFill/>
                    </a:ln>
                  </pic:spPr>
                </pic:pic>
              </a:graphicData>
            </a:graphic>
          </wp:inline>
        </w:drawing>
      </w:r>
    </w:p>
    <w:p w:rsidR="00044710" w:rsidRPr="00A25024" w:rsidRDefault="00044710" w:rsidP="00044710">
      <w:pPr>
        <w:autoSpaceDE w:val="0"/>
        <w:autoSpaceDN w:val="0"/>
        <w:adjustRightInd w:val="0"/>
        <w:spacing w:after="0" w:line="240" w:lineRule="auto"/>
        <w:rPr>
          <w:rFonts w:cstheme="minorHAnsi"/>
          <w:bCs/>
        </w:rPr>
      </w:pPr>
      <w:r w:rsidRPr="00044710">
        <w:rPr>
          <w:rFonts w:cstheme="minorHAnsi"/>
          <w:bCs/>
        </w:rPr>
        <w:t>In the figure above, a hypothetical patient has patient years at risk at a facility from 1/1/2008 to 12/31/2011. Review of Medicare claims identified presence of one or more exclusion comorbidities (see above and Appendix</w:t>
      </w:r>
      <w:proofErr w:type="gramStart"/>
      <w:r w:rsidRPr="00044710">
        <w:rPr>
          <w:rFonts w:cstheme="minorHAnsi"/>
          <w:bCs/>
        </w:rPr>
        <w:t>)e</w:t>
      </w:r>
      <w:proofErr w:type="gramEnd"/>
      <w:r w:rsidRPr="00044710">
        <w:rPr>
          <w:rFonts w:cstheme="minorHAnsi"/>
          <w:bCs/>
        </w:rPr>
        <w:t xml:space="preserve"> in 2007 (Claim1), 2008 (Claim2) and 2010 (Claim3). Each claim is followed by a one year exclusion period. The revised inclusion periods are defined as risk windows with at least 1 year of claim-free period (Inclusion1 and Inclusion2 in</w:t>
      </w:r>
      <w:r w:rsidR="00383473">
        <w:rPr>
          <w:rFonts w:cstheme="minorHAnsi"/>
          <w:bCs/>
        </w:rPr>
        <w:t xml:space="preserve"> the figure</w:t>
      </w:r>
      <w:bookmarkStart w:id="11" w:name="_GoBack"/>
      <w:bookmarkEnd w:id="11"/>
      <w:r w:rsidRPr="00044710">
        <w:rPr>
          <w:rFonts w:cstheme="minorHAnsi"/>
          <w:bCs/>
        </w:rPr>
        <w:t>). The patient has two transfusion events, marked as T1 and T2 in late 2008 and late 2011 respectively. However, since T1 falls in the exclusion period, it will not be counted towards the facility’s transfusion count as presence of exclusion comorbidity claims within a year might have increased the risk of transfusion unrelated to dialysis facility anemia management practice. However, T2, which occurs in late 2011 and in Inclusion2 period, will be counted since there is at least a year gap between this transfusion event and the last claim observed.</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044710" w:rsidRPr="00044710" w:rsidRDefault="00044710" w:rsidP="00044710">
      <w:pPr>
        <w:spacing w:after="120"/>
        <w:rPr>
          <w:szCs w:val="20"/>
        </w:rPr>
      </w:pPr>
      <w:r w:rsidRPr="00044710">
        <w:rPr>
          <w:szCs w:val="20"/>
        </w:rPr>
        <w:t>Multivariate logistic regression with transfusion count as the dependent variable was performed to assess the predictive power of comorbidities on future transfusions, as a function of the time interval between development of the comorbidity and the occurrence of the transfusion. Transfusion event was coded as a binary variable (1 if transfusion). Result using 2011 data showed that 1-year look back period for each of the above mentioned comorbidities was a significant predictor of RBC transfusion events with odds ratio ranging from 1.2 to 3.2.</w:t>
      </w:r>
    </w:p>
    <w:p w:rsidR="00044710" w:rsidRDefault="00044710" w:rsidP="00044710">
      <w:pPr>
        <w:spacing w:after="120"/>
        <w:rPr>
          <w:szCs w:val="20"/>
        </w:rPr>
      </w:pPr>
      <w:r w:rsidRPr="00044710">
        <w:rPr>
          <w:szCs w:val="20"/>
        </w:rPr>
        <w:t>The following tables show percent of patient years at risk and number of patients excluded as a result of the above mentioned exclusion strategy.</w:t>
      </w:r>
    </w:p>
    <w:p w:rsidR="00C17A7B" w:rsidRDefault="00C17A7B" w:rsidP="00044710">
      <w:pPr>
        <w:spacing w:after="120"/>
        <w:rPr>
          <w:szCs w:val="20"/>
        </w:rPr>
      </w:pPr>
    </w:p>
    <w:p w:rsidR="00C17A7B" w:rsidRPr="00044710" w:rsidRDefault="00C17A7B" w:rsidP="00044710">
      <w:pPr>
        <w:spacing w:after="120"/>
        <w:rPr>
          <w:szCs w:val="20"/>
        </w:rPr>
      </w:pPr>
    </w:p>
    <w:p w:rsidR="00044710" w:rsidRPr="00044710" w:rsidRDefault="00044710" w:rsidP="00044710">
      <w:pPr>
        <w:spacing w:after="120"/>
        <w:rPr>
          <w:szCs w:val="20"/>
        </w:rPr>
      </w:pPr>
      <w:r w:rsidRPr="00044710">
        <w:rPr>
          <w:szCs w:val="20"/>
        </w:rPr>
        <w:lastRenderedPageBreak/>
        <w:t>Table 1: Percent of patient years at risk excluded each year</w:t>
      </w:r>
    </w:p>
    <w:p w:rsidR="00044710" w:rsidRPr="0021129F" w:rsidRDefault="00044710" w:rsidP="00044710">
      <w:pPr>
        <w:spacing w:after="120"/>
        <w:rPr>
          <w:sz w:val="20"/>
          <w:szCs w:val="20"/>
        </w:rPr>
      </w:pPr>
    </w:p>
    <w:tbl>
      <w:tblPr>
        <w:tblStyle w:val="TableGrid"/>
        <w:tblW w:w="0" w:type="auto"/>
        <w:tblInd w:w="432" w:type="dxa"/>
        <w:tblLayout w:type="fixed"/>
        <w:tblLook w:val="04A0" w:firstRow="1" w:lastRow="0" w:firstColumn="1" w:lastColumn="0" w:noHBand="0" w:noVBand="1"/>
      </w:tblPr>
      <w:tblGrid>
        <w:gridCol w:w="2410"/>
        <w:gridCol w:w="2409"/>
        <w:gridCol w:w="2409"/>
        <w:gridCol w:w="2410"/>
      </w:tblGrid>
      <w:tr w:rsidR="00044710" w:rsidRPr="00C17A7B" w:rsidTr="00D30485">
        <w:tc>
          <w:tcPr>
            <w:tcW w:w="2410" w:type="dxa"/>
            <w:tcBorders>
              <w:top w:val="nil"/>
              <w:left w:val="nil"/>
            </w:tcBorders>
          </w:tcPr>
          <w:p w:rsidR="00044710" w:rsidRPr="00C17A7B" w:rsidRDefault="00044710" w:rsidP="00D30485">
            <w:pPr>
              <w:spacing w:after="120"/>
              <w:rPr>
                <w:szCs w:val="18"/>
              </w:rPr>
            </w:pPr>
          </w:p>
        </w:tc>
        <w:tc>
          <w:tcPr>
            <w:tcW w:w="4818" w:type="dxa"/>
            <w:gridSpan w:val="2"/>
          </w:tcPr>
          <w:p w:rsidR="00044710" w:rsidRPr="00C17A7B" w:rsidRDefault="00044710" w:rsidP="00D30485">
            <w:pPr>
              <w:spacing w:after="120"/>
              <w:jc w:val="center"/>
              <w:rPr>
                <w:b/>
                <w:szCs w:val="18"/>
              </w:rPr>
            </w:pPr>
            <w:r w:rsidRPr="00C17A7B">
              <w:rPr>
                <w:b/>
                <w:szCs w:val="18"/>
              </w:rPr>
              <w:t>Patient years at risk</w:t>
            </w:r>
          </w:p>
        </w:tc>
        <w:tc>
          <w:tcPr>
            <w:tcW w:w="2410" w:type="dxa"/>
            <w:tcBorders>
              <w:top w:val="nil"/>
              <w:right w:val="nil"/>
            </w:tcBorders>
          </w:tcPr>
          <w:p w:rsidR="00044710" w:rsidRPr="00C17A7B" w:rsidRDefault="00044710" w:rsidP="00D30485">
            <w:pPr>
              <w:spacing w:after="120"/>
              <w:rPr>
                <w:szCs w:val="18"/>
              </w:rPr>
            </w:pPr>
          </w:p>
        </w:tc>
      </w:tr>
      <w:tr w:rsidR="00044710" w:rsidRPr="00C17A7B" w:rsidTr="00D30485">
        <w:tc>
          <w:tcPr>
            <w:tcW w:w="2410" w:type="dxa"/>
          </w:tcPr>
          <w:p w:rsidR="00044710" w:rsidRPr="00C17A7B" w:rsidRDefault="00044710" w:rsidP="00D30485">
            <w:pPr>
              <w:spacing w:after="120"/>
              <w:rPr>
                <w:b/>
                <w:szCs w:val="18"/>
              </w:rPr>
            </w:pPr>
            <w:r w:rsidRPr="00C17A7B">
              <w:rPr>
                <w:b/>
                <w:szCs w:val="18"/>
              </w:rPr>
              <w:t xml:space="preserve">Year </w:t>
            </w:r>
          </w:p>
        </w:tc>
        <w:tc>
          <w:tcPr>
            <w:tcW w:w="2409" w:type="dxa"/>
          </w:tcPr>
          <w:p w:rsidR="00044710" w:rsidRPr="00C17A7B" w:rsidRDefault="00044710" w:rsidP="00D30485">
            <w:pPr>
              <w:spacing w:after="120"/>
              <w:rPr>
                <w:b/>
                <w:szCs w:val="18"/>
              </w:rPr>
            </w:pPr>
            <w:r w:rsidRPr="00C17A7B">
              <w:rPr>
                <w:b/>
                <w:szCs w:val="18"/>
              </w:rPr>
              <w:t xml:space="preserve">Before Exclusion </w:t>
            </w:r>
          </w:p>
        </w:tc>
        <w:tc>
          <w:tcPr>
            <w:tcW w:w="2409" w:type="dxa"/>
          </w:tcPr>
          <w:p w:rsidR="00044710" w:rsidRPr="00C17A7B" w:rsidRDefault="00044710" w:rsidP="00D30485">
            <w:pPr>
              <w:spacing w:after="120"/>
              <w:rPr>
                <w:b/>
                <w:szCs w:val="18"/>
              </w:rPr>
            </w:pPr>
            <w:r w:rsidRPr="00C17A7B">
              <w:rPr>
                <w:b/>
                <w:szCs w:val="18"/>
              </w:rPr>
              <w:t xml:space="preserve">After Exclusion </w:t>
            </w:r>
          </w:p>
        </w:tc>
        <w:tc>
          <w:tcPr>
            <w:tcW w:w="2410" w:type="dxa"/>
          </w:tcPr>
          <w:p w:rsidR="00044710" w:rsidRPr="00C17A7B" w:rsidRDefault="00044710" w:rsidP="00D30485">
            <w:pPr>
              <w:spacing w:after="120"/>
              <w:rPr>
                <w:b/>
                <w:szCs w:val="18"/>
              </w:rPr>
            </w:pPr>
            <w:r w:rsidRPr="00C17A7B">
              <w:rPr>
                <w:b/>
                <w:szCs w:val="18"/>
              </w:rPr>
              <w:t xml:space="preserve">Percent </w:t>
            </w:r>
          </w:p>
        </w:tc>
      </w:tr>
      <w:tr w:rsidR="00044710" w:rsidRPr="00C17A7B" w:rsidTr="00D30485">
        <w:tc>
          <w:tcPr>
            <w:tcW w:w="2410" w:type="dxa"/>
          </w:tcPr>
          <w:p w:rsidR="00044710" w:rsidRPr="00C17A7B" w:rsidRDefault="00044710" w:rsidP="00D30485">
            <w:pPr>
              <w:spacing w:after="120"/>
              <w:rPr>
                <w:szCs w:val="18"/>
              </w:rPr>
            </w:pPr>
            <w:r w:rsidRPr="00C17A7B">
              <w:rPr>
                <w:szCs w:val="18"/>
              </w:rPr>
              <w:t xml:space="preserve">2009 </w:t>
            </w:r>
          </w:p>
        </w:tc>
        <w:tc>
          <w:tcPr>
            <w:tcW w:w="2409" w:type="dxa"/>
          </w:tcPr>
          <w:p w:rsidR="00044710" w:rsidRPr="00C17A7B" w:rsidRDefault="00044710" w:rsidP="00D30485">
            <w:pPr>
              <w:spacing w:after="120"/>
              <w:rPr>
                <w:rFonts w:cstheme="minorHAnsi"/>
                <w:szCs w:val="18"/>
              </w:rPr>
            </w:pPr>
            <w:r w:rsidRPr="00C17A7B">
              <w:rPr>
                <w:rFonts w:cstheme="minorHAnsi"/>
                <w:szCs w:val="18"/>
              </w:rPr>
              <w:t>267086</w:t>
            </w:r>
          </w:p>
        </w:tc>
        <w:tc>
          <w:tcPr>
            <w:tcW w:w="2409" w:type="dxa"/>
          </w:tcPr>
          <w:p w:rsidR="00044710" w:rsidRPr="00C17A7B" w:rsidRDefault="00044710" w:rsidP="00D30485">
            <w:pPr>
              <w:spacing w:after="120"/>
              <w:rPr>
                <w:szCs w:val="18"/>
              </w:rPr>
            </w:pPr>
            <w:r w:rsidRPr="00C17A7B">
              <w:rPr>
                <w:szCs w:val="18"/>
              </w:rPr>
              <w:t xml:space="preserve">215069.1 </w:t>
            </w:r>
          </w:p>
        </w:tc>
        <w:tc>
          <w:tcPr>
            <w:tcW w:w="2410" w:type="dxa"/>
            <w:vAlign w:val="bottom"/>
          </w:tcPr>
          <w:p w:rsidR="00044710" w:rsidRPr="00C17A7B" w:rsidRDefault="00044710" w:rsidP="00D30485">
            <w:pPr>
              <w:spacing w:after="120"/>
              <w:rPr>
                <w:szCs w:val="18"/>
              </w:rPr>
            </w:pPr>
            <w:r w:rsidRPr="00C17A7B">
              <w:rPr>
                <w:rFonts w:cs="Calibri"/>
                <w:szCs w:val="18"/>
              </w:rPr>
              <w:t>19.5%</w:t>
            </w:r>
          </w:p>
        </w:tc>
      </w:tr>
      <w:tr w:rsidR="00044710" w:rsidRPr="00C17A7B" w:rsidTr="00D30485">
        <w:tc>
          <w:tcPr>
            <w:tcW w:w="2410" w:type="dxa"/>
          </w:tcPr>
          <w:p w:rsidR="00044710" w:rsidRPr="00C17A7B" w:rsidRDefault="00044710" w:rsidP="00D30485">
            <w:pPr>
              <w:spacing w:after="120"/>
              <w:rPr>
                <w:szCs w:val="18"/>
              </w:rPr>
            </w:pPr>
            <w:r w:rsidRPr="00C17A7B">
              <w:rPr>
                <w:szCs w:val="18"/>
              </w:rPr>
              <w:t xml:space="preserve">2010 </w:t>
            </w:r>
          </w:p>
        </w:tc>
        <w:tc>
          <w:tcPr>
            <w:tcW w:w="2409" w:type="dxa"/>
          </w:tcPr>
          <w:p w:rsidR="00044710" w:rsidRPr="00C17A7B" w:rsidRDefault="00044710" w:rsidP="00D30485">
            <w:pPr>
              <w:spacing w:after="120"/>
              <w:rPr>
                <w:rFonts w:cstheme="minorHAnsi"/>
                <w:szCs w:val="18"/>
              </w:rPr>
            </w:pPr>
            <w:r w:rsidRPr="00C17A7B">
              <w:rPr>
                <w:rFonts w:cstheme="minorHAnsi"/>
                <w:szCs w:val="18"/>
              </w:rPr>
              <w:t>278073</w:t>
            </w:r>
          </w:p>
        </w:tc>
        <w:tc>
          <w:tcPr>
            <w:tcW w:w="2409" w:type="dxa"/>
          </w:tcPr>
          <w:p w:rsidR="00044710" w:rsidRPr="00C17A7B" w:rsidRDefault="00044710" w:rsidP="00D30485">
            <w:pPr>
              <w:spacing w:after="120"/>
              <w:rPr>
                <w:szCs w:val="18"/>
              </w:rPr>
            </w:pPr>
            <w:r w:rsidRPr="00C17A7B">
              <w:rPr>
                <w:szCs w:val="18"/>
              </w:rPr>
              <w:t xml:space="preserve">223699.0 </w:t>
            </w:r>
          </w:p>
        </w:tc>
        <w:tc>
          <w:tcPr>
            <w:tcW w:w="2410" w:type="dxa"/>
            <w:vAlign w:val="bottom"/>
          </w:tcPr>
          <w:p w:rsidR="00044710" w:rsidRPr="00C17A7B" w:rsidRDefault="00044710" w:rsidP="00D30485">
            <w:pPr>
              <w:spacing w:after="120"/>
              <w:rPr>
                <w:szCs w:val="18"/>
              </w:rPr>
            </w:pPr>
            <w:r w:rsidRPr="00C17A7B">
              <w:rPr>
                <w:rFonts w:cs="Calibri"/>
                <w:szCs w:val="18"/>
              </w:rPr>
              <w:t>19.6%</w:t>
            </w:r>
          </w:p>
        </w:tc>
      </w:tr>
      <w:tr w:rsidR="00044710" w:rsidRPr="00C17A7B" w:rsidTr="00D30485">
        <w:tc>
          <w:tcPr>
            <w:tcW w:w="2410" w:type="dxa"/>
          </w:tcPr>
          <w:p w:rsidR="00044710" w:rsidRPr="00C17A7B" w:rsidRDefault="00044710" w:rsidP="00D30485">
            <w:pPr>
              <w:spacing w:after="120"/>
              <w:rPr>
                <w:szCs w:val="18"/>
              </w:rPr>
            </w:pPr>
            <w:r w:rsidRPr="00C17A7B">
              <w:rPr>
                <w:szCs w:val="18"/>
              </w:rPr>
              <w:t xml:space="preserve">2011 </w:t>
            </w:r>
          </w:p>
        </w:tc>
        <w:tc>
          <w:tcPr>
            <w:tcW w:w="2409" w:type="dxa"/>
          </w:tcPr>
          <w:p w:rsidR="00044710" w:rsidRPr="00C17A7B" w:rsidRDefault="00044710" w:rsidP="00D30485">
            <w:pPr>
              <w:spacing w:after="120"/>
              <w:rPr>
                <w:rFonts w:cstheme="minorHAnsi"/>
                <w:szCs w:val="18"/>
              </w:rPr>
            </w:pPr>
            <w:r w:rsidRPr="00C17A7B">
              <w:rPr>
                <w:rFonts w:cstheme="minorHAnsi"/>
                <w:szCs w:val="18"/>
              </w:rPr>
              <w:t>286821</w:t>
            </w:r>
          </w:p>
        </w:tc>
        <w:tc>
          <w:tcPr>
            <w:tcW w:w="2409" w:type="dxa"/>
          </w:tcPr>
          <w:p w:rsidR="00044710" w:rsidRPr="00C17A7B" w:rsidRDefault="00044710" w:rsidP="00D30485">
            <w:pPr>
              <w:spacing w:after="120"/>
              <w:rPr>
                <w:szCs w:val="18"/>
              </w:rPr>
            </w:pPr>
            <w:r w:rsidRPr="00C17A7B">
              <w:rPr>
                <w:szCs w:val="18"/>
              </w:rPr>
              <w:t xml:space="preserve">227598.8 </w:t>
            </w:r>
          </w:p>
        </w:tc>
        <w:tc>
          <w:tcPr>
            <w:tcW w:w="2410" w:type="dxa"/>
            <w:vAlign w:val="bottom"/>
          </w:tcPr>
          <w:p w:rsidR="00044710" w:rsidRPr="00C17A7B" w:rsidRDefault="00044710" w:rsidP="00D30485">
            <w:pPr>
              <w:spacing w:after="120"/>
              <w:rPr>
                <w:szCs w:val="18"/>
              </w:rPr>
            </w:pPr>
            <w:r w:rsidRPr="00C17A7B">
              <w:rPr>
                <w:rFonts w:cs="Calibri"/>
                <w:szCs w:val="18"/>
              </w:rPr>
              <w:t>20.6%</w:t>
            </w:r>
          </w:p>
        </w:tc>
      </w:tr>
      <w:tr w:rsidR="00044710" w:rsidRPr="00C17A7B" w:rsidTr="00D30485">
        <w:tc>
          <w:tcPr>
            <w:tcW w:w="2410" w:type="dxa"/>
          </w:tcPr>
          <w:p w:rsidR="00044710" w:rsidRPr="00C17A7B" w:rsidRDefault="00044710" w:rsidP="00D30485">
            <w:pPr>
              <w:spacing w:after="120"/>
              <w:rPr>
                <w:szCs w:val="18"/>
              </w:rPr>
            </w:pPr>
            <w:r w:rsidRPr="00C17A7B">
              <w:rPr>
                <w:szCs w:val="18"/>
              </w:rPr>
              <w:t xml:space="preserve">2012 </w:t>
            </w:r>
          </w:p>
        </w:tc>
        <w:tc>
          <w:tcPr>
            <w:tcW w:w="2409" w:type="dxa"/>
          </w:tcPr>
          <w:p w:rsidR="00044710" w:rsidRPr="00C17A7B" w:rsidRDefault="00044710" w:rsidP="00D30485">
            <w:pPr>
              <w:spacing w:after="120"/>
              <w:rPr>
                <w:rFonts w:cstheme="minorHAnsi"/>
                <w:szCs w:val="18"/>
              </w:rPr>
            </w:pPr>
            <w:r w:rsidRPr="00C17A7B">
              <w:rPr>
                <w:rFonts w:cstheme="minorHAnsi"/>
                <w:szCs w:val="18"/>
              </w:rPr>
              <w:t>295172</w:t>
            </w:r>
          </w:p>
        </w:tc>
        <w:tc>
          <w:tcPr>
            <w:tcW w:w="2409" w:type="dxa"/>
          </w:tcPr>
          <w:p w:rsidR="00044710" w:rsidRPr="00C17A7B" w:rsidRDefault="00044710" w:rsidP="00D30485">
            <w:pPr>
              <w:spacing w:after="120"/>
              <w:rPr>
                <w:szCs w:val="18"/>
              </w:rPr>
            </w:pPr>
            <w:r w:rsidRPr="00C17A7B">
              <w:rPr>
                <w:szCs w:val="18"/>
              </w:rPr>
              <w:t xml:space="preserve">233794.9 </w:t>
            </w:r>
          </w:p>
        </w:tc>
        <w:tc>
          <w:tcPr>
            <w:tcW w:w="2410" w:type="dxa"/>
            <w:vAlign w:val="bottom"/>
          </w:tcPr>
          <w:p w:rsidR="00044710" w:rsidRPr="00C17A7B" w:rsidRDefault="00044710" w:rsidP="00D30485">
            <w:pPr>
              <w:spacing w:after="120"/>
              <w:rPr>
                <w:szCs w:val="18"/>
              </w:rPr>
            </w:pPr>
            <w:r w:rsidRPr="00C17A7B">
              <w:rPr>
                <w:rFonts w:cs="Calibri"/>
                <w:szCs w:val="18"/>
              </w:rPr>
              <w:t>20.8%</w:t>
            </w:r>
          </w:p>
        </w:tc>
      </w:tr>
    </w:tbl>
    <w:p w:rsidR="00044710" w:rsidRPr="0021129F" w:rsidRDefault="00044710" w:rsidP="00044710">
      <w:pPr>
        <w:spacing w:after="120"/>
        <w:rPr>
          <w:sz w:val="20"/>
          <w:szCs w:val="20"/>
        </w:rPr>
      </w:pPr>
      <w:r w:rsidRPr="0021129F">
        <w:rPr>
          <w:sz w:val="20"/>
          <w:szCs w:val="20"/>
        </w:rPr>
        <w:br/>
      </w:r>
      <w:r w:rsidRPr="009410CF">
        <w:rPr>
          <w:szCs w:val="20"/>
        </w:rPr>
        <w:t>Table2: Number of patients and percent excluded each year</w:t>
      </w:r>
    </w:p>
    <w:tbl>
      <w:tblPr>
        <w:tblStyle w:val="TableGrid"/>
        <w:tblW w:w="0" w:type="auto"/>
        <w:tblInd w:w="432" w:type="dxa"/>
        <w:tblLayout w:type="fixed"/>
        <w:tblLook w:val="04A0" w:firstRow="1" w:lastRow="0" w:firstColumn="1" w:lastColumn="0" w:noHBand="0" w:noVBand="1"/>
      </w:tblPr>
      <w:tblGrid>
        <w:gridCol w:w="2410"/>
        <w:gridCol w:w="2409"/>
        <w:gridCol w:w="2409"/>
        <w:gridCol w:w="2410"/>
      </w:tblGrid>
      <w:tr w:rsidR="00044710" w:rsidRPr="00C17A7B" w:rsidTr="00D30485">
        <w:tc>
          <w:tcPr>
            <w:tcW w:w="2410" w:type="dxa"/>
            <w:tcBorders>
              <w:top w:val="nil"/>
              <w:left w:val="nil"/>
            </w:tcBorders>
          </w:tcPr>
          <w:p w:rsidR="00044710" w:rsidRPr="00C17A7B" w:rsidRDefault="00044710" w:rsidP="00D30485">
            <w:pPr>
              <w:spacing w:after="120"/>
              <w:rPr>
                <w:szCs w:val="18"/>
              </w:rPr>
            </w:pPr>
          </w:p>
        </w:tc>
        <w:tc>
          <w:tcPr>
            <w:tcW w:w="4818" w:type="dxa"/>
            <w:gridSpan w:val="2"/>
          </w:tcPr>
          <w:p w:rsidR="00044710" w:rsidRPr="00C17A7B" w:rsidRDefault="00044710" w:rsidP="00D30485">
            <w:pPr>
              <w:spacing w:after="120"/>
              <w:jc w:val="center"/>
              <w:rPr>
                <w:b/>
                <w:szCs w:val="18"/>
              </w:rPr>
            </w:pPr>
            <w:r w:rsidRPr="00C17A7B">
              <w:rPr>
                <w:b/>
                <w:szCs w:val="18"/>
              </w:rPr>
              <w:t>Number of Patients</w:t>
            </w:r>
            <w:r w:rsidRPr="00C17A7B" w:rsidDel="00034EA6">
              <w:rPr>
                <w:b/>
                <w:szCs w:val="18"/>
              </w:rPr>
              <w:t xml:space="preserve"> </w:t>
            </w:r>
          </w:p>
        </w:tc>
        <w:tc>
          <w:tcPr>
            <w:tcW w:w="2410" w:type="dxa"/>
            <w:tcBorders>
              <w:top w:val="nil"/>
              <w:right w:val="nil"/>
            </w:tcBorders>
          </w:tcPr>
          <w:p w:rsidR="00044710" w:rsidRPr="00C17A7B" w:rsidRDefault="00044710" w:rsidP="00D30485">
            <w:pPr>
              <w:spacing w:after="120"/>
              <w:rPr>
                <w:szCs w:val="18"/>
              </w:rPr>
            </w:pPr>
          </w:p>
        </w:tc>
      </w:tr>
      <w:tr w:rsidR="00044710" w:rsidRPr="00C17A7B" w:rsidTr="00D30485">
        <w:trPr>
          <w:trHeight w:val="260"/>
        </w:trPr>
        <w:tc>
          <w:tcPr>
            <w:tcW w:w="2410" w:type="dxa"/>
          </w:tcPr>
          <w:p w:rsidR="00044710" w:rsidRPr="00C17A7B" w:rsidRDefault="00044710" w:rsidP="00D30485">
            <w:pPr>
              <w:spacing w:after="120"/>
              <w:rPr>
                <w:b/>
                <w:szCs w:val="18"/>
              </w:rPr>
            </w:pPr>
            <w:r w:rsidRPr="00C17A7B">
              <w:rPr>
                <w:b/>
                <w:szCs w:val="18"/>
              </w:rPr>
              <w:t xml:space="preserve">Year </w:t>
            </w:r>
          </w:p>
        </w:tc>
        <w:tc>
          <w:tcPr>
            <w:tcW w:w="2409" w:type="dxa"/>
          </w:tcPr>
          <w:p w:rsidR="00044710" w:rsidRPr="00C17A7B" w:rsidRDefault="00044710" w:rsidP="00D30485">
            <w:pPr>
              <w:spacing w:after="120"/>
              <w:rPr>
                <w:b/>
                <w:szCs w:val="18"/>
              </w:rPr>
            </w:pPr>
            <w:r w:rsidRPr="00C17A7B">
              <w:rPr>
                <w:b/>
                <w:szCs w:val="18"/>
              </w:rPr>
              <w:t xml:space="preserve">Before Exclusion </w:t>
            </w:r>
          </w:p>
        </w:tc>
        <w:tc>
          <w:tcPr>
            <w:tcW w:w="2409" w:type="dxa"/>
          </w:tcPr>
          <w:p w:rsidR="00044710" w:rsidRPr="00C17A7B" w:rsidRDefault="00044710" w:rsidP="00D30485">
            <w:pPr>
              <w:spacing w:after="120"/>
              <w:rPr>
                <w:b/>
                <w:szCs w:val="18"/>
              </w:rPr>
            </w:pPr>
            <w:r w:rsidRPr="00C17A7B">
              <w:rPr>
                <w:b/>
                <w:szCs w:val="18"/>
              </w:rPr>
              <w:t xml:space="preserve">After Exclusion </w:t>
            </w:r>
          </w:p>
        </w:tc>
        <w:tc>
          <w:tcPr>
            <w:tcW w:w="2410" w:type="dxa"/>
          </w:tcPr>
          <w:p w:rsidR="00044710" w:rsidRPr="00C17A7B" w:rsidRDefault="00044710" w:rsidP="00D30485">
            <w:pPr>
              <w:spacing w:after="120"/>
              <w:rPr>
                <w:b/>
                <w:szCs w:val="18"/>
              </w:rPr>
            </w:pPr>
            <w:r w:rsidRPr="00C17A7B">
              <w:rPr>
                <w:b/>
                <w:szCs w:val="18"/>
              </w:rPr>
              <w:t xml:space="preserve">Percent </w:t>
            </w:r>
          </w:p>
        </w:tc>
      </w:tr>
      <w:tr w:rsidR="00044710" w:rsidRPr="00C17A7B" w:rsidTr="00D30485">
        <w:tc>
          <w:tcPr>
            <w:tcW w:w="2410" w:type="dxa"/>
          </w:tcPr>
          <w:p w:rsidR="00044710" w:rsidRPr="00C17A7B" w:rsidRDefault="00044710" w:rsidP="00D30485">
            <w:pPr>
              <w:spacing w:after="120"/>
              <w:rPr>
                <w:szCs w:val="18"/>
              </w:rPr>
            </w:pPr>
            <w:r w:rsidRPr="00C17A7B">
              <w:rPr>
                <w:szCs w:val="18"/>
              </w:rPr>
              <w:t xml:space="preserve">2009 </w:t>
            </w:r>
          </w:p>
        </w:tc>
        <w:tc>
          <w:tcPr>
            <w:tcW w:w="2409" w:type="dxa"/>
          </w:tcPr>
          <w:p w:rsidR="00044710" w:rsidRPr="00C17A7B" w:rsidRDefault="00044710" w:rsidP="00D30485">
            <w:pPr>
              <w:spacing w:after="120"/>
              <w:rPr>
                <w:rFonts w:cstheme="minorHAnsi"/>
                <w:szCs w:val="18"/>
              </w:rPr>
            </w:pPr>
            <w:r w:rsidRPr="00C17A7B">
              <w:rPr>
                <w:rFonts w:cstheme="minorHAnsi"/>
                <w:szCs w:val="18"/>
              </w:rPr>
              <w:t>438949</w:t>
            </w:r>
          </w:p>
        </w:tc>
        <w:tc>
          <w:tcPr>
            <w:tcW w:w="2409" w:type="dxa"/>
          </w:tcPr>
          <w:p w:rsidR="00044710" w:rsidRPr="00C17A7B" w:rsidRDefault="00044710" w:rsidP="00D30485">
            <w:pPr>
              <w:spacing w:after="120"/>
              <w:rPr>
                <w:szCs w:val="18"/>
              </w:rPr>
            </w:pPr>
            <w:r w:rsidRPr="00C17A7B">
              <w:rPr>
                <w:szCs w:val="18"/>
              </w:rPr>
              <w:t>377957</w:t>
            </w:r>
          </w:p>
        </w:tc>
        <w:tc>
          <w:tcPr>
            <w:tcW w:w="2410" w:type="dxa"/>
            <w:vAlign w:val="bottom"/>
          </w:tcPr>
          <w:p w:rsidR="00044710" w:rsidRPr="00C17A7B" w:rsidRDefault="00044710" w:rsidP="00D30485">
            <w:pPr>
              <w:spacing w:after="120"/>
              <w:rPr>
                <w:szCs w:val="18"/>
              </w:rPr>
            </w:pPr>
            <w:r w:rsidRPr="00C17A7B">
              <w:rPr>
                <w:rFonts w:cs="Calibri"/>
                <w:szCs w:val="18"/>
              </w:rPr>
              <w:t>13.9%</w:t>
            </w:r>
          </w:p>
        </w:tc>
      </w:tr>
      <w:tr w:rsidR="00044710" w:rsidRPr="00C17A7B" w:rsidTr="00D30485">
        <w:tc>
          <w:tcPr>
            <w:tcW w:w="2410" w:type="dxa"/>
          </w:tcPr>
          <w:p w:rsidR="00044710" w:rsidRPr="00C17A7B" w:rsidRDefault="00044710" w:rsidP="00D30485">
            <w:pPr>
              <w:spacing w:after="120"/>
              <w:rPr>
                <w:szCs w:val="18"/>
              </w:rPr>
            </w:pPr>
            <w:r w:rsidRPr="00C17A7B">
              <w:rPr>
                <w:szCs w:val="18"/>
              </w:rPr>
              <w:t xml:space="preserve">2010 </w:t>
            </w:r>
          </w:p>
        </w:tc>
        <w:tc>
          <w:tcPr>
            <w:tcW w:w="2409" w:type="dxa"/>
          </w:tcPr>
          <w:p w:rsidR="00044710" w:rsidRPr="00C17A7B" w:rsidRDefault="00044710" w:rsidP="00D30485">
            <w:pPr>
              <w:spacing w:after="120"/>
              <w:rPr>
                <w:rFonts w:cstheme="minorHAnsi"/>
                <w:szCs w:val="18"/>
              </w:rPr>
            </w:pPr>
            <w:r w:rsidRPr="00C17A7B">
              <w:rPr>
                <w:rFonts w:cstheme="minorHAnsi"/>
                <w:szCs w:val="18"/>
              </w:rPr>
              <w:t>459395</w:t>
            </w:r>
          </w:p>
        </w:tc>
        <w:tc>
          <w:tcPr>
            <w:tcW w:w="2409" w:type="dxa"/>
          </w:tcPr>
          <w:p w:rsidR="00044710" w:rsidRPr="00C17A7B" w:rsidRDefault="00044710" w:rsidP="00D30485">
            <w:pPr>
              <w:spacing w:after="120"/>
              <w:rPr>
                <w:szCs w:val="18"/>
              </w:rPr>
            </w:pPr>
            <w:r w:rsidRPr="00C17A7B">
              <w:rPr>
                <w:szCs w:val="18"/>
              </w:rPr>
              <w:t xml:space="preserve">395183 </w:t>
            </w:r>
          </w:p>
        </w:tc>
        <w:tc>
          <w:tcPr>
            <w:tcW w:w="2410" w:type="dxa"/>
            <w:vAlign w:val="bottom"/>
          </w:tcPr>
          <w:p w:rsidR="00044710" w:rsidRPr="00C17A7B" w:rsidRDefault="00044710" w:rsidP="00D30485">
            <w:pPr>
              <w:spacing w:after="120"/>
              <w:rPr>
                <w:szCs w:val="18"/>
              </w:rPr>
            </w:pPr>
            <w:r w:rsidRPr="00C17A7B">
              <w:rPr>
                <w:rFonts w:cs="Calibri"/>
                <w:szCs w:val="18"/>
              </w:rPr>
              <w:t>14.0%</w:t>
            </w:r>
          </w:p>
        </w:tc>
      </w:tr>
      <w:tr w:rsidR="00044710" w:rsidRPr="00C17A7B" w:rsidTr="00D30485">
        <w:tc>
          <w:tcPr>
            <w:tcW w:w="2410" w:type="dxa"/>
          </w:tcPr>
          <w:p w:rsidR="00044710" w:rsidRPr="00C17A7B" w:rsidRDefault="00044710" w:rsidP="00D30485">
            <w:pPr>
              <w:spacing w:after="120"/>
              <w:rPr>
                <w:szCs w:val="18"/>
              </w:rPr>
            </w:pPr>
            <w:r w:rsidRPr="00C17A7B">
              <w:rPr>
                <w:szCs w:val="18"/>
              </w:rPr>
              <w:t xml:space="preserve">2011 </w:t>
            </w:r>
          </w:p>
        </w:tc>
        <w:tc>
          <w:tcPr>
            <w:tcW w:w="2409" w:type="dxa"/>
          </w:tcPr>
          <w:p w:rsidR="00044710" w:rsidRPr="00C17A7B" w:rsidRDefault="00044710" w:rsidP="00D30485">
            <w:pPr>
              <w:spacing w:after="120"/>
              <w:rPr>
                <w:rFonts w:cstheme="minorHAnsi"/>
                <w:szCs w:val="18"/>
              </w:rPr>
            </w:pPr>
            <w:r w:rsidRPr="00C17A7B">
              <w:rPr>
                <w:rFonts w:cstheme="minorHAnsi"/>
                <w:szCs w:val="18"/>
              </w:rPr>
              <w:t>475044</w:t>
            </w:r>
          </w:p>
        </w:tc>
        <w:tc>
          <w:tcPr>
            <w:tcW w:w="2409" w:type="dxa"/>
          </w:tcPr>
          <w:p w:rsidR="00044710" w:rsidRPr="00C17A7B" w:rsidRDefault="00044710" w:rsidP="00D30485">
            <w:pPr>
              <w:spacing w:after="120"/>
              <w:rPr>
                <w:szCs w:val="18"/>
              </w:rPr>
            </w:pPr>
            <w:r w:rsidRPr="00C17A7B">
              <w:rPr>
                <w:szCs w:val="18"/>
              </w:rPr>
              <w:t xml:space="preserve">405104 </w:t>
            </w:r>
          </w:p>
        </w:tc>
        <w:tc>
          <w:tcPr>
            <w:tcW w:w="2410" w:type="dxa"/>
            <w:vAlign w:val="bottom"/>
          </w:tcPr>
          <w:p w:rsidR="00044710" w:rsidRPr="00C17A7B" w:rsidRDefault="00044710" w:rsidP="00D30485">
            <w:pPr>
              <w:spacing w:after="120"/>
              <w:rPr>
                <w:szCs w:val="18"/>
              </w:rPr>
            </w:pPr>
            <w:r w:rsidRPr="00C17A7B">
              <w:rPr>
                <w:rFonts w:cs="Calibri"/>
                <w:szCs w:val="18"/>
              </w:rPr>
              <w:t>14.7%</w:t>
            </w:r>
          </w:p>
        </w:tc>
      </w:tr>
      <w:tr w:rsidR="00044710" w:rsidRPr="00C17A7B" w:rsidTr="00D30485">
        <w:tc>
          <w:tcPr>
            <w:tcW w:w="2410" w:type="dxa"/>
          </w:tcPr>
          <w:p w:rsidR="00044710" w:rsidRPr="00C17A7B" w:rsidRDefault="00044710" w:rsidP="00D30485">
            <w:pPr>
              <w:spacing w:after="120"/>
              <w:rPr>
                <w:szCs w:val="18"/>
              </w:rPr>
            </w:pPr>
            <w:r w:rsidRPr="00C17A7B">
              <w:rPr>
                <w:szCs w:val="18"/>
              </w:rPr>
              <w:t xml:space="preserve">2012 </w:t>
            </w:r>
          </w:p>
        </w:tc>
        <w:tc>
          <w:tcPr>
            <w:tcW w:w="2409" w:type="dxa"/>
          </w:tcPr>
          <w:p w:rsidR="00044710" w:rsidRPr="00C17A7B" w:rsidRDefault="00044710" w:rsidP="00D30485">
            <w:pPr>
              <w:spacing w:after="120"/>
              <w:rPr>
                <w:rFonts w:cstheme="minorHAnsi"/>
                <w:szCs w:val="18"/>
              </w:rPr>
            </w:pPr>
            <w:r w:rsidRPr="00C17A7B">
              <w:rPr>
                <w:rFonts w:cstheme="minorHAnsi"/>
                <w:szCs w:val="18"/>
              </w:rPr>
              <w:t>502056</w:t>
            </w:r>
          </w:p>
        </w:tc>
        <w:tc>
          <w:tcPr>
            <w:tcW w:w="2409" w:type="dxa"/>
          </w:tcPr>
          <w:p w:rsidR="00044710" w:rsidRPr="00C17A7B" w:rsidRDefault="00044710" w:rsidP="00D30485">
            <w:pPr>
              <w:spacing w:after="120"/>
              <w:rPr>
                <w:szCs w:val="18"/>
              </w:rPr>
            </w:pPr>
            <w:r w:rsidRPr="00C17A7B">
              <w:rPr>
                <w:szCs w:val="18"/>
              </w:rPr>
              <w:t xml:space="preserve">424563 </w:t>
            </w:r>
          </w:p>
        </w:tc>
        <w:tc>
          <w:tcPr>
            <w:tcW w:w="2410" w:type="dxa"/>
            <w:vAlign w:val="bottom"/>
          </w:tcPr>
          <w:p w:rsidR="00044710" w:rsidRPr="00C17A7B" w:rsidRDefault="00044710" w:rsidP="00D30485">
            <w:pPr>
              <w:spacing w:after="120"/>
              <w:rPr>
                <w:szCs w:val="18"/>
              </w:rPr>
            </w:pPr>
            <w:r w:rsidRPr="00C17A7B">
              <w:rPr>
                <w:rFonts w:cs="Calibri"/>
                <w:szCs w:val="18"/>
              </w:rPr>
              <w:t>15.4%</w:t>
            </w:r>
          </w:p>
        </w:tc>
      </w:tr>
    </w:tbl>
    <w:p w:rsidR="00044710" w:rsidRDefault="00044710" w:rsidP="00092566">
      <w:pPr>
        <w:autoSpaceDE w:val="0"/>
        <w:autoSpaceDN w:val="0"/>
        <w:adjustRightInd w:val="0"/>
        <w:spacing w:after="0" w:line="240" w:lineRule="auto"/>
        <w:rPr>
          <w:rFonts w:cstheme="minorHAnsi"/>
          <w:bCs/>
        </w:rPr>
      </w:pPr>
      <w:r w:rsidRPr="0021129F">
        <w:rPr>
          <w:sz w:val="20"/>
          <w:szCs w:val="20"/>
        </w:rPr>
        <w:br/>
      </w:r>
    </w:p>
    <w:p w:rsidR="00092566" w:rsidRPr="00092566" w:rsidRDefault="00092566" w:rsidP="00092566">
      <w:pPr>
        <w:autoSpaceDE w:val="0"/>
        <w:autoSpaceDN w:val="0"/>
        <w:adjustRightInd w:val="0"/>
        <w:spacing w:after="0" w:line="240" w:lineRule="auto"/>
        <w:rPr>
          <w:rFonts w:cstheme="minorHAnsi"/>
          <w:bCs/>
        </w:rPr>
      </w:pPr>
    </w:p>
    <w:p w:rsidR="007422FD"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 xml:space="preserve">If patient preference is </w:t>
      </w:r>
      <w:proofErr w:type="gramStart"/>
      <w:r w:rsidR="00713394" w:rsidRPr="00A25024">
        <w:rPr>
          <w:rFonts w:cstheme="minorHAnsi"/>
          <w:b/>
          <w:bCs/>
          <w:i/>
        </w:rPr>
        <w:t>an exclusion</w:t>
      </w:r>
      <w:proofErr w:type="gramEnd"/>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044710" w:rsidRPr="00044710" w:rsidRDefault="00044710" w:rsidP="00044710">
      <w:pPr>
        <w:spacing w:after="120"/>
        <w:rPr>
          <w:szCs w:val="20"/>
        </w:rPr>
      </w:pPr>
      <w:r w:rsidRPr="00044710">
        <w:rPr>
          <w:szCs w:val="20"/>
        </w:rPr>
        <w:t>The list of comorbidities described in section 2b3.1 are associated with higher risk of transfusion and require different anemia management practices that this measure is not intended to address; hence the need for the comorbidity exclusions. The Technical Expert Panel had also recommended these exclusions. As described in Section 2b3.2 patients with exclusion comorbidities are at a higher risk to get transfused than others.</w:t>
      </w:r>
    </w:p>
    <w:p w:rsidR="00044710" w:rsidRPr="00044710" w:rsidRDefault="00044710" w:rsidP="00044710">
      <w:pPr>
        <w:spacing w:after="120"/>
        <w:rPr>
          <w:szCs w:val="20"/>
        </w:rPr>
      </w:pPr>
      <w:r w:rsidRPr="00044710">
        <w:rPr>
          <w:szCs w:val="20"/>
        </w:rPr>
        <w:t>We also checked the distribution of patients excluded at the facility level and the boxplot shows that there is variability in the number of patients excluded among facilities. The numbers of patients with the exclusion comorbidities are not uniformly distributed across facilities thereby demonstrating the need for an exclusion strategy.</w:t>
      </w:r>
    </w:p>
    <w:p w:rsidR="00044710" w:rsidRPr="0021129F" w:rsidRDefault="00044710" w:rsidP="00044710">
      <w:pPr>
        <w:spacing w:after="120"/>
        <w:rPr>
          <w:sz w:val="20"/>
          <w:szCs w:val="20"/>
        </w:rPr>
      </w:pPr>
    </w:p>
    <w:p w:rsidR="00044710" w:rsidRPr="0021129F" w:rsidRDefault="00044710" w:rsidP="00044710">
      <w:pPr>
        <w:spacing w:after="120"/>
        <w:rPr>
          <w:sz w:val="20"/>
          <w:szCs w:val="20"/>
        </w:rPr>
      </w:pPr>
    </w:p>
    <w:p w:rsidR="00044710" w:rsidRPr="0021129F" w:rsidRDefault="00044710" w:rsidP="00044710">
      <w:pPr>
        <w:spacing w:after="120"/>
        <w:rPr>
          <w:sz w:val="20"/>
          <w:szCs w:val="20"/>
        </w:rPr>
      </w:pPr>
      <w:r w:rsidRPr="0021129F">
        <w:rPr>
          <w:noProof/>
          <w:sz w:val="20"/>
          <w:szCs w:val="20"/>
        </w:rPr>
        <w:lastRenderedPageBreak/>
        <w:drawing>
          <wp:inline distT="0" distB="0" distL="0" distR="0" wp14:anchorId="27B30DCC" wp14:editId="1B251D15">
            <wp:extent cx="3895344" cy="3017688"/>
            <wp:effectExtent l="19050" t="19050" r="10160" b="1143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plot.gif"/>
                    <pic:cNvPicPr/>
                  </pic:nvPicPr>
                  <pic:blipFill>
                    <a:blip r:embed="rId13">
                      <a:extLst>
                        <a:ext uri="{28A0092B-C50C-407E-A947-70E740481C1C}">
                          <a14:useLocalDpi xmlns:a14="http://schemas.microsoft.com/office/drawing/2010/main" val="0"/>
                        </a:ext>
                      </a:extLst>
                    </a:blip>
                    <a:stretch>
                      <a:fillRect/>
                    </a:stretch>
                  </pic:blipFill>
                  <pic:spPr>
                    <a:xfrm>
                      <a:off x="0" y="0"/>
                      <a:ext cx="3896930" cy="3018916"/>
                    </a:xfrm>
                    <a:prstGeom prst="rect">
                      <a:avLst/>
                    </a:prstGeom>
                    <a:solidFill>
                      <a:schemeClr val="accent1"/>
                    </a:solidFill>
                    <a:ln w="6350">
                      <a:solidFill>
                        <a:schemeClr val="tx1"/>
                      </a:solidFill>
                    </a:ln>
                  </pic:spPr>
                </pic:pic>
              </a:graphicData>
            </a:graphic>
          </wp:inline>
        </w:drawing>
      </w:r>
    </w:p>
    <w:p w:rsidR="00044710" w:rsidRPr="00A25024" w:rsidRDefault="00044710" w:rsidP="00DB3627">
      <w:pPr>
        <w:autoSpaceDE w:val="0"/>
        <w:autoSpaceDN w:val="0"/>
        <w:adjustRightInd w:val="0"/>
        <w:spacing w:after="0" w:line="240" w:lineRule="auto"/>
        <w:rPr>
          <w:rFonts w:cstheme="minorHAnsi"/>
          <w:bCs/>
        </w:rPr>
      </w:pP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5232D6" w:rsidRDefault="00383473"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383473"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044710">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044710">
            <w:rPr>
              <w:rStyle w:val="Style4"/>
              <w:u w:val="none"/>
            </w:rPr>
            <w:t>7</w:t>
          </w:r>
        </w:sdtContent>
      </w:sdt>
      <w:r w:rsidR="00E562C0" w:rsidRPr="006F22A5">
        <w:rPr>
          <w:rStyle w:val="Style4"/>
          <w:u w:val="none"/>
        </w:rPr>
        <w:t xml:space="preserve"> </w:t>
      </w:r>
      <w:r w:rsidR="00743E46" w:rsidRPr="005232D6">
        <w:rPr>
          <w:rFonts w:cstheme="minorHAnsi"/>
          <w:b/>
          <w:bCs/>
        </w:rPr>
        <w:t>risk factors</w:t>
      </w:r>
    </w:p>
    <w:p w:rsidR="00743E46" w:rsidRPr="005232D6" w:rsidRDefault="00383473"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383473"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092566" w:rsidRDefault="00044710" w:rsidP="00044710">
      <w:pPr>
        <w:autoSpaceDE w:val="0"/>
        <w:autoSpaceDN w:val="0"/>
        <w:adjustRightInd w:val="0"/>
        <w:spacing w:after="0" w:line="240" w:lineRule="auto"/>
        <w:rPr>
          <w:rFonts w:cstheme="minorHAnsi"/>
          <w:bCs/>
        </w:rPr>
      </w:pPr>
      <w:r>
        <w:rPr>
          <w:rFonts w:cstheme="minorHAnsi"/>
          <w:bCs/>
        </w:rPr>
        <w:t>N/A</w:t>
      </w:r>
    </w:p>
    <w:p w:rsidR="00044710" w:rsidRPr="00044710" w:rsidRDefault="00044710" w:rsidP="00044710">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44710" w:rsidRPr="00044710" w:rsidRDefault="00044710" w:rsidP="00044710">
      <w:pPr>
        <w:spacing w:after="120"/>
        <w:rPr>
          <w:szCs w:val="20"/>
        </w:rPr>
      </w:pPr>
      <w:r w:rsidRPr="00044710">
        <w:rPr>
          <w:szCs w:val="20"/>
        </w:rPr>
        <w:t>We included all the standard patient demographics that are included in the facility level modeling for primary outcomes. We sought input from clinicians and epidemiologists and incorporated claims based risk factors and covariate adjustments recommended by the Technical Expert Panel. We also ensured that the variables are chosen to harmonize with those that are used as risk-adjusters for a similarly constructed measure, Standardized Hospitalization Ratio, which is NQF endorsed (http://www.dialysisdata.org; NQF #1463 http://www.qualityforum.org/QPS/1463)</w:t>
      </w:r>
    </w:p>
    <w:p w:rsidR="00044710" w:rsidRPr="00044710" w:rsidRDefault="00044710" w:rsidP="00044710">
      <w:pPr>
        <w:spacing w:after="120"/>
        <w:rPr>
          <w:szCs w:val="20"/>
        </w:rPr>
      </w:pPr>
      <w:r w:rsidRPr="00044710">
        <w:rPr>
          <w:szCs w:val="20"/>
        </w:rPr>
        <w:lastRenderedPageBreak/>
        <w:t>The denominator of the “</w:t>
      </w:r>
      <w:proofErr w:type="spellStart"/>
      <w:r w:rsidRPr="00044710">
        <w:rPr>
          <w:szCs w:val="20"/>
        </w:rPr>
        <w:t>STrR</w:t>
      </w:r>
      <w:proofErr w:type="spellEnd"/>
      <w:r w:rsidRPr="00044710">
        <w:rPr>
          <w:szCs w:val="20"/>
        </w:rPr>
        <w:t>” is an estimate of the expected number of transfusions at the facility; accounting for each patient’s follow-up time and risk factors. The expected number of transfusions is based on the recurrent event analog of Cox regression (Cox, 1972), as developed by Lawless and Nadeau</w:t>
      </w:r>
      <w:proofErr w:type="gramStart"/>
      <w:r w:rsidRPr="00044710">
        <w:rPr>
          <w:szCs w:val="20"/>
        </w:rPr>
        <w:t>,(</w:t>
      </w:r>
      <w:proofErr w:type="gramEnd"/>
      <w:r w:rsidRPr="00044710">
        <w:rPr>
          <w:szCs w:val="20"/>
        </w:rPr>
        <w:t>1995) and Lin et al. (2000); see also Kalbfleisch and Prentice, 2002). For computational purposes, we adopt a model with piecewise constant baseline rates (e.g. Cook and Lawless, 2007) and computational methodology as developed in Liu, Schaubel and Kalbfleisch (2010).</w:t>
      </w:r>
    </w:p>
    <w:p w:rsidR="00044710" w:rsidRPr="00044710" w:rsidRDefault="00044710" w:rsidP="00044710">
      <w:pPr>
        <w:spacing w:after="120"/>
        <w:rPr>
          <w:szCs w:val="20"/>
        </w:rPr>
      </w:pPr>
      <w:r w:rsidRPr="00044710">
        <w:rPr>
          <w:szCs w:val="20"/>
        </w:rPr>
        <w:t xml:space="preserve">The calculation of the </w:t>
      </w:r>
      <w:proofErr w:type="spellStart"/>
      <w:r w:rsidRPr="00044710">
        <w:rPr>
          <w:szCs w:val="20"/>
        </w:rPr>
        <w:t>STrR</w:t>
      </w:r>
      <w:proofErr w:type="spellEnd"/>
      <w:r w:rsidRPr="00044710">
        <w:rPr>
          <w:szCs w:val="20"/>
        </w:rPr>
        <w:t xml:space="preserve"> is a two-stage approach. At Stage 1, model is first fitted to the national data with piecewise-constant baseline rates stratified by facility; transfusion rates are adjusted for patient age, diabetes, duration of ESRD, nursing home status, BMI at incidence, comorbidity index at incidence, and calendar year. This model allows the baseline transfusion rates to vary between strata (facilities), but assumes that the regression coefficients are the same across all strata; this approach is robust to possible differences between facilities in the patient mix being treated. The regression parameter estimates from Stage 1 are used to compute the expected number of transfusions for each patient. Stage two involves summing the expected number of transfusions by facility, then computing facility-specific </w:t>
      </w:r>
      <w:proofErr w:type="spellStart"/>
      <w:r w:rsidRPr="00044710">
        <w:rPr>
          <w:szCs w:val="20"/>
        </w:rPr>
        <w:t>STrRs</w:t>
      </w:r>
      <w:proofErr w:type="spellEnd"/>
      <w:r w:rsidRPr="00044710">
        <w:rPr>
          <w:szCs w:val="20"/>
        </w:rPr>
        <w:t xml:space="preserve"> as the ratio of observed / expected transfusions.</w:t>
      </w:r>
    </w:p>
    <w:p w:rsidR="00044710" w:rsidRPr="00044710" w:rsidRDefault="00044710" w:rsidP="00044710">
      <w:pPr>
        <w:spacing w:after="120"/>
        <w:rPr>
          <w:szCs w:val="20"/>
        </w:rPr>
      </w:pPr>
    </w:p>
    <w:p w:rsidR="00044710" w:rsidRPr="00044710" w:rsidRDefault="00044710" w:rsidP="00044710">
      <w:pPr>
        <w:spacing w:after="120"/>
        <w:rPr>
          <w:szCs w:val="20"/>
        </w:rPr>
      </w:pPr>
      <w:r w:rsidRPr="00044710">
        <w:rPr>
          <w:szCs w:val="20"/>
        </w:rPr>
        <w:t>The patient characteristics included in the stage 1 model as covariates are</w:t>
      </w:r>
    </w:p>
    <w:p w:rsidR="00044710" w:rsidRPr="00044710" w:rsidRDefault="00044710" w:rsidP="00044710">
      <w:pPr>
        <w:pStyle w:val="ListParagraph"/>
        <w:numPr>
          <w:ilvl w:val="0"/>
          <w:numId w:val="28"/>
        </w:numPr>
        <w:spacing w:after="120" w:line="240" w:lineRule="auto"/>
        <w:contextualSpacing w:val="0"/>
        <w:rPr>
          <w:szCs w:val="20"/>
        </w:rPr>
      </w:pPr>
      <w:r w:rsidRPr="00044710">
        <w:rPr>
          <w:szCs w:val="20"/>
        </w:rPr>
        <w:t>age (18-24 years old, 25-44 years old, 45-59 years old, 60-74 years old, or 75+ years old)</w:t>
      </w:r>
    </w:p>
    <w:p w:rsidR="00044710" w:rsidRPr="00044710" w:rsidRDefault="00044710" w:rsidP="00044710">
      <w:pPr>
        <w:pStyle w:val="ListParagraph"/>
        <w:numPr>
          <w:ilvl w:val="0"/>
          <w:numId w:val="28"/>
        </w:numPr>
        <w:spacing w:after="120" w:line="240" w:lineRule="auto"/>
        <w:contextualSpacing w:val="0"/>
        <w:rPr>
          <w:szCs w:val="20"/>
        </w:rPr>
      </w:pPr>
      <w:r w:rsidRPr="00044710">
        <w:rPr>
          <w:szCs w:val="20"/>
        </w:rPr>
        <w:t>cause of ESRD (diabetes or other)</w:t>
      </w:r>
    </w:p>
    <w:p w:rsidR="00044710" w:rsidRPr="00044710" w:rsidRDefault="00044710" w:rsidP="00044710">
      <w:pPr>
        <w:pStyle w:val="ListParagraph"/>
        <w:numPr>
          <w:ilvl w:val="0"/>
          <w:numId w:val="28"/>
        </w:numPr>
        <w:spacing w:after="120" w:line="240" w:lineRule="auto"/>
        <w:contextualSpacing w:val="0"/>
        <w:rPr>
          <w:szCs w:val="20"/>
        </w:rPr>
      </w:pPr>
      <w:r w:rsidRPr="00044710">
        <w:rPr>
          <w:szCs w:val="20"/>
        </w:rPr>
        <w:t>nursing home status</w:t>
      </w:r>
    </w:p>
    <w:p w:rsidR="00044710" w:rsidRPr="00044710" w:rsidRDefault="00044710" w:rsidP="00044710">
      <w:pPr>
        <w:pStyle w:val="ListParagraph"/>
        <w:numPr>
          <w:ilvl w:val="0"/>
          <w:numId w:val="28"/>
        </w:numPr>
        <w:spacing w:after="120" w:line="240" w:lineRule="auto"/>
        <w:contextualSpacing w:val="0"/>
        <w:rPr>
          <w:szCs w:val="20"/>
        </w:rPr>
      </w:pPr>
      <w:r w:rsidRPr="00044710">
        <w:rPr>
          <w:szCs w:val="20"/>
        </w:rPr>
        <w:t>BMI at incidence</w:t>
      </w:r>
    </w:p>
    <w:p w:rsidR="00044710" w:rsidRPr="00044710" w:rsidRDefault="00044710" w:rsidP="00044710">
      <w:pPr>
        <w:pStyle w:val="ListParagraph"/>
        <w:numPr>
          <w:ilvl w:val="0"/>
          <w:numId w:val="28"/>
        </w:numPr>
        <w:spacing w:after="120" w:line="240" w:lineRule="auto"/>
        <w:contextualSpacing w:val="0"/>
        <w:rPr>
          <w:szCs w:val="20"/>
        </w:rPr>
      </w:pPr>
      <w:r w:rsidRPr="00044710">
        <w:rPr>
          <w:szCs w:val="20"/>
        </w:rPr>
        <w:t>comorbidity index at incidence</w:t>
      </w:r>
    </w:p>
    <w:p w:rsidR="00044710" w:rsidRPr="00044710" w:rsidRDefault="00044710" w:rsidP="00044710">
      <w:pPr>
        <w:pStyle w:val="ListParagraph"/>
        <w:numPr>
          <w:ilvl w:val="0"/>
          <w:numId w:val="28"/>
        </w:numPr>
        <w:spacing w:after="120" w:line="240" w:lineRule="auto"/>
        <w:contextualSpacing w:val="0"/>
        <w:rPr>
          <w:szCs w:val="20"/>
        </w:rPr>
      </w:pPr>
      <w:r w:rsidRPr="00044710">
        <w:rPr>
          <w:szCs w:val="20"/>
        </w:rPr>
        <w:t>duration of ESRD (91 days-6 months, 6 months-1 year, 1-2 years, 2-3 years, 3-5 years, or 5+ years as of the period start date) and</w:t>
      </w:r>
    </w:p>
    <w:p w:rsidR="00044710" w:rsidRPr="00044710" w:rsidRDefault="00044710" w:rsidP="00044710">
      <w:pPr>
        <w:pStyle w:val="ListParagraph"/>
        <w:numPr>
          <w:ilvl w:val="0"/>
          <w:numId w:val="28"/>
        </w:numPr>
        <w:spacing w:after="120" w:line="240" w:lineRule="auto"/>
        <w:contextualSpacing w:val="0"/>
        <w:rPr>
          <w:szCs w:val="20"/>
        </w:rPr>
      </w:pPr>
      <w:r w:rsidRPr="00044710">
        <w:rPr>
          <w:szCs w:val="20"/>
        </w:rPr>
        <w:t>calendar year</w:t>
      </w:r>
    </w:p>
    <w:p w:rsidR="00044710" w:rsidRPr="00044710" w:rsidRDefault="00044710" w:rsidP="009410CF">
      <w:pPr>
        <w:spacing w:after="120"/>
        <w:rPr>
          <w:szCs w:val="20"/>
        </w:rPr>
      </w:pPr>
      <w:r w:rsidRPr="00044710">
        <w:rPr>
          <w:szCs w:val="20"/>
        </w:rPr>
        <w:t>Nursing home status is identified as in or not in a nursing home in the previous calendar year. The comorbidity index is calculated as a weighted linear combination of comorbidities reported on the Medical Evidence Form (CMS-2728) namely alcohol dependence, atherosclerotic heart disease, cerebrovascular disease, chronic obstructive pulmonary disease, congestive heart failure, diabetes, diabetes (currently on insulin), drug dependence, inability to ambulate, inability to transfer, malignant neoplasm, cancer, other cardiac disease, peripheral vascular disease, tobacco use (current smoker) using the same weights as used for Standardized Hospitalization Ratio (http://www.dialysisdata.org; NQF #1463 http://www.qualityforum.org/QPS/1463). BMI is included as a log-linear term. Categorical indicator variables are included as covariates in the stage 1 model to flag records with missing values for cause of ESRD, comorbidity index, and BMI. These variables have a value of 1 if the patient is missing the corresponding piece of information and a value of 0 otherwise. Another categorical indicator variable included as a covariate to flag records where the comorbidity index is 0 has a value of 1 if the patient has a comorbidity index of 0 and a value of 0 otherwise.</w:t>
      </w:r>
    </w:p>
    <w:p w:rsidR="00044710" w:rsidRPr="00044710" w:rsidRDefault="00044710" w:rsidP="00044710">
      <w:pPr>
        <w:autoSpaceDE w:val="0"/>
        <w:autoSpaceDN w:val="0"/>
        <w:adjustRightInd w:val="0"/>
        <w:spacing w:after="0" w:line="240" w:lineRule="auto"/>
        <w:rPr>
          <w:rFonts w:cstheme="minorHAnsi"/>
          <w:bCs/>
          <w:sz w:val="24"/>
        </w:rPr>
      </w:pPr>
      <w:r w:rsidRPr="00044710">
        <w:rPr>
          <w:szCs w:val="20"/>
        </w:rPr>
        <w:lastRenderedPageBreak/>
        <w:t>Beside main effects, some two way interaction terms are also included in the model based on their clinical and statistical significance.</w:t>
      </w:r>
    </w:p>
    <w:p w:rsidR="00001D73" w:rsidRPr="00001D73" w:rsidRDefault="00001D73" w:rsidP="00001D73">
      <w:pPr>
        <w:autoSpaceDE w:val="0"/>
        <w:autoSpaceDN w:val="0"/>
        <w:adjustRightInd w:val="0"/>
        <w:spacing w:after="0" w:line="240" w:lineRule="auto"/>
        <w:rPr>
          <w:rFonts w:cstheme="minorHAnsi"/>
          <w:bCs/>
        </w:rPr>
      </w:pPr>
    </w:p>
    <w:p w:rsidR="00044710" w:rsidRPr="0021129F" w:rsidRDefault="00092566" w:rsidP="00044710">
      <w:pPr>
        <w:spacing w:after="120"/>
        <w:rPr>
          <w:sz w:val="20"/>
          <w:szCs w:val="20"/>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r w:rsidR="00044710" w:rsidRPr="00044710">
        <w:rPr>
          <w:szCs w:val="20"/>
        </w:rPr>
        <w:t>In the table below, we list results from the Stage 1 model described above. For a given covariate, the parameter estimate represents the log of the rate ratio (recurrent event version of the relative risk). All covariates have face validity from a clinical perspective; none describe quality of care; and none are associated with disparities in care. With the exception of Cause of ESRD=missing (included for the purposes of completeness), all main effects are statistically significant at 0.05 level.</w:t>
      </w:r>
    </w:p>
    <w:tbl>
      <w:tblPr>
        <w:tblStyle w:val="TableGrid"/>
        <w:tblpPr w:leftFromText="180" w:rightFromText="180" w:vertAnchor="text" w:horzAnchor="margin" w:tblpXSpec="center" w:tblpY="1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8"/>
        <w:gridCol w:w="1620"/>
        <w:gridCol w:w="1440"/>
      </w:tblGrid>
      <w:tr w:rsidR="00044710" w:rsidRPr="00C17A7B" w:rsidTr="00044710">
        <w:trPr>
          <w:tblHeader/>
        </w:trPr>
        <w:tc>
          <w:tcPr>
            <w:tcW w:w="4518" w:type="dxa"/>
            <w:tcBorders>
              <w:bottom w:val="single" w:sz="4" w:space="0" w:color="auto"/>
            </w:tcBorders>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Covariate</w:t>
            </w:r>
          </w:p>
        </w:tc>
        <w:tc>
          <w:tcPr>
            <w:tcW w:w="1620" w:type="dxa"/>
            <w:tcBorders>
              <w:bottom w:val="single" w:sz="4" w:space="0" w:color="auto"/>
            </w:tcBorders>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Coefficient</w:t>
            </w:r>
          </w:p>
        </w:tc>
        <w:tc>
          <w:tcPr>
            <w:tcW w:w="1440" w:type="dxa"/>
            <w:tcBorders>
              <w:bottom w:val="single" w:sz="4" w:space="0" w:color="auto"/>
            </w:tcBorders>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P-value</w:t>
            </w:r>
          </w:p>
        </w:tc>
      </w:tr>
      <w:tr w:rsidR="00044710" w:rsidRPr="00C17A7B" w:rsidTr="00044710">
        <w:tc>
          <w:tcPr>
            <w:tcW w:w="4518" w:type="dxa"/>
            <w:tcBorders>
              <w:top w:val="single" w:sz="4" w:space="0" w:color="auto"/>
            </w:tcBorders>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Incident comorbidity index</w:t>
            </w:r>
          </w:p>
        </w:tc>
        <w:tc>
          <w:tcPr>
            <w:tcW w:w="1620" w:type="dxa"/>
            <w:tcBorders>
              <w:top w:val="single" w:sz="4" w:space="0" w:color="auto"/>
            </w:tcBorders>
          </w:tcPr>
          <w:p w:rsidR="00044710" w:rsidRPr="00C17A7B" w:rsidRDefault="00044710" w:rsidP="00044710">
            <w:pPr>
              <w:pStyle w:val="BodyText"/>
              <w:rPr>
                <w:rFonts w:asciiTheme="minorHAnsi" w:hAnsiTheme="minorHAnsi"/>
                <w:sz w:val="20"/>
                <w:szCs w:val="18"/>
              </w:rPr>
            </w:pPr>
          </w:p>
        </w:tc>
        <w:tc>
          <w:tcPr>
            <w:tcW w:w="1440" w:type="dxa"/>
            <w:tcBorders>
              <w:top w:val="single" w:sz="4" w:space="0" w:color="auto"/>
            </w:tcBorders>
          </w:tcPr>
          <w:p w:rsidR="00044710" w:rsidRPr="00C17A7B" w:rsidRDefault="00044710" w:rsidP="00044710">
            <w:pPr>
              <w:pStyle w:val="BodyText"/>
              <w:rPr>
                <w:rFonts w:asciiTheme="minorHAnsi" w:hAnsiTheme="minorHAnsi"/>
                <w:sz w:val="20"/>
                <w:szCs w:val="18"/>
              </w:rPr>
            </w:pP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0</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-0.127</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Incident comorbidity index (continuous)</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0.375</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Missing</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-0.068</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0.012</w:t>
            </w:r>
          </w:p>
        </w:tc>
      </w:tr>
      <w:tr w:rsidR="00044710" w:rsidRPr="00C17A7B" w:rsidTr="00044710">
        <w:tc>
          <w:tcPr>
            <w:tcW w:w="4518"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Cause of ESRD</w:t>
            </w:r>
          </w:p>
        </w:tc>
        <w:tc>
          <w:tcPr>
            <w:tcW w:w="1620" w:type="dxa"/>
          </w:tcPr>
          <w:p w:rsidR="00044710" w:rsidRPr="00C17A7B" w:rsidRDefault="00044710" w:rsidP="00044710">
            <w:pPr>
              <w:pStyle w:val="BodyText"/>
              <w:rPr>
                <w:rFonts w:asciiTheme="minorHAnsi" w:hAnsiTheme="minorHAnsi"/>
                <w:sz w:val="20"/>
                <w:szCs w:val="18"/>
              </w:rPr>
            </w:pPr>
          </w:p>
        </w:tc>
        <w:tc>
          <w:tcPr>
            <w:tcW w:w="1440" w:type="dxa"/>
          </w:tcPr>
          <w:p w:rsidR="00044710" w:rsidRPr="00C17A7B" w:rsidRDefault="00044710" w:rsidP="00044710">
            <w:pPr>
              <w:pStyle w:val="BodyText"/>
              <w:rPr>
                <w:rFonts w:asciiTheme="minorHAnsi" w:hAnsiTheme="minorHAnsi"/>
                <w:sz w:val="20"/>
                <w:szCs w:val="18"/>
              </w:rPr>
            </w:pP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Diabetes</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-0.075</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Missing</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-0.038</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0.063</w:t>
            </w:r>
          </w:p>
        </w:tc>
      </w:tr>
      <w:tr w:rsidR="00044710" w:rsidRPr="00C17A7B" w:rsidTr="00044710">
        <w:tc>
          <w:tcPr>
            <w:tcW w:w="4518"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Age</w:t>
            </w:r>
          </w:p>
        </w:tc>
        <w:tc>
          <w:tcPr>
            <w:tcW w:w="1620" w:type="dxa"/>
          </w:tcPr>
          <w:p w:rsidR="00044710" w:rsidRPr="00C17A7B" w:rsidRDefault="00044710" w:rsidP="00044710">
            <w:pPr>
              <w:pStyle w:val="BodyText"/>
              <w:rPr>
                <w:rFonts w:asciiTheme="minorHAnsi" w:hAnsiTheme="minorHAnsi"/>
                <w:sz w:val="20"/>
                <w:szCs w:val="18"/>
              </w:rPr>
            </w:pPr>
          </w:p>
        </w:tc>
        <w:tc>
          <w:tcPr>
            <w:tcW w:w="1440" w:type="dxa"/>
          </w:tcPr>
          <w:p w:rsidR="00044710" w:rsidRPr="00C17A7B" w:rsidRDefault="00044710" w:rsidP="00044710">
            <w:pPr>
              <w:pStyle w:val="BodyText"/>
              <w:rPr>
                <w:rFonts w:asciiTheme="minorHAnsi" w:hAnsiTheme="minorHAnsi"/>
                <w:sz w:val="20"/>
                <w:szCs w:val="18"/>
              </w:rPr>
            </w:pP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1</w:t>
            </w:r>
            <w:r w:rsidRPr="00C17A7B">
              <w:rPr>
                <w:rFonts w:asciiTheme="minorHAnsi" w:hAnsiTheme="minorHAnsi" w:cs="Calibri"/>
                <w:sz w:val="20"/>
                <w:szCs w:val="18"/>
                <w:lang w:val="en-US"/>
              </w:rPr>
              <w:t>8</w:t>
            </w:r>
            <w:r w:rsidRPr="00C17A7B">
              <w:rPr>
                <w:rFonts w:asciiTheme="minorHAnsi" w:hAnsiTheme="minorHAnsi" w:cs="Calibri"/>
                <w:sz w:val="20"/>
                <w:szCs w:val="18"/>
              </w:rPr>
              <w:t xml:space="preserve">-24 </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0.0</w:t>
            </w:r>
            <w:r w:rsidRPr="00C17A7B">
              <w:rPr>
                <w:rFonts w:asciiTheme="minorHAnsi" w:hAnsiTheme="minorHAnsi"/>
                <w:sz w:val="20"/>
                <w:szCs w:val="18"/>
                <w:lang w:val="en-US"/>
              </w:rPr>
              <w:t>1</w:t>
            </w:r>
            <w:r w:rsidRPr="00C17A7B">
              <w:rPr>
                <w:rFonts w:asciiTheme="minorHAnsi" w:hAnsiTheme="minorHAnsi"/>
                <w:sz w:val="20"/>
                <w:szCs w:val="18"/>
              </w:rPr>
              <w:t>87</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0.312</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25-44</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-0.234</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45-59</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-0.169</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60-74</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Reference</w:t>
            </w:r>
          </w:p>
        </w:tc>
        <w:tc>
          <w:tcPr>
            <w:tcW w:w="1440" w:type="dxa"/>
          </w:tcPr>
          <w:p w:rsidR="00044710" w:rsidRPr="00C17A7B" w:rsidRDefault="00044710" w:rsidP="00044710">
            <w:pPr>
              <w:pStyle w:val="BodyText"/>
              <w:rPr>
                <w:rFonts w:asciiTheme="minorHAnsi" w:hAnsiTheme="minorHAnsi"/>
                <w:sz w:val="20"/>
                <w:szCs w:val="18"/>
              </w:rPr>
            </w:pP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75+</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0.008</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0.213</w:t>
            </w:r>
          </w:p>
        </w:tc>
      </w:tr>
      <w:tr w:rsidR="00044710" w:rsidRPr="00C17A7B" w:rsidTr="00044710">
        <w:tc>
          <w:tcPr>
            <w:tcW w:w="4518"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BMI</w:t>
            </w:r>
          </w:p>
        </w:tc>
        <w:tc>
          <w:tcPr>
            <w:tcW w:w="1620" w:type="dxa"/>
          </w:tcPr>
          <w:p w:rsidR="00044710" w:rsidRPr="00C17A7B" w:rsidRDefault="00044710" w:rsidP="00044710">
            <w:pPr>
              <w:pStyle w:val="BodyText"/>
              <w:rPr>
                <w:rFonts w:asciiTheme="minorHAnsi" w:hAnsiTheme="minorHAnsi"/>
                <w:sz w:val="20"/>
                <w:szCs w:val="18"/>
              </w:rPr>
            </w:pPr>
          </w:p>
        </w:tc>
        <w:tc>
          <w:tcPr>
            <w:tcW w:w="1440" w:type="dxa"/>
          </w:tcPr>
          <w:p w:rsidR="00044710" w:rsidRPr="00C17A7B" w:rsidRDefault="00044710" w:rsidP="00044710">
            <w:pPr>
              <w:pStyle w:val="BodyText"/>
              <w:rPr>
                <w:rFonts w:asciiTheme="minorHAnsi" w:hAnsiTheme="minorHAnsi"/>
                <w:sz w:val="20"/>
                <w:szCs w:val="18"/>
              </w:rPr>
            </w:pP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Log BMI</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-0.193</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BMI missing</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0.108</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Calendar year</w:t>
            </w:r>
          </w:p>
        </w:tc>
        <w:tc>
          <w:tcPr>
            <w:tcW w:w="1620" w:type="dxa"/>
          </w:tcPr>
          <w:p w:rsidR="00044710" w:rsidRPr="00C17A7B" w:rsidRDefault="00044710" w:rsidP="00044710">
            <w:pPr>
              <w:pStyle w:val="BodyText"/>
              <w:rPr>
                <w:rFonts w:asciiTheme="minorHAnsi" w:hAnsiTheme="minorHAnsi"/>
                <w:sz w:val="20"/>
                <w:szCs w:val="18"/>
              </w:rPr>
            </w:pPr>
          </w:p>
        </w:tc>
        <w:tc>
          <w:tcPr>
            <w:tcW w:w="1440" w:type="dxa"/>
          </w:tcPr>
          <w:p w:rsidR="00044710" w:rsidRPr="00C17A7B" w:rsidRDefault="00044710" w:rsidP="00044710">
            <w:pPr>
              <w:pStyle w:val="BodyText"/>
              <w:rPr>
                <w:rFonts w:asciiTheme="minorHAnsi" w:hAnsiTheme="minorHAnsi"/>
                <w:sz w:val="20"/>
                <w:szCs w:val="18"/>
              </w:rPr>
            </w:pP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2009</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Reference</w:t>
            </w:r>
          </w:p>
        </w:tc>
        <w:tc>
          <w:tcPr>
            <w:tcW w:w="1440" w:type="dxa"/>
          </w:tcPr>
          <w:p w:rsidR="00044710" w:rsidRPr="00C17A7B" w:rsidRDefault="00044710" w:rsidP="00044710">
            <w:pPr>
              <w:pStyle w:val="BodyText"/>
              <w:rPr>
                <w:rFonts w:asciiTheme="minorHAnsi" w:hAnsiTheme="minorHAnsi"/>
                <w:sz w:val="20"/>
                <w:szCs w:val="18"/>
              </w:rPr>
            </w:pP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2010</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-0.033</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2011</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-0.040</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2012</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-0.067</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In nursing home the previous year</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0.542</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Diabetes as cause of ESRD &amp; time on ESRD interaction term</w:t>
            </w:r>
          </w:p>
        </w:tc>
        <w:tc>
          <w:tcPr>
            <w:tcW w:w="1620" w:type="dxa"/>
          </w:tcPr>
          <w:p w:rsidR="00044710" w:rsidRPr="00C17A7B" w:rsidRDefault="00044710" w:rsidP="00044710">
            <w:pPr>
              <w:pStyle w:val="BodyText"/>
              <w:rPr>
                <w:rFonts w:asciiTheme="minorHAnsi" w:hAnsiTheme="minorHAnsi"/>
                <w:sz w:val="20"/>
                <w:szCs w:val="18"/>
              </w:rPr>
            </w:pPr>
          </w:p>
        </w:tc>
        <w:tc>
          <w:tcPr>
            <w:tcW w:w="1440" w:type="dxa"/>
          </w:tcPr>
          <w:p w:rsidR="00044710" w:rsidRPr="00C17A7B" w:rsidRDefault="00044710" w:rsidP="00044710">
            <w:pPr>
              <w:pStyle w:val="BodyText"/>
              <w:rPr>
                <w:rFonts w:asciiTheme="minorHAnsi" w:hAnsiTheme="minorHAnsi"/>
                <w:sz w:val="20"/>
                <w:szCs w:val="18"/>
              </w:rPr>
            </w:pP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91 days-6 months</w:t>
            </w:r>
          </w:p>
        </w:tc>
        <w:tc>
          <w:tcPr>
            <w:tcW w:w="1620" w:type="dxa"/>
          </w:tcPr>
          <w:p w:rsidR="00044710" w:rsidRPr="00C17A7B" w:rsidRDefault="00044710" w:rsidP="00044710">
            <w:pPr>
              <w:pStyle w:val="BodyText"/>
              <w:rPr>
                <w:rFonts w:asciiTheme="minorHAnsi" w:eastAsia="Times New Roman" w:hAnsiTheme="minorHAnsi"/>
                <w:sz w:val="20"/>
                <w:szCs w:val="18"/>
              </w:rPr>
            </w:pPr>
            <w:r w:rsidRPr="00C17A7B">
              <w:rPr>
                <w:rFonts w:asciiTheme="minorHAnsi" w:hAnsiTheme="minorHAnsi"/>
                <w:sz w:val="20"/>
                <w:szCs w:val="18"/>
              </w:rPr>
              <w:t>Reference</w:t>
            </w:r>
          </w:p>
        </w:tc>
        <w:tc>
          <w:tcPr>
            <w:tcW w:w="1440" w:type="dxa"/>
          </w:tcPr>
          <w:p w:rsidR="00044710" w:rsidRPr="00C17A7B" w:rsidRDefault="00044710" w:rsidP="00044710">
            <w:pPr>
              <w:pStyle w:val="BodyText"/>
              <w:rPr>
                <w:rFonts w:asciiTheme="minorHAnsi" w:hAnsiTheme="minorHAnsi"/>
                <w:sz w:val="20"/>
                <w:szCs w:val="18"/>
              </w:rPr>
            </w:pP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6 months-1 year</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0.072</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1-2 years</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0.102</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2-3 years</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0.127</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3-5 years</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0.078</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5+ years</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0.058</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Age &amp; diabetes as cause of ESRD interaction term</w:t>
            </w:r>
          </w:p>
        </w:tc>
        <w:tc>
          <w:tcPr>
            <w:tcW w:w="1620" w:type="dxa"/>
          </w:tcPr>
          <w:p w:rsidR="00044710" w:rsidRPr="00C17A7B" w:rsidRDefault="00044710" w:rsidP="00044710">
            <w:pPr>
              <w:pStyle w:val="BodyText"/>
              <w:rPr>
                <w:rFonts w:asciiTheme="minorHAnsi" w:hAnsiTheme="minorHAnsi"/>
                <w:sz w:val="20"/>
                <w:szCs w:val="18"/>
              </w:rPr>
            </w:pPr>
          </w:p>
        </w:tc>
        <w:tc>
          <w:tcPr>
            <w:tcW w:w="1440" w:type="dxa"/>
          </w:tcPr>
          <w:p w:rsidR="00044710" w:rsidRPr="00C17A7B" w:rsidRDefault="00044710" w:rsidP="00044710">
            <w:pPr>
              <w:pStyle w:val="BodyText"/>
              <w:rPr>
                <w:rFonts w:asciiTheme="minorHAnsi" w:hAnsiTheme="minorHAnsi"/>
                <w:sz w:val="20"/>
                <w:szCs w:val="18"/>
              </w:rPr>
            </w:pP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0-14</w:t>
            </w:r>
          </w:p>
        </w:tc>
        <w:tc>
          <w:tcPr>
            <w:tcW w:w="1620" w:type="dxa"/>
          </w:tcPr>
          <w:p w:rsidR="00044710" w:rsidRPr="00C17A7B" w:rsidRDefault="00044710" w:rsidP="00044710">
            <w:pPr>
              <w:pStyle w:val="BodyText"/>
              <w:rPr>
                <w:rFonts w:asciiTheme="minorHAnsi" w:hAnsiTheme="minorHAnsi"/>
                <w:sz w:val="20"/>
                <w:szCs w:val="18"/>
              </w:rPr>
            </w:pPr>
          </w:p>
        </w:tc>
        <w:tc>
          <w:tcPr>
            <w:tcW w:w="1440" w:type="dxa"/>
          </w:tcPr>
          <w:p w:rsidR="00044710" w:rsidRPr="00C17A7B" w:rsidRDefault="00044710" w:rsidP="00044710">
            <w:pPr>
              <w:pStyle w:val="BodyText"/>
              <w:rPr>
                <w:rFonts w:asciiTheme="minorHAnsi" w:hAnsiTheme="minorHAnsi"/>
                <w:sz w:val="20"/>
                <w:szCs w:val="18"/>
              </w:rPr>
            </w:pP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 xml:space="preserve">15-24 </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0.26</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0.002</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25-44</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0.272</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45-59</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0.126</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&lt;.0001</w:t>
            </w: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60-74</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Reference</w:t>
            </w:r>
          </w:p>
        </w:tc>
        <w:tc>
          <w:tcPr>
            <w:tcW w:w="1440" w:type="dxa"/>
          </w:tcPr>
          <w:p w:rsidR="00044710" w:rsidRPr="00C17A7B" w:rsidRDefault="00044710" w:rsidP="00044710">
            <w:pPr>
              <w:pStyle w:val="BodyText"/>
              <w:rPr>
                <w:rFonts w:asciiTheme="minorHAnsi" w:hAnsiTheme="minorHAnsi"/>
                <w:sz w:val="20"/>
                <w:szCs w:val="18"/>
              </w:rPr>
            </w:pPr>
          </w:p>
        </w:tc>
      </w:tr>
      <w:tr w:rsidR="00044710" w:rsidRPr="00C17A7B" w:rsidTr="00044710">
        <w:tc>
          <w:tcPr>
            <w:tcW w:w="4518" w:type="dxa"/>
          </w:tcPr>
          <w:p w:rsidR="00044710" w:rsidRPr="00C17A7B" w:rsidRDefault="00044710" w:rsidP="00044710">
            <w:pPr>
              <w:pStyle w:val="BodyText"/>
              <w:rPr>
                <w:rFonts w:asciiTheme="minorHAnsi" w:hAnsiTheme="minorHAnsi" w:cs="Calibri"/>
                <w:sz w:val="20"/>
                <w:szCs w:val="18"/>
              </w:rPr>
            </w:pPr>
            <w:r w:rsidRPr="00C17A7B">
              <w:rPr>
                <w:rFonts w:asciiTheme="minorHAnsi" w:hAnsiTheme="minorHAnsi" w:cs="Calibri"/>
                <w:sz w:val="20"/>
                <w:szCs w:val="18"/>
              </w:rPr>
              <w:t>75+</w:t>
            </w:r>
          </w:p>
        </w:tc>
        <w:tc>
          <w:tcPr>
            <w:tcW w:w="162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0.012</w:t>
            </w:r>
          </w:p>
        </w:tc>
        <w:tc>
          <w:tcPr>
            <w:tcW w:w="1440" w:type="dxa"/>
          </w:tcPr>
          <w:p w:rsidR="00044710" w:rsidRPr="00C17A7B" w:rsidRDefault="00044710" w:rsidP="00044710">
            <w:pPr>
              <w:pStyle w:val="BodyText"/>
              <w:rPr>
                <w:rFonts w:asciiTheme="minorHAnsi" w:hAnsiTheme="minorHAnsi"/>
                <w:sz w:val="20"/>
                <w:szCs w:val="18"/>
              </w:rPr>
            </w:pPr>
            <w:r w:rsidRPr="00C17A7B">
              <w:rPr>
                <w:rFonts w:asciiTheme="minorHAnsi" w:hAnsiTheme="minorHAnsi"/>
                <w:sz w:val="20"/>
                <w:szCs w:val="18"/>
              </w:rPr>
              <w:t>0.176</w:t>
            </w:r>
          </w:p>
        </w:tc>
      </w:tr>
      <w:tr w:rsidR="00044710" w:rsidRPr="00C17A7B" w:rsidTr="00044710">
        <w:tc>
          <w:tcPr>
            <w:tcW w:w="7578" w:type="dxa"/>
            <w:gridSpan w:val="3"/>
            <w:tcBorders>
              <w:top w:val="single" w:sz="4" w:space="0" w:color="auto"/>
            </w:tcBorders>
            <w:vAlign w:val="bottom"/>
          </w:tcPr>
          <w:p w:rsidR="00044710" w:rsidRPr="00C17A7B" w:rsidRDefault="00044710" w:rsidP="00044710">
            <w:pPr>
              <w:pStyle w:val="BodyText"/>
              <w:rPr>
                <w:rFonts w:asciiTheme="minorHAnsi" w:hAnsiTheme="minorHAnsi"/>
                <w:sz w:val="20"/>
                <w:szCs w:val="18"/>
              </w:rPr>
            </w:pPr>
          </w:p>
        </w:tc>
      </w:tr>
    </w:tbl>
    <w:p w:rsidR="00044710" w:rsidRPr="0021129F" w:rsidRDefault="00044710" w:rsidP="00044710">
      <w:pPr>
        <w:spacing w:after="120"/>
        <w:rPr>
          <w:sz w:val="20"/>
          <w:szCs w:val="20"/>
        </w:rPr>
      </w:pPr>
    </w:p>
    <w:p w:rsidR="00044710" w:rsidRPr="0021129F" w:rsidRDefault="00044710" w:rsidP="00044710">
      <w:pPr>
        <w:spacing w:after="120"/>
        <w:rPr>
          <w:sz w:val="20"/>
          <w:szCs w:val="20"/>
        </w:rPr>
      </w:pPr>
    </w:p>
    <w:p w:rsidR="00044710" w:rsidRPr="0021129F" w:rsidRDefault="00044710" w:rsidP="00044710">
      <w:pPr>
        <w:spacing w:after="120"/>
        <w:rPr>
          <w:sz w:val="20"/>
          <w:szCs w:val="20"/>
        </w:rPr>
      </w:pPr>
    </w:p>
    <w:p w:rsidR="00044710" w:rsidRPr="0021129F" w:rsidRDefault="00044710" w:rsidP="00044710">
      <w:pPr>
        <w:spacing w:after="120"/>
        <w:rPr>
          <w:sz w:val="20"/>
          <w:szCs w:val="20"/>
        </w:rPr>
      </w:pPr>
    </w:p>
    <w:p w:rsidR="00092566" w:rsidRDefault="00092566"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44710" w:rsidRDefault="00044710" w:rsidP="00001D73">
      <w:pPr>
        <w:autoSpaceDE w:val="0"/>
        <w:autoSpaceDN w:val="0"/>
        <w:adjustRightInd w:val="0"/>
        <w:spacing w:after="0" w:line="240" w:lineRule="auto"/>
        <w:rPr>
          <w:rFonts w:cstheme="minorHAnsi"/>
          <w:b/>
          <w:bCs/>
        </w:rPr>
      </w:pPr>
    </w:p>
    <w:p w:rsidR="00001D73" w:rsidRPr="00001D73" w:rsidRDefault="00001D73" w:rsidP="00001D73">
      <w:pPr>
        <w:autoSpaceDE w:val="0"/>
        <w:autoSpaceDN w:val="0"/>
        <w:adjustRightInd w:val="0"/>
        <w:spacing w:after="0" w:line="240" w:lineRule="auto"/>
        <w:rPr>
          <w:rFonts w:cstheme="minorHAnsi"/>
          <w:b/>
          <w:bCs/>
        </w:rPr>
      </w:pPr>
    </w:p>
    <w:p w:rsidR="00C17A7B" w:rsidRDefault="00C17A7B" w:rsidP="00092566">
      <w:pPr>
        <w:autoSpaceDE w:val="0"/>
        <w:autoSpaceDN w:val="0"/>
        <w:adjustRightInd w:val="0"/>
        <w:spacing w:after="0" w:line="240" w:lineRule="auto"/>
        <w:rPr>
          <w:rFonts w:cstheme="minorHAnsi"/>
          <w:b/>
          <w:bCs/>
        </w:rPr>
      </w:pPr>
    </w:p>
    <w:p w:rsidR="00C17A7B" w:rsidRDefault="00C17A7B" w:rsidP="00092566">
      <w:pPr>
        <w:autoSpaceDE w:val="0"/>
        <w:autoSpaceDN w:val="0"/>
        <w:adjustRightInd w:val="0"/>
        <w:spacing w:after="0" w:line="240" w:lineRule="auto"/>
        <w:rPr>
          <w:rFonts w:cstheme="minorHAnsi"/>
          <w:b/>
          <w:bCs/>
        </w:rPr>
      </w:pPr>
    </w:p>
    <w:p w:rsidR="00C17A7B" w:rsidRDefault="00C17A7B" w:rsidP="00092566">
      <w:pPr>
        <w:autoSpaceDE w:val="0"/>
        <w:autoSpaceDN w:val="0"/>
        <w:adjustRightInd w:val="0"/>
        <w:spacing w:after="0" w:line="240" w:lineRule="auto"/>
        <w:rPr>
          <w:rFonts w:cstheme="minorHAnsi"/>
          <w:b/>
          <w:bCs/>
        </w:rPr>
      </w:pPr>
    </w:p>
    <w:p w:rsidR="00C17A7B" w:rsidRDefault="00C17A7B" w:rsidP="00092566">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lastRenderedPageBreak/>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Style w:val="Hyperlink"/>
          <w:rFonts w:cstheme="minorHAnsi"/>
          <w:b/>
          <w:bCs/>
          <w:i/>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044710" w:rsidRDefault="00044710" w:rsidP="00092566">
      <w:pPr>
        <w:autoSpaceDE w:val="0"/>
        <w:autoSpaceDN w:val="0"/>
        <w:adjustRightInd w:val="0"/>
        <w:spacing w:after="0" w:line="240" w:lineRule="auto"/>
        <w:rPr>
          <w:rStyle w:val="Hyperlink"/>
          <w:rFonts w:cstheme="minorHAnsi"/>
          <w:b/>
          <w:bCs/>
          <w:i/>
        </w:rPr>
      </w:pPr>
    </w:p>
    <w:p w:rsidR="00044710" w:rsidRPr="00044710" w:rsidRDefault="00044710" w:rsidP="00044710">
      <w:pPr>
        <w:autoSpaceDE w:val="0"/>
        <w:autoSpaceDN w:val="0"/>
        <w:adjustRightInd w:val="0"/>
        <w:spacing w:after="0" w:line="240" w:lineRule="auto"/>
        <w:rPr>
          <w:rFonts w:cstheme="minorHAnsi"/>
          <w:bCs/>
        </w:rPr>
      </w:pPr>
      <w:r w:rsidRPr="00044710">
        <w:rPr>
          <w:rFonts w:cstheme="minorHAnsi"/>
          <w:bCs/>
        </w:rPr>
        <w:t xml:space="preserve">Martingale residuals (Barlow and Prentice, 1988) are an important tool for checking the fit of a Cox regression model (or, a model analogous to a Cox model; including the one we fitted at Stage 1). Martingale residual plots are used to investigate the lack of fit of a model. We examined the residual plots and it did not indicate problems with the model fit. </w:t>
      </w:r>
      <w:proofErr w:type="gramStart"/>
      <w:r w:rsidRPr="00044710">
        <w:rPr>
          <w:rFonts w:cstheme="minorHAnsi"/>
          <w:bCs/>
        </w:rPr>
        <w:t>The LOESS curve of martingale residuals by predicted value (Figure 1) shows that the mean of the residuals is flat indicating no lack of fit.</w:t>
      </w:r>
      <w:proofErr w:type="gramEnd"/>
    </w:p>
    <w:p w:rsidR="00044710" w:rsidRDefault="00044710" w:rsidP="00044710">
      <w:pPr>
        <w:autoSpaceDE w:val="0"/>
        <w:autoSpaceDN w:val="0"/>
        <w:adjustRightInd w:val="0"/>
        <w:spacing w:after="0" w:line="240" w:lineRule="auto"/>
        <w:rPr>
          <w:rFonts w:cstheme="minorHAnsi"/>
          <w:bCs/>
        </w:rPr>
      </w:pPr>
      <w:r w:rsidRPr="00044710">
        <w:rPr>
          <w:rFonts w:cstheme="minorHAnsi"/>
          <w:bCs/>
        </w:rPr>
        <w:t xml:space="preserve">Reference: Barlow, W. E. and Prentice, R. L. (1988). </w:t>
      </w:r>
      <w:proofErr w:type="gramStart"/>
      <w:r w:rsidRPr="00044710">
        <w:rPr>
          <w:rFonts w:cstheme="minorHAnsi"/>
          <w:bCs/>
        </w:rPr>
        <w:t>Residuals for relative risk regression.</w:t>
      </w:r>
      <w:proofErr w:type="gramEnd"/>
      <w:r w:rsidRPr="00044710">
        <w:rPr>
          <w:rFonts w:cstheme="minorHAnsi"/>
          <w:bCs/>
        </w:rPr>
        <w:t xml:space="preserve"> </w:t>
      </w:r>
      <w:proofErr w:type="spellStart"/>
      <w:proofErr w:type="gramStart"/>
      <w:r w:rsidRPr="00044710">
        <w:rPr>
          <w:rFonts w:cstheme="minorHAnsi"/>
          <w:bCs/>
        </w:rPr>
        <w:t>Biometrika</w:t>
      </w:r>
      <w:proofErr w:type="spellEnd"/>
      <w:r w:rsidRPr="00044710">
        <w:rPr>
          <w:rFonts w:cstheme="minorHAnsi"/>
          <w:bCs/>
        </w:rPr>
        <w:t xml:space="preserve"> 75, 65{74.</w:t>
      </w:r>
      <w:proofErr w:type="gramEnd"/>
    </w:p>
    <w:p w:rsidR="009410CF" w:rsidRDefault="009410CF" w:rsidP="00044710">
      <w:pPr>
        <w:autoSpaceDE w:val="0"/>
        <w:autoSpaceDN w:val="0"/>
        <w:adjustRightInd w:val="0"/>
        <w:spacing w:after="0" w:line="240" w:lineRule="auto"/>
        <w:rPr>
          <w:rFonts w:cstheme="minorHAnsi"/>
          <w:bCs/>
        </w:rPr>
      </w:pPr>
    </w:p>
    <w:p w:rsidR="009410CF" w:rsidRDefault="009410CF" w:rsidP="00044710">
      <w:pPr>
        <w:autoSpaceDE w:val="0"/>
        <w:autoSpaceDN w:val="0"/>
        <w:adjustRightInd w:val="0"/>
        <w:spacing w:after="0" w:line="240" w:lineRule="auto"/>
        <w:rPr>
          <w:rFonts w:cstheme="minorHAnsi"/>
          <w:bCs/>
        </w:rPr>
      </w:pPr>
      <w:r>
        <w:rPr>
          <w:rFonts w:cstheme="minorHAnsi"/>
          <w:bCs/>
        </w:rPr>
        <w:t xml:space="preserve">Figure 1: Martingale Residual for </w:t>
      </w:r>
      <w:proofErr w:type="spellStart"/>
      <w:r>
        <w:rPr>
          <w:rFonts w:cstheme="minorHAnsi"/>
          <w:bCs/>
        </w:rPr>
        <w:t>STrR</w:t>
      </w:r>
      <w:proofErr w:type="spellEnd"/>
    </w:p>
    <w:p w:rsidR="009410CF" w:rsidRPr="00044710" w:rsidRDefault="009410CF" w:rsidP="00044710">
      <w:pPr>
        <w:autoSpaceDE w:val="0"/>
        <w:autoSpaceDN w:val="0"/>
        <w:adjustRightInd w:val="0"/>
        <w:spacing w:after="0" w:line="240" w:lineRule="auto"/>
        <w:rPr>
          <w:rFonts w:cstheme="minorHAnsi"/>
          <w:bCs/>
        </w:rPr>
      </w:pPr>
    </w:p>
    <w:p w:rsidR="00743E46" w:rsidRDefault="009410CF" w:rsidP="00092566">
      <w:pPr>
        <w:autoSpaceDE w:val="0"/>
        <w:autoSpaceDN w:val="0"/>
        <w:adjustRightInd w:val="0"/>
        <w:spacing w:after="0" w:line="240" w:lineRule="auto"/>
        <w:rPr>
          <w:rFonts w:cstheme="minorHAnsi"/>
          <w:b/>
          <w:bCs/>
        </w:rPr>
      </w:pPr>
      <w:r w:rsidRPr="0021129F">
        <w:rPr>
          <w:noProof/>
          <w:sz w:val="20"/>
          <w:szCs w:val="20"/>
        </w:rPr>
        <w:drawing>
          <wp:inline distT="0" distB="0" distL="0" distR="0" wp14:anchorId="25C5D10E" wp14:editId="30F1DBF4">
            <wp:extent cx="5943600" cy="44577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R_loess.gif"/>
                    <pic:cNvPicPr/>
                  </pic:nvPicPr>
                  <pic:blipFill>
                    <a:blip r:embed="rId14">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9410CF" w:rsidRDefault="009410CF" w:rsidP="00092566">
      <w:pPr>
        <w:autoSpaceDE w:val="0"/>
        <w:autoSpaceDN w:val="0"/>
        <w:adjustRightInd w:val="0"/>
        <w:spacing w:after="0" w:line="240" w:lineRule="auto"/>
        <w:rPr>
          <w:rFonts w:cstheme="minorHAnsi"/>
          <w:b/>
          <w:bCs/>
        </w:rPr>
      </w:pPr>
    </w:p>
    <w:p w:rsidR="00C17A7B" w:rsidRDefault="00C17A7B" w:rsidP="00092566">
      <w:pPr>
        <w:autoSpaceDE w:val="0"/>
        <w:autoSpaceDN w:val="0"/>
        <w:adjustRightInd w:val="0"/>
        <w:spacing w:after="0" w:line="240" w:lineRule="auto"/>
        <w:rPr>
          <w:rFonts w:cstheme="minorHAnsi"/>
          <w:b/>
          <w:bCs/>
        </w:rPr>
      </w:pPr>
    </w:p>
    <w:p w:rsidR="00C17A7B" w:rsidRDefault="00C17A7B" w:rsidP="00092566">
      <w:pPr>
        <w:autoSpaceDE w:val="0"/>
        <w:autoSpaceDN w:val="0"/>
        <w:adjustRightInd w:val="0"/>
        <w:spacing w:after="0" w:line="240" w:lineRule="auto"/>
        <w:rPr>
          <w:rFonts w:cstheme="minorHAnsi"/>
          <w:b/>
          <w:bCs/>
        </w:rPr>
      </w:pPr>
    </w:p>
    <w:p w:rsidR="00044710" w:rsidRDefault="00743E46" w:rsidP="00092566">
      <w:pPr>
        <w:autoSpaceDE w:val="0"/>
        <w:autoSpaceDN w:val="0"/>
        <w:adjustRightInd w:val="0"/>
        <w:spacing w:after="0" w:line="240" w:lineRule="auto"/>
        <w:rPr>
          <w:rFonts w:cstheme="minorHAnsi"/>
          <w:b/>
          <w:bCs/>
        </w:rPr>
      </w:pPr>
      <w:r>
        <w:rPr>
          <w:rFonts w:cstheme="minorHAnsi"/>
          <w:b/>
          <w:bCs/>
        </w:rPr>
        <w:lastRenderedPageBreak/>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rsidR="00044710" w:rsidRDefault="00044710" w:rsidP="00092566">
      <w:pPr>
        <w:autoSpaceDE w:val="0"/>
        <w:autoSpaceDN w:val="0"/>
        <w:adjustRightInd w:val="0"/>
        <w:spacing w:after="0" w:line="240" w:lineRule="auto"/>
        <w:rPr>
          <w:rFonts w:cstheme="minorHAnsi"/>
          <w:b/>
          <w:bCs/>
        </w:rPr>
      </w:pPr>
    </w:p>
    <w:p w:rsidR="00001D73" w:rsidRPr="00001D73" w:rsidRDefault="00044710" w:rsidP="00092566">
      <w:pPr>
        <w:autoSpaceDE w:val="0"/>
        <w:autoSpaceDN w:val="0"/>
        <w:adjustRightInd w:val="0"/>
        <w:spacing w:after="0" w:line="240" w:lineRule="auto"/>
        <w:rPr>
          <w:rFonts w:cstheme="minorHAnsi"/>
          <w:b/>
          <w:bCs/>
        </w:rPr>
      </w:pPr>
      <w:r w:rsidRPr="00044710">
        <w:rPr>
          <w:szCs w:val="20"/>
        </w:rPr>
        <w:t>We looked into goodness of fit statistics, specifically at AIC, BIC criterion. For the model with all the covariates as specified above, AIC value is 3774215.2, as compared to the model with intercept only for which AIC = 3798267.8. Smaller AIC is better. Similar results are obtained when comparing BIC values for both the models. The AIC and BIC values reflect great importance of the adjustment covariates, in aggregate.</w:t>
      </w:r>
      <w:r w:rsidR="00092566" w:rsidRPr="00001D73">
        <w:rPr>
          <w:rFonts w:cstheme="minorHAnsi"/>
          <w:b/>
        </w:rPr>
        <w:br/>
      </w:r>
    </w:p>
    <w:p w:rsidR="00044710" w:rsidRDefault="00743E46" w:rsidP="00092566">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p>
    <w:p w:rsidR="00044710" w:rsidRDefault="00044710" w:rsidP="00092566">
      <w:pPr>
        <w:autoSpaceDE w:val="0"/>
        <w:autoSpaceDN w:val="0"/>
        <w:adjustRightInd w:val="0"/>
        <w:spacing w:after="0" w:line="240" w:lineRule="auto"/>
        <w:rPr>
          <w:rFonts w:cstheme="minorHAnsi"/>
          <w:bCs/>
        </w:rPr>
      </w:pPr>
    </w:p>
    <w:p w:rsidR="00044710" w:rsidRPr="00044710" w:rsidRDefault="00044710" w:rsidP="00044710">
      <w:pPr>
        <w:spacing w:after="120"/>
        <w:rPr>
          <w:szCs w:val="20"/>
        </w:rPr>
      </w:pPr>
      <w:r w:rsidRPr="00044710">
        <w:rPr>
          <w:szCs w:val="20"/>
        </w:rPr>
        <w:t xml:space="preserve">We ranked each subject based on their average expected event rate. We then broke the subjects up into </w:t>
      </w:r>
      <w:proofErr w:type="spellStart"/>
      <w:r w:rsidRPr="00044710">
        <w:rPr>
          <w:szCs w:val="20"/>
        </w:rPr>
        <w:t>deciles</w:t>
      </w:r>
      <w:proofErr w:type="spellEnd"/>
      <w:r w:rsidRPr="00044710">
        <w:rPr>
          <w:szCs w:val="20"/>
        </w:rPr>
        <w:t xml:space="preserve"> and computed </w:t>
      </w:r>
      <w:proofErr w:type="spellStart"/>
      <w:r w:rsidRPr="00044710">
        <w:rPr>
          <w:szCs w:val="20"/>
        </w:rPr>
        <w:t>decile</w:t>
      </w:r>
      <w:proofErr w:type="spellEnd"/>
      <w:r w:rsidRPr="00044710">
        <w:rPr>
          <w:szCs w:val="20"/>
        </w:rPr>
        <w:t xml:space="preserve">-specific observed and expected numbers of transfusions. Results are given in the table below; with the relative agreement between the observed and expected counts given in the last column. Overall, the model appears to have good calibration.  </w:t>
      </w:r>
    </w:p>
    <w:tbl>
      <w:tblPr>
        <w:tblStyle w:val="TableGrid"/>
        <w:tblW w:w="0" w:type="auto"/>
        <w:tblInd w:w="432" w:type="dxa"/>
        <w:tblLayout w:type="fixed"/>
        <w:tblLook w:val="04A0" w:firstRow="1" w:lastRow="0" w:firstColumn="1" w:lastColumn="0" w:noHBand="0" w:noVBand="1"/>
      </w:tblPr>
      <w:tblGrid>
        <w:gridCol w:w="2410"/>
        <w:gridCol w:w="2409"/>
        <w:gridCol w:w="2409"/>
        <w:gridCol w:w="2410"/>
      </w:tblGrid>
      <w:tr w:rsidR="00044710" w:rsidRPr="00C17A7B" w:rsidTr="00D30485">
        <w:tc>
          <w:tcPr>
            <w:tcW w:w="2410" w:type="dxa"/>
          </w:tcPr>
          <w:p w:rsidR="00044710" w:rsidRPr="00C17A7B" w:rsidRDefault="00044710" w:rsidP="00D30485">
            <w:pPr>
              <w:spacing w:after="120"/>
              <w:rPr>
                <w:szCs w:val="18"/>
              </w:rPr>
            </w:pPr>
            <w:proofErr w:type="spellStart"/>
            <w:r w:rsidRPr="00C17A7B">
              <w:rPr>
                <w:b/>
                <w:bCs/>
                <w:szCs w:val="18"/>
              </w:rPr>
              <w:t>Decile</w:t>
            </w:r>
            <w:proofErr w:type="spellEnd"/>
            <w:r w:rsidRPr="00C17A7B">
              <w:rPr>
                <w:b/>
                <w:bCs/>
                <w:szCs w:val="18"/>
              </w:rPr>
              <w:t xml:space="preserve"> </w:t>
            </w:r>
          </w:p>
        </w:tc>
        <w:tc>
          <w:tcPr>
            <w:tcW w:w="2409" w:type="dxa"/>
          </w:tcPr>
          <w:p w:rsidR="00044710" w:rsidRPr="00C17A7B" w:rsidRDefault="00044710" w:rsidP="00D30485">
            <w:pPr>
              <w:spacing w:after="120"/>
              <w:rPr>
                <w:szCs w:val="18"/>
              </w:rPr>
            </w:pPr>
            <w:r w:rsidRPr="00C17A7B">
              <w:rPr>
                <w:b/>
                <w:bCs/>
                <w:szCs w:val="18"/>
              </w:rPr>
              <w:t xml:space="preserve">Observed transfusions </w:t>
            </w:r>
          </w:p>
        </w:tc>
        <w:tc>
          <w:tcPr>
            <w:tcW w:w="2409" w:type="dxa"/>
          </w:tcPr>
          <w:p w:rsidR="00044710" w:rsidRPr="00C17A7B" w:rsidRDefault="00044710" w:rsidP="00D30485">
            <w:pPr>
              <w:spacing w:after="120"/>
              <w:rPr>
                <w:szCs w:val="18"/>
              </w:rPr>
            </w:pPr>
            <w:r w:rsidRPr="00C17A7B">
              <w:rPr>
                <w:b/>
                <w:bCs/>
                <w:szCs w:val="18"/>
              </w:rPr>
              <w:t xml:space="preserve">Expected transfusions </w:t>
            </w:r>
          </w:p>
        </w:tc>
        <w:tc>
          <w:tcPr>
            <w:tcW w:w="2410" w:type="dxa"/>
          </w:tcPr>
          <w:p w:rsidR="00044710" w:rsidRPr="00C17A7B" w:rsidRDefault="00044710" w:rsidP="00D30485">
            <w:pPr>
              <w:spacing w:after="120"/>
              <w:rPr>
                <w:szCs w:val="18"/>
              </w:rPr>
            </w:pPr>
            <w:r w:rsidRPr="00C17A7B">
              <w:rPr>
                <w:b/>
                <w:bCs/>
                <w:szCs w:val="18"/>
              </w:rPr>
              <w:t>(</w:t>
            </w:r>
            <w:proofErr w:type="spellStart"/>
            <w:r w:rsidRPr="00C17A7B">
              <w:rPr>
                <w:b/>
                <w:bCs/>
                <w:szCs w:val="18"/>
              </w:rPr>
              <w:t>Obs</w:t>
            </w:r>
            <w:proofErr w:type="spellEnd"/>
            <w:r w:rsidRPr="00C17A7B">
              <w:rPr>
                <w:b/>
                <w:bCs/>
                <w:szCs w:val="18"/>
              </w:rPr>
              <w:t xml:space="preserve">- </w:t>
            </w:r>
            <w:proofErr w:type="spellStart"/>
            <w:r w:rsidRPr="00C17A7B">
              <w:rPr>
                <w:b/>
                <w:bCs/>
                <w:szCs w:val="18"/>
              </w:rPr>
              <w:t>Exp</w:t>
            </w:r>
            <w:proofErr w:type="spellEnd"/>
            <w:r w:rsidRPr="00C17A7B">
              <w:rPr>
                <w:b/>
                <w:bCs/>
                <w:szCs w:val="18"/>
              </w:rPr>
              <w:t>)/</w:t>
            </w:r>
            <w:proofErr w:type="spellStart"/>
            <w:r w:rsidRPr="00C17A7B">
              <w:rPr>
                <w:b/>
                <w:bCs/>
                <w:szCs w:val="18"/>
              </w:rPr>
              <w:t>Exp</w:t>
            </w:r>
            <w:proofErr w:type="spellEnd"/>
            <w:r w:rsidRPr="00C17A7B">
              <w:rPr>
                <w:b/>
                <w:bCs/>
                <w:szCs w:val="18"/>
              </w:rPr>
              <w:t xml:space="preserve"> </w:t>
            </w:r>
          </w:p>
        </w:tc>
      </w:tr>
      <w:tr w:rsidR="00044710" w:rsidRPr="00C17A7B" w:rsidTr="00D30485">
        <w:tc>
          <w:tcPr>
            <w:tcW w:w="2410" w:type="dxa"/>
          </w:tcPr>
          <w:p w:rsidR="00044710" w:rsidRPr="00C17A7B" w:rsidRDefault="00044710" w:rsidP="00D30485">
            <w:pPr>
              <w:spacing w:after="120"/>
              <w:rPr>
                <w:szCs w:val="18"/>
              </w:rPr>
            </w:pPr>
            <w:r w:rsidRPr="00C17A7B">
              <w:rPr>
                <w:szCs w:val="18"/>
              </w:rPr>
              <w:t xml:space="preserve">1 </w:t>
            </w:r>
          </w:p>
        </w:tc>
        <w:tc>
          <w:tcPr>
            <w:tcW w:w="2409" w:type="dxa"/>
          </w:tcPr>
          <w:p w:rsidR="00044710" w:rsidRPr="00C17A7B" w:rsidRDefault="00044710" w:rsidP="00D30485">
            <w:pPr>
              <w:spacing w:after="120"/>
              <w:rPr>
                <w:szCs w:val="18"/>
              </w:rPr>
            </w:pPr>
            <w:r w:rsidRPr="00C17A7B">
              <w:rPr>
                <w:rFonts w:cs="Arial"/>
                <w:szCs w:val="18"/>
              </w:rPr>
              <w:t>29709</w:t>
            </w:r>
          </w:p>
        </w:tc>
        <w:tc>
          <w:tcPr>
            <w:tcW w:w="2409" w:type="dxa"/>
          </w:tcPr>
          <w:p w:rsidR="00044710" w:rsidRPr="00C17A7B" w:rsidRDefault="00044710" w:rsidP="00D30485">
            <w:pPr>
              <w:spacing w:after="120"/>
              <w:rPr>
                <w:szCs w:val="18"/>
              </w:rPr>
            </w:pPr>
            <w:r w:rsidRPr="00C17A7B">
              <w:rPr>
                <w:rFonts w:cs="Arial"/>
                <w:szCs w:val="18"/>
              </w:rPr>
              <w:t>30485.12</w:t>
            </w:r>
          </w:p>
        </w:tc>
        <w:tc>
          <w:tcPr>
            <w:tcW w:w="2410" w:type="dxa"/>
            <w:vAlign w:val="bottom"/>
          </w:tcPr>
          <w:p w:rsidR="00044710" w:rsidRPr="00C17A7B" w:rsidRDefault="00044710" w:rsidP="00D30485">
            <w:pPr>
              <w:spacing w:after="120"/>
              <w:rPr>
                <w:szCs w:val="18"/>
              </w:rPr>
            </w:pPr>
            <w:r w:rsidRPr="00C17A7B">
              <w:rPr>
                <w:rFonts w:cs="Calibri"/>
                <w:szCs w:val="18"/>
              </w:rPr>
              <w:t>-0.025</w:t>
            </w:r>
          </w:p>
        </w:tc>
      </w:tr>
      <w:tr w:rsidR="00044710" w:rsidRPr="00C17A7B" w:rsidTr="00D30485">
        <w:tc>
          <w:tcPr>
            <w:tcW w:w="2410" w:type="dxa"/>
          </w:tcPr>
          <w:p w:rsidR="00044710" w:rsidRPr="00C17A7B" w:rsidRDefault="00044710" w:rsidP="00D30485">
            <w:pPr>
              <w:spacing w:after="120"/>
              <w:rPr>
                <w:szCs w:val="18"/>
              </w:rPr>
            </w:pPr>
            <w:r w:rsidRPr="00C17A7B">
              <w:rPr>
                <w:szCs w:val="18"/>
              </w:rPr>
              <w:t xml:space="preserve">2 </w:t>
            </w:r>
          </w:p>
        </w:tc>
        <w:tc>
          <w:tcPr>
            <w:tcW w:w="2409" w:type="dxa"/>
          </w:tcPr>
          <w:p w:rsidR="00044710" w:rsidRPr="00C17A7B" w:rsidRDefault="00044710" w:rsidP="00D30485">
            <w:pPr>
              <w:spacing w:after="120"/>
              <w:rPr>
                <w:szCs w:val="18"/>
              </w:rPr>
            </w:pPr>
            <w:r w:rsidRPr="00C17A7B">
              <w:rPr>
                <w:rFonts w:cs="Arial"/>
                <w:szCs w:val="18"/>
              </w:rPr>
              <w:t>34139</w:t>
            </w:r>
          </w:p>
        </w:tc>
        <w:tc>
          <w:tcPr>
            <w:tcW w:w="2409" w:type="dxa"/>
          </w:tcPr>
          <w:p w:rsidR="00044710" w:rsidRPr="00C17A7B" w:rsidRDefault="00044710" w:rsidP="00D30485">
            <w:pPr>
              <w:spacing w:after="120"/>
              <w:rPr>
                <w:szCs w:val="18"/>
              </w:rPr>
            </w:pPr>
            <w:r w:rsidRPr="00C17A7B">
              <w:rPr>
                <w:rFonts w:cs="Arial"/>
                <w:szCs w:val="18"/>
              </w:rPr>
              <w:t>34604.26</w:t>
            </w:r>
          </w:p>
        </w:tc>
        <w:tc>
          <w:tcPr>
            <w:tcW w:w="2410" w:type="dxa"/>
            <w:vAlign w:val="bottom"/>
          </w:tcPr>
          <w:p w:rsidR="00044710" w:rsidRPr="00C17A7B" w:rsidRDefault="00044710" w:rsidP="00D30485">
            <w:pPr>
              <w:spacing w:after="120"/>
              <w:rPr>
                <w:szCs w:val="18"/>
              </w:rPr>
            </w:pPr>
            <w:r w:rsidRPr="00C17A7B">
              <w:rPr>
                <w:rFonts w:cs="Calibri"/>
                <w:szCs w:val="18"/>
              </w:rPr>
              <w:t>-0.013</w:t>
            </w:r>
          </w:p>
        </w:tc>
      </w:tr>
      <w:tr w:rsidR="00044710" w:rsidRPr="00C17A7B" w:rsidTr="00D30485">
        <w:tc>
          <w:tcPr>
            <w:tcW w:w="2410" w:type="dxa"/>
          </w:tcPr>
          <w:p w:rsidR="00044710" w:rsidRPr="00C17A7B" w:rsidRDefault="00044710" w:rsidP="00D30485">
            <w:pPr>
              <w:spacing w:after="120"/>
              <w:rPr>
                <w:szCs w:val="18"/>
              </w:rPr>
            </w:pPr>
            <w:r w:rsidRPr="00C17A7B">
              <w:rPr>
                <w:szCs w:val="18"/>
              </w:rPr>
              <w:t xml:space="preserve">3 </w:t>
            </w:r>
          </w:p>
        </w:tc>
        <w:tc>
          <w:tcPr>
            <w:tcW w:w="2409" w:type="dxa"/>
          </w:tcPr>
          <w:p w:rsidR="00044710" w:rsidRPr="00C17A7B" w:rsidRDefault="00044710" w:rsidP="00D30485">
            <w:pPr>
              <w:spacing w:after="120"/>
              <w:rPr>
                <w:szCs w:val="18"/>
              </w:rPr>
            </w:pPr>
            <w:r w:rsidRPr="00C17A7B">
              <w:rPr>
                <w:rFonts w:cs="Arial"/>
                <w:szCs w:val="18"/>
              </w:rPr>
              <w:t>33935</w:t>
            </w:r>
          </w:p>
        </w:tc>
        <w:tc>
          <w:tcPr>
            <w:tcW w:w="2409" w:type="dxa"/>
          </w:tcPr>
          <w:p w:rsidR="00044710" w:rsidRPr="00C17A7B" w:rsidRDefault="00044710" w:rsidP="00D30485">
            <w:pPr>
              <w:spacing w:after="120"/>
              <w:rPr>
                <w:szCs w:val="18"/>
              </w:rPr>
            </w:pPr>
            <w:r w:rsidRPr="00C17A7B">
              <w:rPr>
                <w:rFonts w:cs="Arial"/>
                <w:szCs w:val="18"/>
              </w:rPr>
              <w:t>34499.89</w:t>
            </w:r>
          </w:p>
        </w:tc>
        <w:tc>
          <w:tcPr>
            <w:tcW w:w="2410" w:type="dxa"/>
            <w:vAlign w:val="bottom"/>
          </w:tcPr>
          <w:p w:rsidR="00044710" w:rsidRPr="00C17A7B" w:rsidRDefault="00044710" w:rsidP="00D30485">
            <w:pPr>
              <w:spacing w:after="120"/>
              <w:rPr>
                <w:szCs w:val="18"/>
              </w:rPr>
            </w:pPr>
            <w:r w:rsidRPr="00C17A7B">
              <w:rPr>
                <w:rFonts w:cs="Calibri"/>
                <w:szCs w:val="18"/>
              </w:rPr>
              <w:t>-0.016</w:t>
            </w:r>
          </w:p>
        </w:tc>
      </w:tr>
      <w:tr w:rsidR="00044710" w:rsidRPr="00C17A7B" w:rsidTr="00D30485">
        <w:tc>
          <w:tcPr>
            <w:tcW w:w="2410" w:type="dxa"/>
          </w:tcPr>
          <w:p w:rsidR="00044710" w:rsidRPr="00C17A7B" w:rsidRDefault="00044710" w:rsidP="00D30485">
            <w:pPr>
              <w:spacing w:after="120"/>
              <w:rPr>
                <w:szCs w:val="18"/>
              </w:rPr>
            </w:pPr>
            <w:r w:rsidRPr="00C17A7B">
              <w:rPr>
                <w:szCs w:val="18"/>
              </w:rPr>
              <w:t xml:space="preserve">4 </w:t>
            </w:r>
          </w:p>
        </w:tc>
        <w:tc>
          <w:tcPr>
            <w:tcW w:w="2409" w:type="dxa"/>
          </w:tcPr>
          <w:p w:rsidR="00044710" w:rsidRPr="00C17A7B" w:rsidRDefault="00044710" w:rsidP="00D30485">
            <w:pPr>
              <w:spacing w:after="120"/>
              <w:rPr>
                <w:szCs w:val="18"/>
              </w:rPr>
            </w:pPr>
            <w:r w:rsidRPr="00C17A7B">
              <w:rPr>
                <w:rFonts w:cs="Arial"/>
                <w:szCs w:val="18"/>
              </w:rPr>
              <w:t>36107</w:t>
            </w:r>
          </w:p>
        </w:tc>
        <w:tc>
          <w:tcPr>
            <w:tcW w:w="2409" w:type="dxa"/>
          </w:tcPr>
          <w:p w:rsidR="00044710" w:rsidRPr="00C17A7B" w:rsidRDefault="00044710" w:rsidP="00D30485">
            <w:pPr>
              <w:spacing w:after="120"/>
              <w:rPr>
                <w:szCs w:val="18"/>
              </w:rPr>
            </w:pPr>
            <w:r w:rsidRPr="00C17A7B">
              <w:rPr>
                <w:rFonts w:cs="Arial"/>
                <w:szCs w:val="18"/>
              </w:rPr>
              <w:t>36321.78</w:t>
            </w:r>
          </w:p>
        </w:tc>
        <w:tc>
          <w:tcPr>
            <w:tcW w:w="2410" w:type="dxa"/>
            <w:vAlign w:val="bottom"/>
          </w:tcPr>
          <w:p w:rsidR="00044710" w:rsidRPr="00C17A7B" w:rsidRDefault="00044710" w:rsidP="00D30485">
            <w:pPr>
              <w:spacing w:after="120"/>
              <w:rPr>
                <w:szCs w:val="18"/>
              </w:rPr>
            </w:pPr>
            <w:r w:rsidRPr="00C17A7B">
              <w:rPr>
                <w:rFonts w:cs="Calibri"/>
                <w:szCs w:val="18"/>
              </w:rPr>
              <w:t>-0.006</w:t>
            </w:r>
          </w:p>
        </w:tc>
      </w:tr>
      <w:tr w:rsidR="00044710" w:rsidRPr="00C17A7B" w:rsidTr="00D30485">
        <w:tc>
          <w:tcPr>
            <w:tcW w:w="2410" w:type="dxa"/>
          </w:tcPr>
          <w:p w:rsidR="00044710" w:rsidRPr="00C17A7B" w:rsidRDefault="00044710" w:rsidP="00D30485">
            <w:pPr>
              <w:spacing w:after="120"/>
              <w:rPr>
                <w:szCs w:val="18"/>
              </w:rPr>
            </w:pPr>
            <w:r w:rsidRPr="00C17A7B">
              <w:rPr>
                <w:szCs w:val="18"/>
              </w:rPr>
              <w:t xml:space="preserve">5 </w:t>
            </w:r>
          </w:p>
        </w:tc>
        <w:tc>
          <w:tcPr>
            <w:tcW w:w="2409" w:type="dxa"/>
          </w:tcPr>
          <w:p w:rsidR="00044710" w:rsidRPr="00C17A7B" w:rsidRDefault="00044710" w:rsidP="00D30485">
            <w:pPr>
              <w:spacing w:after="120"/>
              <w:rPr>
                <w:szCs w:val="18"/>
              </w:rPr>
            </w:pPr>
            <w:r w:rsidRPr="00C17A7B">
              <w:rPr>
                <w:rFonts w:cs="Arial"/>
                <w:szCs w:val="18"/>
              </w:rPr>
              <w:t>37053</w:t>
            </w:r>
          </w:p>
        </w:tc>
        <w:tc>
          <w:tcPr>
            <w:tcW w:w="2409" w:type="dxa"/>
          </w:tcPr>
          <w:p w:rsidR="00044710" w:rsidRPr="00C17A7B" w:rsidRDefault="00044710" w:rsidP="00D30485">
            <w:pPr>
              <w:spacing w:after="120"/>
              <w:rPr>
                <w:szCs w:val="18"/>
              </w:rPr>
            </w:pPr>
            <w:r w:rsidRPr="00C17A7B">
              <w:rPr>
                <w:rFonts w:cs="Arial"/>
                <w:szCs w:val="18"/>
              </w:rPr>
              <w:t>37453.20</w:t>
            </w:r>
          </w:p>
        </w:tc>
        <w:tc>
          <w:tcPr>
            <w:tcW w:w="2410" w:type="dxa"/>
            <w:vAlign w:val="bottom"/>
          </w:tcPr>
          <w:p w:rsidR="00044710" w:rsidRPr="00C17A7B" w:rsidRDefault="00044710" w:rsidP="00D30485">
            <w:pPr>
              <w:spacing w:after="120"/>
              <w:rPr>
                <w:szCs w:val="18"/>
              </w:rPr>
            </w:pPr>
            <w:r w:rsidRPr="00C17A7B">
              <w:rPr>
                <w:rFonts w:cs="Calibri"/>
                <w:szCs w:val="18"/>
              </w:rPr>
              <w:t>-0.011</w:t>
            </w:r>
          </w:p>
        </w:tc>
      </w:tr>
      <w:tr w:rsidR="00044710" w:rsidRPr="00C17A7B" w:rsidTr="00D30485">
        <w:tc>
          <w:tcPr>
            <w:tcW w:w="2410" w:type="dxa"/>
          </w:tcPr>
          <w:p w:rsidR="00044710" w:rsidRPr="00C17A7B" w:rsidRDefault="00044710" w:rsidP="00D30485">
            <w:pPr>
              <w:spacing w:after="120"/>
              <w:rPr>
                <w:szCs w:val="18"/>
              </w:rPr>
            </w:pPr>
            <w:r w:rsidRPr="00C17A7B">
              <w:rPr>
                <w:szCs w:val="18"/>
              </w:rPr>
              <w:t xml:space="preserve">6 </w:t>
            </w:r>
          </w:p>
        </w:tc>
        <w:tc>
          <w:tcPr>
            <w:tcW w:w="2409" w:type="dxa"/>
          </w:tcPr>
          <w:p w:rsidR="00044710" w:rsidRPr="00C17A7B" w:rsidRDefault="00044710" w:rsidP="00D30485">
            <w:pPr>
              <w:spacing w:after="120"/>
              <w:rPr>
                <w:szCs w:val="18"/>
              </w:rPr>
            </w:pPr>
            <w:r w:rsidRPr="00C17A7B">
              <w:rPr>
                <w:rFonts w:cs="Arial"/>
                <w:szCs w:val="18"/>
              </w:rPr>
              <w:t>37716</w:t>
            </w:r>
          </w:p>
        </w:tc>
        <w:tc>
          <w:tcPr>
            <w:tcW w:w="2409" w:type="dxa"/>
          </w:tcPr>
          <w:p w:rsidR="00044710" w:rsidRPr="00C17A7B" w:rsidRDefault="00044710" w:rsidP="00D30485">
            <w:pPr>
              <w:spacing w:after="120"/>
              <w:rPr>
                <w:szCs w:val="18"/>
              </w:rPr>
            </w:pPr>
            <w:r w:rsidRPr="00C17A7B">
              <w:rPr>
                <w:rFonts w:cs="Arial"/>
                <w:szCs w:val="18"/>
              </w:rPr>
              <w:t>38150.72</w:t>
            </w:r>
          </w:p>
        </w:tc>
        <w:tc>
          <w:tcPr>
            <w:tcW w:w="2410" w:type="dxa"/>
            <w:vAlign w:val="bottom"/>
          </w:tcPr>
          <w:p w:rsidR="00044710" w:rsidRPr="00C17A7B" w:rsidRDefault="00044710" w:rsidP="00D30485">
            <w:pPr>
              <w:spacing w:after="120"/>
              <w:rPr>
                <w:szCs w:val="18"/>
              </w:rPr>
            </w:pPr>
            <w:r w:rsidRPr="00C17A7B">
              <w:rPr>
                <w:rFonts w:cs="Calibri"/>
                <w:szCs w:val="18"/>
              </w:rPr>
              <w:t>-0.011</w:t>
            </w:r>
          </w:p>
        </w:tc>
      </w:tr>
      <w:tr w:rsidR="00044710" w:rsidRPr="00C17A7B" w:rsidTr="00D30485">
        <w:tc>
          <w:tcPr>
            <w:tcW w:w="2410" w:type="dxa"/>
          </w:tcPr>
          <w:p w:rsidR="00044710" w:rsidRPr="00C17A7B" w:rsidRDefault="00044710" w:rsidP="00D30485">
            <w:pPr>
              <w:spacing w:after="120"/>
              <w:rPr>
                <w:szCs w:val="18"/>
              </w:rPr>
            </w:pPr>
            <w:r w:rsidRPr="00C17A7B">
              <w:rPr>
                <w:szCs w:val="18"/>
              </w:rPr>
              <w:t xml:space="preserve">7 </w:t>
            </w:r>
          </w:p>
        </w:tc>
        <w:tc>
          <w:tcPr>
            <w:tcW w:w="2409" w:type="dxa"/>
          </w:tcPr>
          <w:p w:rsidR="00044710" w:rsidRPr="00C17A7B" w:rsidRDefault="00044710" w:rsidP="00D30485">
            <w:pPr>
              <w:spacing w:after="120"/>
              <w:rPr>
                <w:szCs w:val="18"/>
              </w:rPr>
            </w:pPr>
            <w:r w:rsidRPr="00C17A7B">
              <w:rPr>
                <w:rFonts w:cs="Arial"/>
                <w:szCs w:val="18"/>
              </w:rPr>
              <w:t>39199</w:t>
            </w:r>
          </w:p>
        </w:tc>
        <w:tc>
          <w:tcPr>
            <w:tcW w:w="2409" w:type="dxa"/>
          </w:tcPr>
          <w:p w:rsidR="00044710" w:rsidRPr="00C17A7B" w:rsidRDefault="00044710" w:rsidP="00D30485">
            <w:pPr>
              <w:spacing w:after="120"/>
              <w:rPr>
                <w:szCs w:val="18"/>
              </w:rPr>
            </w:pPr>
            <w:r w:rsidRPr="00C17A7B">
              <w:rPr>
                <w:rFonts w:cs="Arial"/>
                <w:szCs w:val="18"/>
              </w:rPr>
              <w:t>39176.86</w:t>
            </w:r>
          </w:p>
        </w:tc>
        <w:tc>
          <w:tcPr>
            <w:tcW w:w="2410" w:type="dxa"/>
            <w:vAlign w:val="bottom"/>
          </w:tcPr>
          <w:p w:rsidR="00044710" w:rsidRPr="00C17A7B" w:rsidRDefault="00044710" w:rsidP="00D30485">
            <w:pPr>
              <w:spacing w:after="120"/>
              <w:rPr>
                <w:szCs w:val="18"/>
              </w:rPr>
            </w:pPr>
            <w:r w:rsidRPr="00C17A7B">
              <w:rPr>
                <w:rFonts w:cs="Calibri"/>
                <w:szCs w:val="18"/>
              </w:rPr>
              <w:t>0.001</w:t>
            </w:r>
          </w:p>
        </w:tc>
      </w:tr>
      <w:tr w:rsidR="00044710" w:rsidRPr="00C17A7B" w:rsidTr="00D30485">
        <w:tc>
          <w:tcPr>
            <w:tcW w:w="2410" w:type="dxa"/>
          </w:tcPr>
          <w:p w:rsidR="00044710" w:rsidRPr="00C17A7B" w:rsidRDefault="00044710" w:rsidP="00D30485">
            <w:pPr>
              <w:spacing w:after="120"/>
              <w:rPr>
                <w:szCs w:val="18"/>
              </w:rPr>
            </w:pPr>
            <w:r w:rsidRPr="00C17A7B">
              <w:rPr>
                <w:szCs w:val="18"/>
              </w:rPr>
              <w:t xml:space="preserve">8 </w:t>
            </w:r>
          </w:p>
        </w:tc>
        <w:tc>
          <w:tcPr>
            <w:tcW w:w="2409" w:type="dxa"/>
          </w:tcPr>
          <w:p w:rsidR="00044710" w:rsidRPr="00C17A7B" w:rsidRDefault="00044710" w:rsidP="00D30485">
            <w:pPr>
              <w:spacing w:after="120"/>
              <w:rPr>
                <w:szCs w:val="18"/>
              </w:rPr>
            </w:pPr>
            <w:r w:rsidRPr="00C17A7B">
              <w:rPr>
                <w:rFonts w:cs="Arial"/>
                <w:szCs w:val="18"/>
              </w:rPr>
              <w:t>40689</w:t>
            </w:r>
          </w:p>
        </w:tc>
        <w:tc>
          <w:tcPr>
            <w:tcW w:w="2409" w:type="dxa"/>
          </w:tcPr>
          <w:p w:rsidR="00044710" w:rsidRPr="00C17A7B" w:rsidRDefault="00044710" w:rsidP="00D30485">
            <w:pPr>
              <w:spacing w:after="120"/>
              <w:rPr>
                <w:szCs w:val="18"/>
              </w:rPr>
            </w:pPr>
            <w:r w:rsidRPr="00C17A7B">
              <w:rPr>
                <w:rFonts w:cs="Arial"/>
                <w:szCs w:val="18"/>
              </w:rPr>
              <w:t>40395.72</w:t>
            </w:r>
          </w:p>
        </w:tc>
        <w:tc>
          <w:tcPr>
            <w:tcW w:w="2410" w:type="dxa"/>
            <w:vAlign w:val="bottom"/>
          </w:tcPr>
          <w:p w:rsidR="00044710" w:rsidRPr="00C17A7B" w:rsidRDefault="00044710" w:rsidP="00D30485">
            <w:pPr>
              <w:spacing w:after="120"/>
              <w:rPr>
                <w:szCs w:val="18"/>
              </w:rPr>
            </w:pPr>
            <w:r w:rsidRPr="00C17A7B">
              <w:rPr>
                <w:rFonts w:cs="Calibri"/>
                <w:szCs w:val="18"/>
              </w:rPr>
              <w:t>0.007</w:t>
            </w:r>
          </w:p>
        </w:tc>
      </w:tr>
      <w:tr w:rsidR="00044710" w:rsidRPr="00C17A7B" w:rsidTr="00D30485">
        <w:tc>
          <w:tcPr>
            <w:tcW w:w="2410" w:type="dxa"/>
          </w:tcPr>
          <w:p w:rsidR="00044710" w:rsidRPr="00C17A7B" w:rsidRDefault="00044710" w:rsidP="00D30485">
            <w:pPr>
              <w:spacing w:after="120"/>
              <w:rPr>
                <w:szCs w:val="18"/>
              </w:rPr>
            </w:pPr>
            <w:r w:rsidRPr="00C17A7B">
              <w:rPr>
                <w:szCs w:val="18"/>
              </w:rPr>
              <w:t xml:space="preserve">9 </w:t>
            </w:r>
          </w:p>
        </w:tc>
        <w:tc>
          <w:tcPr>
            <w:tcW w:w="2409" w:type="dxa"/>
          </w:tcPr>
          <w:p w:rsidR="00044710" w:rsidRPr="00C17A7B" w:rsidRDefault="00044710" w:rsidP="00D30485">
            <w:pPr>
              <w:spacing w:after="120"/>
              <w:rPr>
                <w:szCs w:val="18"/>
              </w:rPr>
            </w:pPr>
            <w:r w:rsidRPr="00C17A7B">
              <w:rPr>
                <w:rFonts w:cs="Arial"/>
                <w:szCs w:val="18"/>
              </w:rPr>
              <w:t>43904</w:t>
            </w:r>
          </w:p>
        </w:tc>
        <w:tc>
          <w:tcPr>
            <w:tcW w:w="2409" w:type="dxa"/>
          </w:tcPr>
          <w:p w:rsidR="00044710" w:rsidRPr="00C17A7B" w:rsidRDefault="00044710" w:rsidP="00D30485">
            <w:pPr>
              <w:spacing w:after="120"/>
              <w:rPr>
                <w:szCs w:val="18"/>
              </w:rPr>
            </w:pPr>
            <w:r w:rsidRPr="00C17A7B">
              <w:rPr>
                <w:rFonts w:cs="Arial"/>
                <w:szCs w:val="18"/>
              </w:rPr>
              <w:t>42313.23</w:t>
            </w:r>
          </w:p>
        </w:tc>
        <w:tc>
          <w:tcPr>
            <w:tcW w:w="2410" w:type="dxa"/>
            <w:vAlign w:val="bottom"/>
          </w:tcPr>
          <w:p w:rsidR="00044710" w:rsidRPr="00C17A7B" w:rsidRDefault="00044710" w:rsidP="00D30485">
            <w:pPr>
              <w:spacing w:after="120"/>
              <w:rPr>
                <w:szCs w:val="18"/>
              </w:rPr>
            </w:pPr>
            <w:r w:rsidRPr="00C17A7B">
              <w:rPr>
                <w:rFonts w:cs="Calibri"/>
                <w:szCs w:val="18"/>
              </w:rPr>
              <w:t>0.038</w:t>
            </w:r>
          </w:p>
        </w:tc>
      </w:tr>
      <w:tr w:rsidR="00044710" w:rsidRPr="00C17A7B" w:rsidTr="00D30485">
        <w:tc>
          <w:tcPr>
            <w:tcW w:w="2410" w:type="dxa"/>
          </w:tcPr>
          <w:p w:rsidR="00044710" w:rsidRPr="00C17A7B" w:rsidRDefault="00044710" w:rsidP="00D30485">
            <w:pPr>
              <w:spacing w:after="120"/>
              <w:rPr>
                <w:szCs w:val="18"/>
              </w:rPr>
            </w:pPr>
            <w:r w:rsidRPr="00C17A7B">
              <w:rPr>
                <w:szCs w:val="18"/>
              </w:rPr>
              <w:t>10</w:t>
            </w:r>
          </w:p>
        </w:tc>
        <w:tc>
          <w:tcPr>
            <w:tcW w:w="2409" w:type="dxa"/>
          </w:tcPr>
          <w:p w:rsidR="00044710" w:rsidRPr="00C17A7B" w:rsidRDefault="00044710" w:rsidP="00D30485">
            <w:pPr>
              <w:spacing w:after="120"/>
              <w:rPr>
                <w:rFonts w:cs="Arial"/>
                <w:szCs w:val="18"/>
              </w:rPr>
            </w:pPr>
            <w:r w:rsidRPr="00C17A7B">
              <w:rPr>
                <w:rFonts w:cs="Arial"/>
                <w:szCs w:val="18"/>
              </w:rPr>
              <w:t>62057</w:t>
            </w:r>
          </w:p>
        </w:tc>
        <w:tc>
          <w:tcPr>
            <w:tcW w:w="2409" w:type="dxa"/>
          </w:tcPr>
          <w:p w:rsidR="00044710" w:rsidRPr="00C17A7B" w:rsidRDefault="00044710" w:rsidP="00D30485">
            <w:pPr>
              <w:spacing w:after="120"/>
              <w:rPr>
                <w:rFonts w:cs="Arial"/>
                <w:szCs w:val="18"/>
              </w:rPr>
            </w:pPr>
            <w:r w:rsidRPr="00C17A7B">
              <w:rPr>
                <w:rFonts w:cs="Arial"/>
                <w:szCs w:val="18"/>
              </w:rPr>
              <w:t>61516.19</w:t>
            </w:r>
          </w:p>
        </w:tc>
        <w:tc>
          <w:tcPr>
            <w:tcW w:w="2410" w:type="dxa"/>
            <w:vAlign w:val="bottom"/>
          </w:tcPr>
          <w:p w:rsidR="00044710" w:rsidRPr="00C17A7B" w:rsidRDefault="00044710" w:rsidP="00D30485">
            <w:pPr>
              <w:spacing w:after="120"/>
              <w:rPr>
                <w:rFonts w:cs="Calibri"/>
                <w:szCs w:val="18"/>
              </w:rPr>
            </w:pPr>
            <w:r w:rsidRPr="00C17A7B">
              <w:rPr>
                <w:rFonts w:cs="Calibri"/>
                <w:szCs w:val="18"/>
              </w:rPr>
              <w:t>0.009</w:t>
            </w:r>
          </w:p>
        </w:tc>
      </w:tr>
    </w:tbl>
    <w:p w:rsidR="00001D73" w:rsidRDefault="00092566" w:rsidP="00092566">
      <w:pPr>
        <w:autoSpaceDE w:val="0"/>
        <w:autoSpaceDN w:val="0"/>
        <w:adjustRightInd w:val="0"/>
        <w:spacing w:after="0" w:line="240" w:lineRule="auto"/>
        <w:rPr>
          <w:rFonts w:cstheme="minorHAnsi"/>
          <w:b/>
          <w:bCs/>
        </w:rPr>
      </w:pPr>
      <w:r w:rsidRPr="00A25024">
        <w:rPr>
          <w:rFonts w:cstheme="minorHAnsi"/>
          <w:bCs/>
        </w:rPr>
        <w:br/>
      </w:r>
    </w:p>
    <w:p w:rsidR="00044710" w:rsidRDefault="00743E46" w:rsidP="00044710">
      <w:pPr>
        <w:autoSpaceDE w:val="0"/>
        <w:autoSpaceDN w:val="0"/>
        <w:adjustRightInd w:val="0"/>
        <w:spacing w:after="0" w:line="240" w:lineRule="auto"/>
        <w:rPr>
          <w:rFonts w:cstheme="minorHAnsi"/>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proofErr w:type="gramStart"/>
      <w:r w:rsidR="00092566" w:rsidRPr="00A25024">
        <w:rPr>
          <w:rFonts w:cstheme="minorHAnsi"/>
          <w:bCs/>
        </w:rPr>
        <w:t>:</w:t>
      </w:r>
      <w:proofErr w:type="gramEnd"/>
      <w:r w:rsidR="00092566" w:rsidRPr="00A25024">
        <w:rPr>
          <w:rFonts w:cstheme="minorHAnsi"/>
          <w:bCs/>
        </w:rPr>
        <w:br/>
      </w:r>
      <w:proofErr w:type="spellStart"/>
      <w:r w:rsidR="00044710" w:rsidRPr="00044710">
        <w:rPr>
          <w:rFonts w:cstheme="minorHAnsi"/>
        </w:rPr>
        <w:t>Decile</w:t>
      </w:r>
      <w:proofErr w:type="spellEnd"/>
      <w:r w:rsidR="00044710" w:rsidRPr="00044710">
        <w:rPr>
          <w:rFonts w:cstheme="minorHAnsi"/>
        </w:rPr>
        <w:t xml:space="preserve"> plots (Figure2) shows piecewise linear estimates of the cumulative rates by years since start of ESRD. The plot demonstrates that the risk factors in the model are discriminating well between patients. There is good separation among all 10 groups and the ordering is as predicted by the model (patients predicted to be at lower risk have lower transfusion rates). The absolute differences between the groups is also large with patients predicted to have the highest transfusion rates (line 10) having almost 3 times higher transfusion rates than those predicted to have the lowest rates (line 1).</w:t>
      </w:r>
    </w:p>
    <w:p w:rsidR="00044710" w:rsidRPr="00044710" w:rsidRDefault="00044710" w:rsidP="00044710">
      <w:pPr>
        <w:autoSpaceDE w:val="0"/>
        <w:autoSpaceDN w:val="0"/>
        <w:adjustRightInd w:val="0"/>
        <w:spacing w:after="0" w:line="240" w:lineRule="auto"/>
        <w:rPr>
          <w:rFonts w:cstheme="minorHAnsi"/>
        </w:rPr>
      </w:pPr>
    </w:p>
    <w:p w:rsidR="00C17A7B" w:rsidRDefault="00C17A7B" w:rsidP="00044710">
      <w:pPr>
        <w:autoSpaceDE w:val="0"/>
        <w:autoSpaceDN w:val="0"/>
        <w:adjustRightInd w:val="0"/>
        <w:spacing w:after="0" w:line="240" w:lineRule="auto"/>
        <w:rPr>
          <w:rFonts w:cstheme="minorHAnsi"/>
        </w:rPr>
      </w:pPr>
    </w:p>
    <w:p w:rsidR="00C17A7B" w:rsidRDefault="00C17A7B" w:rsidP="00044710">
      <w:pPr>
        <w:autoSpaceDE w:val="0"/>
        <w:autoSpaceDN w:val="0"/>
        <w:adjustRightInd w:val="0"/>
        <w:spacing w:after="0" w:line="240" w:lineRule="auto"/>
        <w:rPr>
          <w:rFonts w:cstheme="minorHAnsi"/>
        </w:rPr>
      </w:pPr>
    </w:p>
    <w:p w:rsidR="00C17A7B" w:rsidRDefault="00C17A7B" w:rsidP="00044710">
      <w:pPr>
        <w:autoSpaceDE w:val="0"/>
        <w:autoSpaceDN w:val="0"/>
        <w:adjustRightInd w:val="0"/>
        <w:spacing w:after="0" w:line="240" w:lineRule="auto"/>
        <w:rPr>
          <w:rFonts w:cstheme="minorHAnsi"/>
        </w:rPr>
      </w:pPr>
    </w:p>
    <w:p w:rsidR="00C17A7B" w:rsidRDefault="00C17A7B" w:rsidP="00044710">
      <w:pPr>
        <w:autoSpaceDE w:val="0"/>
        <w:autoSpaceDN w:val="0"/>
        <w:adjustRightInd w:val="0"/>
        <w:spacing w:after="0" w:line="240" w:lineRule="auto"/>
        <w:rPr>
          <w:rFonts w:cstheme="minorHAnsi"/>
        </w:rPr>
      </w:pPr>
    </w:p>
    <w:p w:rsidR="00C17A7B" w:rsidRDefault="00C17A7B" w:rsidP="00044710">
      <w:pPr>
        <w:autoSpaceDE w:val="0"/>
        <w:autoSpaceDN w:val="0"/>
        <w:adjustRightInd w:val="0"/>
        <w:spacing w:after="0" w:line="240" w:lineRule="auto"/>
        <w:rPr>
          <w:rFonts w:cstheme="minorHAnsi"/>
        </w:rPr>
      </w:pPr>
    </w:p>
    <w:p w:rsidR="00C17A7B" w:rsidRDefault="00C17A7B" w:rsidP="00044710">
      <w:pPr>
        <w:autoSpaceDE w:val="0"/>
        <w:autoSpaceDN w:val="0"/>
        <w:adjustRightInd w:val="0"/>
        <w:spacing w:after="0" w:line="240" w:lineRule="auto"/>
        <w:rPr>
          <w:rFonts w:cstheme="minorHAnsi"/>
        </w:rPr>
      </w:pPr>
    </w:p>
    <w:p w:rsidR="00044710" w:rsidRDefault="00044710" w:rsidP="00044710">
      <w:pPr>
        <w:autoSpaceDE w:val="0"/>
        <w:autoSpaceDN w:val="0"/>
        <w:adjustRightInd w:val="0"/>
        <w:spacing w:after="0" w:line="240" w:lineRule="auto"/>
        <w:rPr>
          <w:rFonts w:cstheme="minorHAnsi"/>
        </w:rPr>
      </w:pPr>
      <w:r w:rsidRPr="00044710">
        <w:rPr>
          <w:rFonts w:cstheme="minorHAnsi"/>
        </w:rPr>
        <w:lastRenderedPageBreak/>
        <w:t xml:space="preserve">Figure 2: </w:t>
      </w:r>
      <w:proofErr w:type="spellStart"/>
      <w:r w:rsidRPr="00044710">
        <w:rPr>
          <w:rFonts w:cstheme="minorHAnsi"/>
        </w:rPr>
        <w:t>Decile</w:t>
      </w:r>
      <w:proofErr w:type="spellEnd"/>
      <w:r w:rsidRPr="00044710">
        <w:rPr>
          <w:rFonts w:cstheme="minorHAnsi"/>
        </w:rPr>
        <w:t xml:space="preserve"> plots for count of transfusions</w:t>
      </w:r>
    </w:p>
    <w:p w:rsidR="00044710" w:rsidRDefault="00044710" w:rsidP="00044710">
      <w:pPr>
        <w:autoSpaceDE w:val="0"/>
        <w:autoSpaceDN w:val="0"/>
        <w:adjustRightInd w:val="0"/>
        <w:spacing w:after="0" w:line="240" w:lineRule="auto"/>
        <w:rPr>
          <w:rFonts w:cstheme="minorHAnsi"/>
        </w:rPr>
      </w:pPr>
    </w:p>
    <w:p w:rsidR="00743E46" w:rsidRDefault="00044710" w:rsidP="00044710">
      <w:pPr>
        <w:autoSpaceDE w:val="0"/>
        <w:autoSpaceDN w:val="0"/>
        <w:adjustRightInd w:val="0"/>
        <w:spacing w:after="0" w:line="240" w:lineRule="auto"/>
        <w:rPr>
          <w:rFonts w:cstheme="minorHAnsi"/>
          <w:b/>
        </w:rPr>
      </w:pPr>
      <w:r w:rsidRPr="0021129F">
        <w:rPr>
          <w:noProof/>
        </w:rPr>
        <w:drawing>
          <wp:inline distT="0" distB="0" distL="0" distR="0" wp14:anchorId="0E300FB2" wp14:editId="64D6DFBA">
            <wp:extent cx="5943600" cy="3738880"/>
            <wp:effectExtent l="0" t="0" r="19050" b="1397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Default="00092566" w:rsidP="00044710">
      <w:pPr>
        <w:rPr>
          <w:rFonts w:cstheme="minorHAnsi"/>
          <w:bCs/>
        </w:rPr>
      </w:pPr>
    </w:p>
    <w:p w:rsidR="00044710" w:rsidRPr="00044710" w:rsidRDefault="00044710" w:rsidP="00044710">
      <w:pPr>
        <w:rPr>
          <w:rFonts w:cstheme="minorHAnsi"/>
          <w:bCs/>
        </w:rPr>
      </w:pPr>
      <w:r>
        <w:rPr>
          <w:rFonts w:cstheme="minorHAnsi"/>
          <w:bCs/>
        </w:rPr>
        <w:t>N/A</w:t>
      </w:r>
    </w:p>
    <w:p w:rsidR="00044710"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p>
    <w:p w:rsidR="00044710" w:rsidRDefault="00044710" w:rsidP="00092566">
      <w:pPr>
        <w:autoSpaceDE w:val="0"/>
        <w:autoSpaceDN w:val="0"/>
        <w:adjustRightInd w:val="0"/>
        <w:spacing w:after="0" w:line="240" w:lineRule="auto"/>
        <w:rPr>
          <w:rFonts w:cstheme="minorHAnsi"/>
          <w:bCs/>
        </w:rPr>
      </w:pPr>
    </w:p>
    <w:p w:rsidR="00092566" w:rsidRPr="00A25024" w:rsidRDefault="00044710" w:rsidP="00092566">
      <w:pPr>
        <w:autoSpaceDE w:val="0"/>
        <w:autoSpaceDN w:val="0"/>
        <w:adjustRightInd w:val="0"/>
        <w:spacing w:after="0" w:line="240" w:lineRule="auto"/>
        <w:rPr>
          <w:rFonts w:cstheme="minorHAnsi"/>
          <w:bCs/>
        </w:rPr>
      </w:pPr>
      <w:r w:rsidRPr="00044710">
        <w:rPr>
          <w:rFonts w:cstheme="minorHAnsi"/>
          <w:bCs/>
        </w:rPr>
        <w:t>Covariates used as risk adjusters for this measure all have face and clinical validity and most of them are statistically significant at the 0.05 level. The residual plots show no lack of fit, while goodness-of-fit criteria show that there is great value in risk adjustment. The model appears to adequately discriminate the risk of transfusion among subjects; and, overall, is well-calibrated.</w:t>
      </w:r>
      <w:r w:rsidR="00092566" w:rsidRPr="00A25024">
        <w:rPr>
          <w:rFonts w:cstheme="minorHAnsi"/>
          <w:bCs/>
        </w:rPr>
        <w:br/>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044710" w:rsidP="00D61410">
      <w:pPr>
        <w:autoSpaceDE w:val="0"/>
        <w:autoSpaceDN w:val="0"/>
        <w:adjustRightInd w:val="0"/>
        <w:spacing w:after="0" w:line="240" w:lineRule="auto"/>
        <w:rPr>
          <w:rFonts w:cstheme="minorHAnsi"/>
          <w:b/>
          <w:bCs/>
        </w:rPr>
      </w:pPr>
      <w:r>
        <w:rPr>
          <w:rFonts w:cstheme="minorHAnsi"/>
          <w:b/>
          <w:bCs/>
        </w:rPr>
        <w:t>N/A</w:t>
      </w:r>
    </w:p>
    <w:p w:rsidR="00C17A7B" w:rsidRDefault="00C17A7B" w:rsidP="00D61410">
      <w:pPr>
        <w:autoSpaceDE w:val="0"/>
        <w:autoSpaceDN w:val="0"/>
        <w:adjustRightInd w:val="0"/>
        <w:spacing w:after="0" w:line="240" w:lineRule="auto"/>
        <w:rPr>
          <w:rFonts w:cstheme="minorHAnsi"/>
          <w:b/>
          <w:bCs/>
        </w:rPr>
      </w:pPr>
    </w:p>
    <w:p w:rsidR="00C17A7B" w:rsidRDefault="00C17A7B" w:rsidP="00D61410">
      <w:pPr>
        <w:autoSpaceDE w:val="0"/>
        <w:autoSpaceDN w:val="0"/>
        <w:adjustRightInd w:val="0"/>
        <w:spacing w:after="0" w:line="240" w:lineRule="auto"/>
        <w:rPr>
          <w:rFonts w:cstheme="minorHAnsi"/>
          <w:b/>
          <w:bCs/>
        </w:rPr>
      </w:pPr>
    </w:p>
    <w:p w:rsidR="00C17A7B" w:rsidRDefault="00C17A7B" w:rsidP="00D61410">
      <w:pPr>
        <w:autoSpaceDE w:val="0"/>
        <w:autoSpaceDN w:val="0"/>
        <w:adjustRightInd w:val="0"/>
        <w:spacing w:after="0" w:line="240" w:lineRule="auto"/>
        <w:rPr>
          <w:rFonts w:cstheme="minorHAnsi"/>
          <w:b/>
          <w:bCs/>
        </w:rPr>
      </w:pPr>
    </w:p>
    <w:p w:rsidR="00D61410" w:rsidRDefault="00D61410" w:rsidP="00D61410">
      <w:pPr>
        <w:autoSpaceDE w:val="0"/>
        <w:autoSpaceDN w:val="0"/>
        <w:adjustRightInd w:val="0"/>
        <w:spacing w:after="0" w:line="240" w:lineRule="auto"/>
        <w:rPr>
          <w:rFonts w:cstheme="minorHAnsi"/>
          <w:bCs/>
        </w:rPr>
      </w:pPr>
      <w:r>
        <w:rPr>
          <w:rFonts w:cstheme="minorHAnsi"/>
          <w:bCs/>
        </w:rPr>
        <w:lastRenderedPageBreak/>
        <w:t>_______________________</w:t>
      </w:r>
    </w:p>
    <w:p w:rsidR="00C17A7B" w:rsidRPr="00A25024" w:rsidRDefault="00C17A7B" w:rsidP="00D61410">
      <w:pPr>
        <w:autoSpaceDE w:val="0"/>
        <w:autoSpaceDN w:val="0"/>
        <w:adjustRightInd w:val="0"/>
        <w:spacing w:after="0" w:line="240" w:lineRule="auto"/>
        <w:rPr>
          <w:rFonts w:cstheme="minorHAnsi"/>
          <w:bCs/>
        </w:rPr>
      </w:pP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9410CF" w:rsidRDefault="00D61410" w:rsidP="00044710">
      <w:pPr>
        <w:spacing w:after="120"/>
        <w:rPr>
          <w:rFonts w:cstheme="minorHAnsi"/>
          <w:bCs/>
          <w:sz w:val="24"/>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r>
    </w:p>
    <w:p w:rsidR="00044710" w:rsidRPr="00044710" w:rsidRDefault="00044710" w:rsidP="00044710">
      <w:pPr>
        <w:spacing w:after="120"/>
        <w:rPr>
          <w:szCs w:val="20"/>
        </w:rPr>
      </w:pPr>
      <w:r w:rsidRPr="00044710">
        <w:rPr>
          <w:szCs w:val="20"/>
        </w:rPr>
        <w:t xml:space="preserve">The </w:t>
      </w:r>
      <w:proofErr w:type="spellStart"/>
      <w:r w:rsidRPr="00044710">
        <w:rPr>
          <w:szCs w:val="20"/>
        </w:rPr>
        <w:t>STrR</w:t>
      </w:r>
      <w:proofErr w:type="spellEnd"/>
      <w:r w:rsidRPr="00044710">
        <w:rPr>
          <w:szCs w:val="20"/>
        </w:rPr>
        <w:t xml:space="preserve"> is a ratio of the observed number of red blood cell transfusions to the expected number among patients in a facility over a 1‐</w:t>
      </w:r>
      <w:proofErr w:type="gramStart"/>
      <w:r w:rsidRPr="00044710">
        <w:rPr>
          <w:szCs w:val="20"/>
        </w:rPr>
        <w:t>year .</w:t>
      </w:r>
      <w:proofErr w:type="gramEnd"/>
      <w:r w:rsidRPr="00044710">
        <w:rPr>
          <w:szCs w:val="20"/>
        </w:rPr>
        <w:t xml:space="preserve"> The expectation is obtained based on the overall national average rate of transfusions, adjusted for the particular patient mix at the facility under consideration.</w:t>
      </w:r>
    </w:p>
    <w:p w:rsidR="00044710" w:rsidRPr="00044710" w:rsidRDefault="00044710" w:rsidP="00044710">
      <w:pPr>
        <w:spacing w:after="120"/>
        <w:rPr>
          <w:szCs w:val="20"/>
        </w:rPr>
      </w:pPr>
      <w:r w:rsidRPr="00044710">
        <w:rPr>
          <w:szCs w:val="20"/>
        </w:rPr>
        <w:t xml:space="preserve">In order to classify facilities as having transfusion rates that are better, no different or worse than the national average, we require a method of obtaining a p‐value for classification purposes. A p-value assesses the probability that the facility would experience a number of transfusions more extreme than that observed if the null hypothesis were true; accounting for each facility’s patient mix. To do this, a z‐score is first calculated using the estimate and standard error for each facility using the method of generalized estimating equations (GEE; Liang &amp; </w:t>
      </w:r>
      <w:proofErr w:type="spellStart"/>
      <w:r w:rsidRPr="00044710">
        <w:rPr>
          <w:szCs w:val="20"/>
        </w:rPr>
        <w:t>Zeger</w:t>
      </w:r>
      <w:proofErr w:type="spellEnd"/>
      <w:r w:rsidRPr="00044710">
        <w:rPr>
          <w:szCs w:val="20"/>
        </w:rPr>
        <w:t xml:space="preserve">, 1986). Specifically, the transfusion rate (or, equivalently: the mean transfusion count, given the exposure) was assumed to follow a multiplicative model and a robust (sandwich) standard error was used. The use of robust standard errors has been advocated for modeling recurrent events (i.e., multiple events per subject) by several previous authors; e.g., Lawless &amp; Nadeau (1995); Lin, Wei, Yang &amp; Ying (2000); </w:t>
      </w:r>
      <w:proofErr w:type="spellStart"/>
      <w:proofErr w:type="gramStart"/>
      <w:r w:rsidRPr="00044710">
        <w:rPr>
          <w:szCs w:val="20"/>
        </w:rPr>
        <w:t>Cai</w:t>
      </w:r>
      <w:proofErr w:type="spellEnd"/>
      <w:proofErr w:type="gramEnd"/>
      <w:r w:rsidRPr="00044710">
        <w:rPr>
          <w:szCs w:val="20"/>
        </w:rPr>
        <w:t xml:space="preserve"> &amp; Schaubel (2004). For each facility, the Z-score was computed as the facility’s </w:t>
      </w:r>
      <w:proofErr w:type="gramStart"/>
      <w:r w:rsidRPr="00044710">
        <w:rPr>
          <w:szCs w:val="20"/>
        </w:rPr>
        <w:t>log(</w:t>
      </w:r>
      <w:proofErr w:type="spellStart"/>
      <w:proofErr w:type="gramEnd"/>
      <w:r w:rsidRPr="00044710">
        <w:rPr>
          <w:szCs w:val="20"/>
        </w:rPr>
        <w:t>STrR</w:t>
      </w:r>
      <w:proofErr w:type="spellEnd"/>
      <w:r w:rsidRPr="00044710">
        <w:rPr>
          <w:szCs w:val="20"/>
        </w:rPr>
        <w:t xml:space="preserve">), divided by its standard error. Since </w:t>
      </w:r>
      <w:proofErr w:type="gramStart"/>
      <w:r w:rsidRPr="00044710">
        <w:rPr>
          <w:szCs w:val="20"/>
        </w:rPr>
        <w:t>log(</w:t>
      </w:r>
      <w:proofErr w:type="spellStart"/>
      <w:proofErr w:type="gramEnd"/>
      <w:r w:rsidRPr="00044710">
        <w:rPr>
          <w:szCs w:val="20"/>
        </w:rPr>
        <w:t>STrR</w:t>
      </w:r>
      <w:proofErr w:type="spellEnd"/>
      <w:r w:rsidRPr="00044710">
        <w:rPr>
          <w:szCs w:val="20"/>
        </w:rPr>
        <w:t xml:space="preserve">) is undefined for facilities with 0 transfusions, the Z-score in such cases was computed as (STrR-1), divided by a standard error estimate (sandwich estimator) for </w:t>
      </w:r>
      <w:proofErr w:type="spellStart"/>
      <w:r w:rsidRPr="00044710">
        <w:rPr>
          <w:szCs w:val="20"/>
        </w:rPr>
        <w:t>STrR</w:t>
      </w:r>
      <w:proofErr w:type="spellEnd"/>
      <w:r w:rsidRPr="00044710">
        <w:rPr>
          <w:szCs w:val="20"/>
        </w:rPr>
        <w:t>.</w:t>
      </w:r>
    </w:p>
    <w:p w:rsidR="00044710" w:rsidRPr="00044710" w:rsidRDefault="00044710" w:rsidP="00044710">
      <w:pPr>
        <w:spacing w:after="120"/>
        <w:rPr>
          <w:b/>
          <w:szCs w:val="20"/>
        </w:rPr>
      </w:pPr>
      <w:r w:rsidRPr="00044710">
        <w:rPr>
          <w:szCs w:val="20"/>
        </w:rPr>
        <w:t>To account for the over dispersion in the z-scores, as used in Standardized Hospitalization Ratio (NQF #1463 http://www.qualityforum.org/QPS/1463), we use robust estimates of location and scale based on the center of the z-scores (by fitting robust regression on z- scores) and derive normal curves that more closely describes the z‐score distribution. This new distribution is referred to as the “empirical null hypothesis” (</w:t>
      </w:r>
      <w:proofErr w:type="spellStart"/>
      <w:r w:rsidRPr="00044710">
        <w:rPr>
          <w:szCs w:val="20"/>
        </w:rPr>
        <w:t>Efron</w:t>
      </w:r>
      <w:proofErr w:type="spellEnd"/>
      <w:r w:rsidRPr="00044710">
        <w:rPr>
          <w:szCs w:val="20"/>
        </w:rPr>
        <w:t xml:space="preserve">, 2004) and provide references for assessing the extent to which a given facility’s outcomes are extreme in comparison with other facilities. We then use the mean and standard deviation from the empirical null distribution of the </w:t>
      </w:r>
      <w:proofErr w:type="spellStart"/>
      <w:r w:rsidRPr="00044710">
        <w:rPr>
          <w:szCs w:val="20"/>
        </w:rPr>
        <w:t>STrR</w:t>
      </w:r>
      <w:proofErr w:type="spellEnd"/>
      <w:r w:rsidRPr="00044710">
        <w:rPr>
          <w:szCs w:val="20"/>
        </w:rPr>
        <w:t xml:space="preserve"> z‐scores to calculate the p‐value for classifying facility performance</w:t>
      </w:r>
      <w:r w:rsidRPr="00044710">
        <w:rPr>
          <w:b/>
          <w:szCs w:val="20"/>
        </w:rPr>
        <w:t>.</w:t>
      </w:r>
    </w:p>
    <w:p w:rsidR="00044710" w:rsidRPr="00044710" w:rsidRDefault="00044710" w:rsidP="00044710">
      <w:pPr>
        <w:spacing w:after="120"/>
        <w:rPr>
          <w:szCs w:val="20"/>
        </w:rPr>
      </w:pPr>
    </w:p>
    <w:p w:rsidR="00044710" w:rsidRPr="00044710" w:rsidRDefault="00044710" w:rsidP="00044710">
      <w:pPr>
        <w:spacing w:after="120"/>
        <w:rPr>
          <w:szCs w:val="20"/>
        </w:rPr>
      </w:pPr>
      <w:r w:rsidRPr="00044710">
        <w:rPr>
          <w:szCs w:val="20"/>
        </w:rPr>
        <w:t>References:</w:t>
      </w:r>
    </w:p>
    <w:p w:rsidR="00044710" w:rsidRPr="00044710" w:rsidRDefault="00044710" w:rsidP="00044710">
      <w:pPr>
        <w:pStyle w:val="ListParagraph"/>
        <w:numPr>
          <w:ilvl w:val="0"/>
          <w:numId w:val="28"/>
        </w:numPr>
        <w:spacing w:after="120" w:line="240" w:lineRule="auto"/>
        <w:contextualSpacing w:val="0"/>
        <w:rPr>
          <w:szCs w:val="20"/>
        </w:rPr>
      </w:pPr>
      <w:r w:rsidRPr="00044710">
        <w:rPr>
          <w:szCs w:val="20"/>
        </w:rPr>
        <w:t>Lin, D.Y., Wei, L.J., Yang, I. and Ying, Z. (2000). Semiparametric regression for the mean and rate functions of recurrent events. Journal of the Royal Statistical Society Series B, 62, 711–730.</w:t>
      </w:r>
    </w:p>
    <w:p w:rsidR="00044710" w:rsidRPr="00044710" w:rsidRDefault="00044710" w:rsidP="00044710">
      <w:pPr>
        <w:pStyle w:val="ListParagraph"/>
        <w:numPr>
          <w:ilvl w:val="0"/>
          <w:numId w:val="28"/>
        </w:numPr>
        <w:spacing w:after="120" w:line="240" w:lineRule="auto"/>
        <w:contextualSpacing w:val="0"/>
        <w:rPr>
          <w:szCs w:val="20"/>
        </w:rPr>
      </w:pPr>
      <w:proofErr w:type="spellStart"/>
      <w:r w:rsidRPr="00044710">
        <w:rPr>
          <w:szCs w:val="20"/>
        </w:rPr>
        <w:t>Cai</w:t>
      </w:r>
      <w:proofErr w:type="spellEnd"/>
      <w:r w:rsidRPr="00044710">
        <w:rPr>
          <w:szCs w:val="20"/>
        </w:rPr>
        <w:t xml:space="preserve">, J. and Schaubel, </w:t>
      </w:r>
      <w:proofErr w:type="gramStart"/>
      <w:r w:rsidRPr="00044710">
        <w:rPr>
          <w:szCs w:val="20"/>
        </w:rPr>
        <w:t>D.E..</w:t>
      </w:r>
      <w:proofErr w:type="gramEnd"/>
      <w:r w:rsidRPr="00044710">
        <w:rPr>
          <w:szCs w:val="20"/>
        </w:rPr>
        <w:t xml:space="preserve"> (2004). Marginal means and rates models for multiple-type recurrent event data. Lifetime Data Analysis, 10, 121-138.</w:t>
      </w:r>
    </w:p>
    <w:p w:rsidR="00044710" w:rsidRPr="00044710" w:rsidRDefault="00044710" w:rsidP="00044710">
      <w:pPr>
        <w:pStyle w:val="ListParagraph"/>
        <w:numPr>
          <w:ilvl w:val="0"/>
          <w:numId w:val="28"/>
        </w:numPr>
        <w:spacing w:after="120" w:line="240" w:lineRule="auto"/>
        <w:contextualSpacing w:val="0"/>
        <w:rPr>
          <w:szCs w:val="20"/>
        </w:rPr>
      </w:pPr>
      <w:r w:rsidRPr="00044710">
        <w:rPr>
          <w:szCs w:val="20"/>
        </w:rPr>
        <w:lastRenderedPageBreak/>
        <w:t xml:space="preserve">Liang, K.Y. and </w:t>
      </w:r>
      <w:proofErr w:type="spellStart"/>
      <w:r w:rsidRPr="00044710">
        <w:rPr>
          <w:szCs w:val="20"/>
        </w:rPr>
        <w:t>Zeger</w:t>
      </w:r>
      <w:proofErr w:type="spellEnd"/>
      <w:r w:rsidRPr="00044710">
        <w:rPr>
          <w:szCs w:val="20"/>
        </w:rPr>
        <w:t xml:space="preserve">, S.L. (1986). Longitudinal data analysis using generalized linear models. </w:t>
      </w:r>
      <w:proofErr w:type="spellStart"/>
      <w:r w:rsidRPr="00044710">
        <w:rPr>
          <w:szCs w:val="20"/>
        </w:rPr>
        <w:t>Biometrika</w:t>
      </w:r>
      <w:proofErr w:type="spellEnd"/>
      <w:r w:rsidRPr="00044710">
        <w:rPr>
          <w:szCs w:val="20"/>
        </w:rPr>
        <w:t>, 73, 13-22.</w:t>
      </w:r>
    </w:p>
    <w:p w:rsidR="00044710" w:rsidRPr="00044710" w:rsidRDefault="00044710" w:rsidP="00044710">
      <w:pPr>
        <w:pStyle w:val="ListParagraph"/>
        <w:numPr>
          <w:ilvl w:val="0"/>
          <w:numId w:val="28"/>
        </w:numPr>
        <w:spacing w:after="120" w:line="240" w:lineRule="auto"/>
        <w:contextualSpacing w:val="0"/>
        <w:rPr>
          <w:szCs w:val="20"/>
        </w:rPr>
      </w:pPr>
      <w:r w:rsidRPr="00044710">
        <w:rPr>
          <w:szCs w:val="20"/>
        </w:rPr>
        <w:t xml:space="preserve">Lawless, J.F. and Nadeau, C. (1995). Some simple robust methods for the analysis of recurrent events. </w:t>
      </w:r>
      <w:proofErr w:type="spellStart"/>
      <w:r w:rsidRPr="00044710">
        <w:rPr>
          <w:szCs w:val="20"/>
        </w:rPr>
        <w:t>Technometrics</w:t>
      </w:r>
      <w:proofErr w:type="spellEnd"/>
      <w:r w:rsidRPr="00044710">
        <w:rPr>
          <w:szCs w:val="20"/>
        </w:rPr>
        <w:t>, 37, 158-168.</w:t>
      </w:r>
    </w:p>
    <w:p w:rsidR="00D61410" w:rsidRPr="00044710" w:rsidRDefault="00044710" w:rsidP="00044710">
      <w:pPr>
        <w:pStyle w:val="ListParagraph"/>
        <w:numPr>
          <w:ilvl w:val="0"/>
          <w:numId w:val="28"/>
        </w:numPr>
        <w:spacing w:after="120" w:line="240" w:lineRule="auto"/>
        <w:contextualSpacing w:val="0"/>
        <w:rPr>
          <w:szCs w:val="20"/>
        </w:rPr>
      </w:pPr>
      <w:proofErr w:type="spellStart"/>
      <w:r w:rsidRPr="00044710">
        <w:rPr>
          <w:szCs w:val="20"/>
        </w:rPr>
        <w:t>Efron</w:t>
      </w:r>
      <w:proofErr w:type="spellEnd"/>
      <w:r w:rsidRPr="00044710">
        <w:rPr>
          <w:szCs w:val="20"/>
        </w:rPr>
        <w:t>, B. (2004). Large scale simultaneous hypothesis testing: the choice of null hypothesis. J. Amer. Statist. Assoc., 99, 96‐104.</w:t>
      </w:r>
    </w:p>
    <w:p w:rsidR="00D61410" w:rsidRPr="00A25024"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044710" w:rsidRPr="00044710" w:rsidRDefault="00044710" w:rsidP="00044710">
      <w:pPr>
        <w:spacing w:after="120"/>
        <w:rPr>
          <w:szCs w:val="20"/>
        </w:rPr>
      </w:pPr>
      <w:r w:rsidRPr="00044710">
        <w:rPr>
          <w:szCs w:val="20"/>
        </w:rPr>
        <w:t>The following Table shows how the facilities are flagged for the year 2012, based on the method described above.</w:t>
      </w:r>
    </w:p>
    <w:p w:rsidR="00044710" w:rsidRPr="009410CF" w:rsidRDefault="00044710" w:rsidP="00044710">
      <w:pPr>
        <w:spacing w:after="120"/>
        <w:rPr>
          <w:b/>
          <w:szCs w:val="20"/>
        </w:rPr>
      </w:pPr>
      <w:r w:rsidRPr="009410CF">
        <w:rPr>
          <w:b/>
          <w:szCs w:val="20"/>
        </w:rPr>
        <w:t>Table</w:t>
      </w:r>
      <w:r w:rsidR="00C17A7B">
        <w:rPr>
          <w:b/>
          <w:szCs w:val="20"/>
        </w:rPr>
        <w:t xml:space="preserve"> </w:t>
      </w:r>
      <w:r w:rsidRPr="009410CF">
        <w:rPr>
          <w:b/>
          <w:szCs w:val="20"/>
        </w:rPr>
        <w:t>1: Classification of Empirical p-value for year 2012</w:t>
      </w:r>
    </w:p>
    <w:tbl>
      <w:tblPr>
        <w:tblStyle w:val="TableGrid"/>
        <w:tblW w:w="0" w:type="auto"/>
        <w:tblInd w:w="432" w:type="dxa"/>
        <w:tblLayout w:type="fixed"/>
        <w:tblLook w:val="04A0" w:firstRow="1" w:lastRow="0" w:firstColumn="1" w:lastColumn="0" w:noHBand="0" w:noVBand="1"/>
      </w:tblPr>
      <w:tblGrid>
        <w:gridCol w:w="1927"/>
        <w:gridCol w:w="1927"/>
        <w:gridCol w:w="1928"/>
        <w:gridCol w:w="1928"/>
        <w:gridCol w:w="1928"/>
      </w:tblGrid>
      <w:tr w:rsidR="00044710" w:rsidRPr="00C17A7B" w:rsidTr="00D30485">
        <w:tc>
          <w:tcPr>
            <w:tcW w:w="1927" w:type="dxa"/>
          </w:tcPr>
          <w:p w:rsidR="00044710" w:rsidRPr="00C17A7B" w:rsidRDefault="00044710" w:rsidP="00D30485">
            <w:pPr>
              <w:spacing w:after="120"/>
              <w:rPr>
                <w:b/>
                <w:szCs w:val="20"/>
              </w:rPr>
            </w:pPr>
            <w:r w:rsidRPr="00C17A7B">
              <w:rPr>
                <w:b/>
                <w:bCs/>
              </w:rPr>
              <w:t xml:space="preserve">Year 2012 </w:t>
            </w:r>
          </w:p>
        </w:tc>
        <w:tc>
          <w:tcPr>
            <w:tcW w:w="1927" w:type="dxa"/>
          </w:tcPr>
          <w:p w:rsidR="00044710" w:rsidRPr="00C17A7B" w:rsidRDefault="00044710" w:rsidP="00D30485">
            <w:pPr>
              <w:spacing w:after="120"/>
              <w:rPr>
                <w:b/>
                <w:szCs w:val="20"/>
              </w:rPr>
            </w:pPr>
            <w:r w:rsidRPr="00C17A7B">
              <w:rPr>
                <w:b/>
                <w:bCs/>
              </w:rPr>
              <w:t xml:space="preserve">Frequency </w:t>
            </w:r>
          </w:p>
        </w:tc>
        <w:tc>
          <w:tcPr>
            <w:tcW w:w="1928" w:type="dxa"/>
          </w:tcPr>
          <w:p w:rsidR="00044710" w:rsidRPr="00C17A7B" w:rsidRDefault="00044710" w:rsidP="00D30485">
            <w:pPr>
              <w:spacing w:after="120"/>
              <w:rPr>
                <w:b/>
                <w:szCs w:val="20"/>
              </w:rPr>
            </w:pPr>
            <w:r w:rsidRPr="00C17A7B">
              <w:rPr>
                <w:b/>
                <w:bCs/>
              </w:rPr>
              <w:t xml:space="preserve">Percent </w:t>
            </w:r>
          </w:p>
        </w:tc>
        <w:tc>
          <w:tcPr>
            <w:tcW w:w="1928" w:type="dxa"/>
          </w:tcPr>
          <w:p w:rsidR="00044710" w:rsidRPr="00C17A7B" w:rsidRDefault="00044710" w:rsidP="00D30485">
            <w:pPr>
              <w:spacing w:after="120"/>
              <w:rPr>
                <w:b/>
                <w:szCs w:val="20"/>
              </w:rPr>
            </w:pPr>
            <w:r w:rsidRPr="00C17A7B">
              <w:rPr>
                <w:b/>
                <w:bCs/>
              </w:rPr>
              <w:t xml:space="preserve">Cumulative Frequency </w:t>
            </w:r>
          </w:p>
        </w:tc>
        <w:tc>
          <w:tcPr>
            <w:tcW w:w="1928" w:type="dxa"/>
          </w:tcPr>
          <w:p w:rsidR="00044710" w:rsidRPr="00C17A7B" w:rsidRDefault="00044710" w:rsidP="00D30485">
            <w:pPr>
              <w:spacing w:after="120"/>
              <w:rPr>
                <w:b/>
                <w:szCs w:val="20"/>
              </w:rPr>
            </w:pPr>
            <w:r w:rsidRPr="00C17A7B">
              <w:rPr>
                <w:b/>
                <w:bCs/>
              </w:rPr>
              <w:t xml:space="preserve">Cumulative Percent </w:t>
            </w:r>
          </w:p>
        </w:tc>
      </w:tr>
      <w:tr w:rsidR="00044710" w:rsidRPr="00C17A7B" w:rsidTr="00D30485">
        <w:tc>
          <w:tcPr>
            <w:tcW w:w="1927" w:type="dxa"/>
          </w:tcPr>
          <w:p w:rsidR="00044710" w:rsidRPr="00C17A7B" w:rsidRDefault="00044710" w:rsidP="00D30485">
            <w:pPr>
              <w:spacing w:after="120"/>
              <w:rPr>
                <w:b/>
                <w:szCs w:val="20"/>
              </w:rPr>
            </w:pPr>
            <w:r w:rsidRPr="00C17A7B">
              <w:rPr>
                <w:b/>
                <w:bCs/>
              </w:rPr>
              <w:t xml:space="preserve">Better than expected </w:t>
            </w:r>
          </w:p>
        </w:tc>
        <w:tc>
          <w:tcPr>
            <w:tcW w:w="1927" w:type="dxa"/>
          </w:tcPr>
          <w:p w:rsidR="00044710" w:rsidRPr="00C17A7B" w:rsidRDefault="00044710" w:rsidP="00D30485">
            <w:pPr>
              <w:spacing w:after="120"/>
              <w:rPr>
                <w:b/>
                <w:szCs w:val="20"/>
              </w:rPr>
            </w:pPr>
            <w:r w:rsidRPr="00C17A7B">
              <w:t>23</w:t>
            </w:r>
          </w:p>
        </w:tc>
        <w:tc>
          <w:tcPr>
            <w:tcW w:w="1928" w:type="dxa"/>
          </w:tcPr>
          <w:p w:rsidR="00044710" w:rsidRPr="00C17A7B" w:rsidRDefault="00044710" w:rsidP="00D30485">
            <w:pPr>
              <w:spacing w:after="120"/>
              <w:rPr>
                <w:b/>
                <w:szCs w:val="20"/>
              </w:rPr>
            </w:pPr>
            <w:r w:rsidRPr="00C17A7B">
              <w:t>0.44</w:t>
            </w:r>
          </w:p>
        </w:tc>
        <w:tc>
          <w:tcPr>
            <w:tcW w:w="1928" w:type="dxa"/>
          </w:tcPr>
          <w:p w:rsidR="00044710" w:rsidRPr="00C17A7B" w:rsidRDefault="00044710" w:rsidP="00D30485">
            <w:pPr>
              <w:spacing w:after="120"/>
              <w:rPr>
                <w:b/>
                <w:szCs w:val="20"/>
              </w:rPr>
            </w:pPr>
            <w:r w:rsidRPr="00C17A7B">
              <w:t>23</w:t>
            </w:r>
          </w:p>
        </w:tc>
        <w:tc>
          <w:tcPr>
            <w:tcW w:w="1928" w:type="dxa"/>
          </w:tcPr>
          <w:p w:rsidR="00044710" w:rsidRPr="00C17A7B" w:rsidRDefault="00044710" w:rsidP="00D30485">
            <w:pPr>
              <w:spacing w:after="120"/>
              <w:rPr>
                <w:b/>
                <w:szCs w:val="20"/>
              </w:rPr>
            </w:pPr>
            <w:r w:rsidRPr="00C17A7B">
              <w:t xml:space="preserve">0.44 </w:t>
            </w:r>
          </w:p>
        </w:tc>
      </w:tr>
      <w:tr w:rsidR="00044710" w:rsidRPr="00C17A7B" w:rsidTr="00D30485">
        <w:tc>
          <w:tcPr>
            <w:tcW w:w="1927" w:type="dxa"/>
          </w:tcPr>
          <w:p w:rsidR="00044710" w:rsidRPr="00C17A7B" w:rsidRDefault="00044710" w:rsidP="00D30485">
            <w:pPr>
              <w:spacing w:after="120"/>
              <w:rPr>
                <w:b/>
                <w:szCs w:val="20"/>
              </w:rPr>
            </w:pPr>
            <w:r w:rsidRPr="00C17A7B">
              <w:rPr>
                <w:b/>
                <w:bCs/>
              </w:rPr>
              <w:t xml:space="preserve">As expected </w:t>
            </w:r>
          </w:p>
        </w:tc>
        <w:tc>
          <w:tcPr>
            <w:tcW w:w="1927" w:type="dxa"/>
          </w:tcPr>
          <w:p w:rsidR="00044710" w:rsidRPr="00C17A7B" w:rsidRDefault="00044710" w:rsidP="00D30485">
            <w:pPr>
              <w:spacing w:after="120"/>
              <w:rPr>
                <w:b/>
                <w:szCs w:val="20"/>
              </w:rPr>
            </w:pPr>
            <w:r w:rsidRPr="00C17A7B">
              <w:t xml:space="preserve">4907 </w:t>
            </w:r>
          </w:p>
        </w:tc>
        <w:tc>
          <w:tcPr>
            <w:tcW w:w="1928" w:type="dxa"/>
          </w:tcPr>
          <w:p w:rsidR="00044710" w:rsidRPr="00C17A7B" w:rsidRDefault="00044710" w:rsidP="00D30485">
            <w:pPr>
              <w:spacing w:after="120"/>
              <w:rPr>
                <w:b/>
                <w:szCs w:val="20"/>
              </w:rPr>
            </w:pPr>
            <w:r w:rsidRPr="00C17A7B">
              <w:t>92.95</w:t>
            </w:r>
          </w:p>
        </w:tc>
        <w:tc>
          <w:tcPr>
            <w:tcW w:w="1928" w:type="dxa"/>
          </w:tcPr>
          <w:p w:rsidR="00044710" w:rsidRPr="00C17A7B" w:rsidRDefault="00044710" w:rsidP="00D30485">
            <w:pPr>
              <w:spacing w:after="120"/>
              <w:rPr>
                <w:b/>
                <w:szCs w:val="20"/>
              </w:rPr>
            </w:pPr>
            <w:r w:rsidRPr="00C17A7B">
              <w:t xml:space="preserve">4930 </w:t>
            </w:r>
          </w:p>
        </w:tc>
        <w:tc>
          <w:tcPr>
            <w:tcW w:w="1928" w:type="dxa"/>
          </w:tcPr>
          <w:p w:rsidR="00044710" w:rsidRPr="00C17A7B" w:rsidRDefault="00044710" w:rsidP="00D30485">
            <w:pPr>
              <w:spacing w:after="120"/>
              <w:rPr>
                <w:b/>
                <w:szCs w:val="20"/>
              </w:rPr>
            </w:pPr>
            <w:r w:rsidRPr="00C17A7B">
              <w:t>93.39</w:t>
            </w:r>
          </w:p>
        </w:tc>
      </w:tr>
      <w:tr w:rsidR="00044710" w:rsidRPr="00C17A7B" w:rsidTr="00D30485">
        <w:tc>
          <w:tcPr>
            <w:tcW w:w="1927" w:type="dxa"/>
          </w:tcPr>
          <w:p w:rsidR="00044710" w:rsidRPr="00C17A7B" w:rsidRDefault="00044710" w:rsidP="00D30485">
            <w:pPr>
              <w:spacing w:after="120"/>
              <w:rPr>
                <w:b/>
                <w:szCs w:val="20"/>
              </w:rPr>
            </w:pPr>
            <w:r w:rsidRPr="00C17A7B">
              <w:rPr>
                <w:b/>
                <w:bCs/>
              </w:rPr>
              <w:t xml:space="preserve">Worse than Expected </w:t>
            </w:r>
          </w:p>
        </w:tc>
        <w:tc>
          <w:tcPr>
            <w:tcW w:w="1927" w:type="dxa"/>
          </w:tcPr>
          <w:p w:rsidR="00044710" w:rsidRPr="00C17A7B" w:rsidRDefault="00044710" w:rsidP="00D30485">
            <w:pPr>
              <w:spacing w:after="120"/>
              <w:rPr>
                <w:b/>
                <w:szCs w:val="20"/>
              </w:rPr>
            </w:pPr>
            <w:r w:rsidRPr="00C17A7B">
              <w:t xml:space="preserve">349 </w:t>
            </w:r>
          </w:p>
        </w:tc>
        <w:tc>
          <w:tcPr>
            <w:tcW w:w="1928" w:type="dxa"/>
          </w:tcPr>
          <w:p w:rsidR="00044710" w:rsidRPr="00C17A7B" w:rsidRDefault="00044710" w:rsidP="00D30485">
            <w:pPr>
              <w:spacing w:after="120"/>
              <w:rPr>
                <w:b/>
                <w:szCs w:val="20"/>
              </w:rPr>
            </w:pPr>
            <w:r w:rsidRPr="00C17A7B">
              <w:t xml:space="preserve">4.05 </w:t>
            </w:r>
          </w:p>
        </w:tc>
        <w:tc>
          <w:tcPr>
            <w:tcW w:w="1928" w:type="dxa"/>
          </w:tcPr>
          <w:p w:rsidR="00044710" w:rsidRPr="00C17A7B" w:rsidRDefault="00044710" w:rsidP="00D30485">
            <w:pPr>
              <w:spacing w:after="120"/>
              <w:rPr>
                <w:b/>
                <w:szCs w:val="20"/>
              </w:rPr>
            </w:pPr>
            <w:r w:rsidRPr="00C17A7B">
              <w:t xml:space="preserve">5279 </w:t>
            </w:r>
          </w:p>
        </w:tc>
        <w:tc>
          <w:tcPr>
            <w:tcW w:w="1928" w:type="dxa"/>
          </w:tcPr>
          <w:p w:rsidR="00044710" w:rsidRPr="00C17A7B" w:rsidRDefault="00044710" w:rsidP="00D30485">
            <w:pPr>
              <w:spacing w:after="120"/>
              <w:rPr>
                <w:b/>
                <w:szCs w:val="20"/>
              </w:rPr>
            </w:pPr>
            <w:r w:rsidRPr="00C17A7B">
              <w:t xml:space="preserve">100 </w:t>
            </w:r>
          </w:p>
        </w:tc>
      </w:tr>
    </w:tbl>
    <w:p w:rsidR="00044710" w:rsidRDefault="00044710" w:rsidP="00D61410">
      <w:pPr>
        <w:autoSpaceDE w:val="0"/>
        <w:autoSpaceDN w:val="0"/>
        <w:adjustRightInd w:val="0"/>
        <w:spacing w:after="0" w:line="240" w:lineRule="auto"/>
        <w:rPr>
          <w:rFonts w:cstheme="minorHAnsi"/>
          <w:bCs/>
        </w:rPr>
      </w:pPr>
    </w:p>
    <w:p w:rsidR="00D61410" w:rsidRPr="00927027"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044710" w:rsidRPr="00A25024" w:rsidRDefault="00044710" w:rsidP="00D61410">
      <w:pPr>
        <w:autoSpaceDE w:val="0"/>
        <w:autoSpaceDN w:val="0"/>
        <w:adjustRightInd w:val="0"/>
        <w:spacing w:after="0" w:line="240" w:lineRule="auto"/>
        <w:rPr>
          <w:rFonts w:cstheme="minorHAnsi"/>
          <w:bCs/>
        </w:rPr>
      </w:pPr>
      <w:r w:rsidRPr="00044710">
        <w:rPr>
          <w:rFonts w:cstheme="minorHAnsi"/>
          <w:bCs/>
        </w:rPr>
        <w:t xml:space="preserve">The results tabulated above indicate that the </w:t>
      </w:r>
      <w:proofErr w:type="spellStart"/>
      <w:r w:rsidRPr="00044710">
        <w:rPr>
          <w:rFonts w:cstheme="minorHAnsi"/>
          <w:bCs/>
        </w:rPr>
        <w:t>STrR</w:t>
      </w:r>
      <w:proofErr w:type="spellEnd"/>
      <w:r w:rsidRPr="00044710">
        <w:rPr>
          <w:rFonts w:cstheme="minorHAnsi"/>
          <w:bCs/>
        </w:rPr>
        <w:t xml:space="preserve"> has the ability to classify facilities as being significantly better (or significantly worse) than expected; thereby demonstrating the ability to identify meaningful differences in the performance scores across facilities.</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Default="00E1508F" w:rsidP="00DB3627">
      <w:pPr>
        <w:autoSpaceDE w:val="0"/>
        <w:autoSpaceDN w:val="0"/>
        <w:adjustRightInd w:val="0"/>
        <w:spacing w:after="0" w:line="240" w:lineRule="auto"/>
        <w:rPr>
          <w:rFonts w:cstheme="minorHAnsi"/>
          <w:bCs/>
        </w:rPr>
      </w:pPr>
      <w:r>
        <w:rPr>
          <w:rFonts w:cstheme="minorHAnsi"/>
          <w:b/>
          <w:bCs/>
        </w:rPr>
        <w:lastRenderedPageBreak/>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rsidR="00044710" w:rsidRPr="00A25024" w:rsidRDefault="00044710" w:rsidP="00DB3627">
      <w:pPr>
        <w:autoSpaceDE w:val="0"/>
        <w:autoSpaceDN w:val="0"/>
        <w:adjustRightInd w:val="0"/>
        <w:spacing w:after="0" w:line="240" w:lineRule="auto"/>
        <w:rPr>
          <w:rFonts w:cstheme="minorHAnsi"/>
          <w:bCs/>
        </w:rPr>
      </w:pPr>
      <w:r>
        <w:rPr>
          <w:rFonts w:cstheme="minorHAnsi"/>
          <w:bCs/>
        </w:rPr>
        <w:t>N/A</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044710" w:rsidRPr="00A25024" w:rsidRDefault="00044710" w:rsidP="00044710">
      <w:pPr>
        <w:autoSpaceDE w:val="0"/>
        <w:autoSpaceDN w:val="0"/>
        <w:adjustRightInd w:val="0"/>
        <w:spacing w:after="0" w:line="240" w:lineRule="auto"/>
        <w:rPr>
          <w:rFonts w:cstheme="minorHAnsi"/>
          <w:bCs/>
        </w:rPr>
      </w:pPr>
      <w:r>
        <w:rPr>
          <w:rFonts w:cstheme="minorHAnsi"/>
          <w:bCs/>
        </w:rPr>
        <w:t>N/A</w:t>
      </w:r>
    </w:p>
    <w:p w:rsidR="00E1508F" w:rsidRPr="00E1508F" w:rsidRDefault="00E1508F" w:rsidP="00E1508F">
      <w:pPr>
        <w:autoSpaceDE w:val="0"/>
        <w:autoSpaceDN w:val="0"/>
        <w:adjustRightInd w:val="0"/>
        <w:spacing w:after="0" w:line="240" w:lineRule="auto"/>
        <w:rPr>
          <w:rFonts w:cstheme="minorHAnsi"/>
          <w:bCs/>
        </w:rPr>
      </w:pPr>
    </w:p>
    <w:p w:rsidR="00044710" w:rsidRPr="00A25024" w:rsidRDefault="00E1508F" w:rsidP="00044710">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044710">
        <w:rPr>
          <w:rFonts w:cstheme="minorHAnsi"/>
          <w:bCs/>
        </w:rPr>
        <w:t>N/A</w:t>
      </w:r>
    </w:p>
    <w:p w:rsidR="0079180E" w:rsidRDefault="0079180E" w:rsidP="00DB3627">
      <w:pPr>
        <w:autoSpaceDE w:val="0"/>
        <w:autoSpaceDN w:val="0"/>
        <w:adjustRightInd w:val="0"/>
        <w:spacing w:after="0" w:line="240" w:lineRule="auto"/>
        <w:rPr>
          <w:rFonts w:cstheme="minorHAnsi"/>
          <w:bCs/>
        </w:rPr>
      </w:pP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rsidR="00044710" w:rsidRPr="00A25024" w:rsidRDefault="00044710" w:rsidP="00044710">
      <w:pPr>
        <w:autoSpaceDE w:val="0"/>
        <w:autoSpaceDN w:val="0"/>
        <w:adjustRightInd w:val="0"/>
        <w:spacing w:after="0" w:line="240" w:lineRule="auto"/>
        <w:rPr>
          <w:rFonts w:cstheme="minorHAnsi"/>
          <w:bCs/>
        </w:rPr>
      </w:pPr>
      <w:r>
        <w:rPr>
          <w:rFonts w:cstheme="minorHAnsi"/>
          <w:bCs/>
        </w:rPr>
        <w:t>N/A</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044710" w:rsidRPr="00A25024" w:rsidRDefault="008F7E67" w:rsidP="00044710">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r w:rsidR="00044710">
        <w:rPr>
          <w:rFonts w:cstheme="minorHAnsi"/>
          <w:bCs/>
        </w:rPr>
        <w:t>N/A</w:t>
      </w:r>
    </w:p>
    <w:p w:rsidR="008F7E67" w:rsidRDefault="008F7E67" w:rsidP="008F7E67">
      <w:pPr>
        <w:autoSpaceDE w:val="0"/>
        <w:autoSpaceDN w:val="0"/>
        <w:adjustRightInd w:val="0"/>
        <w:spacing w:after="0" w:line="240" w:lineRule="auto"/>
        <w:rPr>
          <w:rFonts w:cstheme="minorHAnsi"/>
          <w:bCs/>
        </w:rPr>
      </w:pP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044710" w:rsidRPr="00A25024" w:rsidRDefault="00044710" w:rsidP="00044710">
      <w:pPr>
        <w:autoSpaceDE w:val="0"/>
        <w:autoSpaceDN w:val="0"/>
        <w:adjustRightInd w:val="0"/>
        <w:spacing w:after="0" w:line="240" w:lineRule="auto"/>
        <w:rPr>
          <w:rFonts w:cstheme="minorHAnsi"/>
          <w:bCs/>
        </w:rPr>
      </w:pPr>
      <w:r>
        <w:rPr>
          <w:rFonts w:cstheme="minorHAnsi"/>
          <w:bCs/>
        </w:rPr>
        <w:t>N/A</w:t>
      </w:r>
    </w:p>
    <w:p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485" w:rsidRDefault="00D30485" w:rsidP="005C73CA">
      <w:pPr>
        <w:spacing w:after="0" w:line="240" w:lineRule="auto"/>
      </w:pPr>
      <w:r>
        <w:separator/>
      </w:r>
    </w:p>
  </w:endnote>
  <w:endnote w:type="continuationSeparator" w:id="0">
    <w:p w:rsidR="00D30485" w:rsidRDefault="00D30485"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485" w:rsidRDefault="00D30485">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383473">
      <w:rPr>
        <w:noProof/>
      </w:rPr>
      <w:t>20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485" w:rsidRDefault="00D30485" w:rsidP="005C73CA">
      <w:pPr>
        <w:spacing w:after="0" w:line="240" w:lineRule="auto"/>
      </w:pPr>
      <w:r>
        <w:separator/>
      </w:r>
    </w:p>
  </w:footnote>
  <w:footnote w:type="continuationSeparator" w:id="0">
    <w:p w:rsidR="00D30485" w:rsidRDefault="00D30485"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485" w:rsidRPr="00105D8B" w:rsidRDefault="00D30485"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22B10"/>
    <w:multiLevelType w:val="hybridMultilevel"/>
    <w:tmpl w:val="4BA2F240"/>
    <w:lvl w:ilvl="0" w:tplc="088EA852">
      <w:start w:val="1"/>
      <w:numFmt w:val="bullet"/>
      <w:lvlText w:val=""/>
      <w:lvlJc w:val="left"/>
      <w:pPr>
        <w:ind w:left="720" w:hanging="360"/>
      </w:pPr>
      <w:rPr>
        <w:rFonts w:ascii="Wingdings" w:hAnsi="Wingdings" w:hint="default"/>
        <w:color w:val="002060"/>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F437B8C"/>
    <w:multiLevelType w:val="hybridMultilevel"/>
    <w:tmpl w:val="9A9269FA"/>
    <w:lvl w:ilvl="0" w:tplc="BFE2E938">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0"/>
  </w:num>
  <w:num w:numId="3">
    <w:abstractNumId w:val="2"/>
  </w:num>
  <w:num w:numId="4">
    <w:abstractNumId w:val="5"/>
  </w:num>
  <w:num w:numId="5">
    <w:abstractNumId w:val="1"/>
  </w:num>
  <w:num w:numId="6">
    <w:abstractNumId w:val="0"/>
  </w:num>
  <w:num w:numId="7">
    <w:abstractNumId w:val="3"/>
  </w:num>
  <w:num w:numId="8">
    <w:abstractNumId w:val="19"/>
  </w:num>
  <w:num w:numId="9">
    <w:abstractNumId w:val="9"/>
  </w:num>
  <w:num w:numId="10">
    <w:abstractNumId w:val="24"/>
  </w:num>
  <w:num w:numId="11">
    <w:abstractNumId w:val="11"/>
  </w:num>
  <w:num w:numId="12">
    <w:abstractNumId w:val="22"/>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7"/>
  </w:num>
  <w:num w:numId="17">
    <w:abstractNumId w:val="23"/>
  </w:num>
  <w:num w:numId="18">
    <w:abstractNumId w:val="21"/>
  </w:num>
  <w:num w:numId="19">
    <w:abstractNumId w:val="20"/>
  </w:num>
  <w:num w:numId="20">
    <w:abstractNumId w:val="15"/>
  </w:num>
  <w:num w:numId="21">
    <w:abstractNumId w:val="18"/>
  </w:num>
  <w:num w:numId="22">
    <w:abstractNumId w:val="14"/>
  </w:num>
  <w:num w:numId="23">
    <w:abstractNumId w:val="6"/>
  </w:num>
  <w:num w:numId="24">
    <w:abstractNumId w:val="13"/>
  </w:num>
  <w:num w:numId="25">
    <w:abstractNumId w:val="12"/>
  </w:num>
  <w:num w:numId="26">
    <w:abstractNumId w:val="25"/>
  </w:num>
  <w:num w:numId="27">
    <w:abstractNumId w:val="8"/>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4710"/>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473"/>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A7F87"/>
    <w:rsid w:val="008B604D"/>
    <w:rsid w:val="008C54A9"/>
    <w:rsid w:val="008E67C3"/>
    <w:rsid w:val="008F589F"/>
    <w:rsid w:val="008F76A9"/>
    <w:rsid w:val="008F7E67"/>
    <w:rsid w:val="00900DBF"/>
    <w:rsid w:val="009048B9"/>
    <w:rsid w:val="00904E91"/>
    <w:rsid w:val="00915886"/>
    <w:rsid w:val="009214DC"/>
    <w:rsid w:val="00927027"/>
    <w:rsid w:val="009344BA"/>
    <w:rsid w:val="009410CF"/>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17A7B"/>
    <w:rsid w:val="00C22C1C"/>
    <w:rsid w:val="00C33F2E"/>
    <w:rsid w:val="00C34936"/>
    <w:rsid w:val="00C34C14"/>
    <w:rsid w:val="00C355B9"/>
    <w:rsid w:val="00C401C4"/>
    <w:rsid w:val="00C41680"/>
    <w:rsid w:val="00C60A25"/>
    <w:rsid w:val="00C616B0"/>
    <w:rsid w:val="00C765C5"/>
    <w:rsid w:val="00C82479"/>
    <w:rsid w:val="00C867F0"/>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0485"/>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BodyTextChar">
    <w:name w:val="BodyText Char"/>
    <w:link w:val="BodyText"/>
    <w:rsid w:val="00044710"/>
    <w:rPr>
      <w:rFonts w:ascii="Garamond" w:hAnsi="Garamond"/>
      <w:szCs w:val="24"/>
      <w:lang w:val="x-none" w:eastAsia="x-none"/>
    </w:rPr>
  </w:style>
  <w:style w:type="paragraph" w:customStyle="1" w:styleId="BodyText">
    <w:name w:val="BodyText"/>
    <w:basedOn w:val="Normal"/>
    <w:link w:val="BodyTextChar"/>
    <w:qFormat/>
    <w:rsid w:val="00044710"/>
    <w:pPr>
      <w:spacing w:after="0"/>
      <w:ind w:left="432"/>
    </w:pPr>
    <w:rPr>
      <w:rFonts w:ascii="Garamond" w:hAnsi="Garamond"/>
      <w:szCs w:val="24"/>
      <w:lang w:val="x-none" w:eastAsia="x-none"/>
    </w:rPr>
  </w:style>
  <w:style w:type="character" w:customStyle="1" w:styleId="ListParagraphChar">
    <w:name w:val="List Paragraph Char"/>
    <w:basedOn w:val="DefaultParagraphFont"/>
    <w:link w:val="ListParagraph"/>
    <w:uiPriority w:val="34"/>
    <w:rsid w:val="000447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BodyTextChar">
    <w:name w:val="BodyText Char"/>
    <w:link w:val="BodyText"/>
    <w:rsid w:val="00044710"/>
    <w:rPr>
      <w:rFonts w:ascii="Garamond" w:hAnsi="Garamond"/>
      <w:szCs w:val="24"/>
      <w:lang w:val="x-none" w:eastAsia="x-none"/>
    </w:rPr>
  </w:style>
  <w:style w:type="paragraph" w:customStyle="1" w:styleId="BodyText">
    <w:name w:val="BodyText"/>
    <w:basedOn w:val="Normal"/>
    <w:link w:val="BodyTextChar"/>
    <w:qFormat/>
    <w:rsid w:val="00044710"/>
    <w:pPr>
      <w:spacing w:after="0"/>
      <w:ind w:left="432"/>
    </w:pPr>
    <w:rPr>
      <w:rFonts w:ascii="Garamond" w:hAnsi="Garamond"/>
      <w:szCs w:val="24"/>
      <w:lang w:val="x-none" w:eastAsia="x-none"/>
    </w:rPr>
  </w:style>
  <w:style w:type="character" w:customStyle="1" w:styleId="ListParagraphChar">
    <w:name w:val="List Paragraph Char"/>
    <w:basedOn w:val="DefaultParagraphFont"/>
    <w:link w:val="ListParagraph"/>
    <w:uiPriority w:val="34"/>
    <w:rsid w:val="00044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2985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gi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qualityforum.org/Measuring_Performance/Submitting_Standards.aspx" TargetMode="External"/><Relationship Id="rId5" Type="http://schemas.openxmlformats.org/officeDocument/2006/relationships/styles" Target="styles.xml"/><Relationship Id="rId15" Type="http://schemas.openxmlformats.org/officeDocument/2006/relationships/chart" Target="charts/chart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3.gif"/></Relationships>
</file>

<file path=word/charts/_rels/chart1.xml.rels><?xml version="1.0" encoding="UTF-8" standalone="yes"?>
<Relationships xmlns="http://schemas.openxmlformats.org/package/2006/relationships"><Relationship Id="rId1" Type="http://schemas.openxmlformats.org/officeDocument/2006/relationships/oleObject" Target="file:///\\cumulus\cms\MEASURES\2013-2018\Chapter4\Comprehensive%20Reevaluation\Anemia\STrR\analysis\STrR_XBDeciles.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Decile Plots for Count of Transfusions</a:t>
            </a:r>
          </a:p>
        </c:rich>
      </c:tx>
      <c:layout/>
      <c:overlay val="0"/>
    </c:title>
    <c:autoTitleDeleted val="0"/>
    <c:plotArea>
      <c:layout/>
      <c:scatterChart>
        <c:scatterStyle val="smoothMarker"/>
        <c:varyColors val="0"/>
        <c:ser>
          <c:idx val="0"/>
          <c:order val="0"/>
          <c:tx>
            <c:v>1</c:v>
          </c:tx>
          <c:marker>
            <c:symbol val="none"/>
          </c:marker>
          <c:xVal>
            <c:numRef>
              <c:f>XB_DECILES_DAYS!$B$2:$B$8</c:f>
              <c:numCache>
                <c:formatCode>General</c:formatCode>
                <c:ptCount val="7"/>
                <c:pt idx="0">
                  <c:v>0.25</c:v>
                </c:pt>
                <c:pt idx="1">
                  <c:v>0.5</c:v>
                </c:pt>
                <c:pt idx="2">
                  <c:v>1</c:v>
                </c:pt>
                <c:pt idx="3">
                  <c:v>2</c:v>
                </c:pt>
                <c:pt idx="4">
                  <c:v>3</c:v>
                </c:pt>
                <c:pt idx="5">
                  <c:v>5</c:v>
                </c:pt>
                <c:pt idx="6">
                  <c:v>6</c:v>
                </c:pt>
              </c:numCache>
            </c:numRef>
          </c:xVal>
          <c:yVal>
            <c:numRef>
              <c:f>XB_DECILES_DAYS!$O$2:$O$8</c:f>
              <c:numCache>
                <c:formatCode>General</c:formatCode>
                <c:ptCount val="7"/>
                <c:pt idx="0">
                  <c:v>0</c:v>
                </c:pt>
                <c:pt idx="1">
                  <c:v>7.2306966557315028E-2</c:v>
                </c:pt>
                <c:pt idx="2">
                  <c:v>0.20486158254701872</c:v>
                </c:pt>
                <c:pt idx="3">
                  <c:v>0.4570599070957243</c:v>
                </c:pt>
                <c:pt idx="4">
                  <c:v>0.69979811557820093</c:v>
                </c:pt>
                <c:pt idx="5">
                  <c:v>1.2009638765416752</c:v>
                </c:pt>
                <c:pt idx="6">
                  <c:v>1.5111796839258889</c:v>
                </c:pt>
              </c:numCache>
            </c:numRef>
          </c:yVal>
          <c:smooth val="1"/>
        </c:ser>
        <c:ser>
          <c:idx val="1"/>
          <c:order val="1"/>
          <c:tx>
            <c:v>2</c:v>
          </c:tx>
          <c:marker>
            <c:symbol val="none"/>
          </c:marker>
          <c:xVal>
            <c:numRef>
              <c:f>XB_DECILES_DAYS!$B$9:$B$15</c:f>
              <c:numCache>
                <c:formatCode>General</c:formatCode>
                <c:ptCount val="7"/>
                <c:pt idx="0">
                  <c:v>0.25</c:v>
                </c:pt>
                <c:pt idx="1">
                  <c:v>0.5</c:v>
                </c:pt>
                <c:pt idx="2">
                  <c:v>1</c:v>
                </c:pt>
                <c:pt idx="3">
                  <c:v>2</c:v>
                </c:pt>
                <c:pt idx="4">
                  <c:v>3</c:v>
                </c:pt>
                <c:pt idx="5">
                  <c:v>5</c:v>
                </c:pt>
                <c:pt idx="6">
                  <c:v>6</c:v>
                </c:pt>
              </c:numCache>
            </c:numRef>
          </c:xVal>
          <c:yVal>
            <c:numRef>
              <c:f>XB_DECILES_DAYS!$O$9:$O$15</c:f>
              <c:numCache>
                <c:formatCode>General</c:formatCode>
                <c:ptCount val="7"/>
                <c:pt idx="0">
                  <c:v>0</c:v>
                </c:pt>
                <c:pt idx="1">
                  <c:v>9.3969491655678944E-2</c:v>
                </c:pt>
                <c:pt idx="2">
                  <c:v>0.27209084457812538</c:v>
                </c:pt>
                <c:pt idx="3">
                  <c:v>0.57308925979206937</c:v>
                </c:pt>
                <c:pt idx="4">
                  <c:v>0.86578703718785044</c:v>
                </c:pt>
                <c:pt idx="5">
                  <c:v>1.4839832527398029</c:v>
                </c:pt>
                <c:pt idx="6">
                  <c:v>1.8370532760576832</c:v>
                </c:pt>
              </c:numCache>
            </c:numRef>
          </c:yVal>
          <c:smooth val="1"/>
        </c:ser>
        <c:ser>
          <c:idx val="2"/>
          <c:order val="2"/>
          <c:tx>
            <c:v>3</c:v>
          </c:tx>
          <c:marker>
            <c:symbol val="none"/>
          </c:marker>
          <c:xVal>
            <c:numRef>
              <c:f>XB_DECILES_DAYS!$B$16:$B$22</c:f>
              <c:numCache>
                <c:formatCode>General</c:formatCode>
                <c:ptCount val="7"/>
                <c:pt idx="0">
                  <c:v>0.25</c:v>
                </c:pt>
                <c:pt idx="1">
                  <c:v>0.5</c:v>
                </c:pt>
                <c:pt idx="2">
                  <c:v>1</c:v>
                </c:pt>
                <c:pt idx="3">
                  <c:v>2</c:v>
                </c:pt>
                <c:pt idx="4">
                  <c:v>3</c:v>
                </c:pt>
                <c:pt idx="5">
                  <c:v>5</c:v>
                </c:pt>
                <c:pt idx="6">
                  <c:v>6</c:v>
                </c:pt>
              </c:numCache>
            </c:numRef>
          </c:xVal>
          <c:yVal>
            <c:numRef>
              <c:f>XB_DECILES_DAYS!$O$16:$O$22</c:f>
              <c:numCache>
                <c:formatCode>General</c:formatCode>
                <c:ptCount val="7"/>
                <c:pt idx="0">
                  <c:v>0</c:v>
                </c:pt>
                <c:pt idx="1">
                  <c:v>0.10250706216233828</c:v>
                </c:pt>
                <c:pt idx="2">
                  <c:v>0.28661210448319141</c:v>
                </c:pt>
                <c:pt idx="3">
                  <c:v>0.64233773309657649</c:v>
                </c:pt>
                <c:pt idx="4">
                  <c:v>0.98717873710729553</c:v>
                </c:pt>
                <c:pt idx="5">
                  <c:v>1.66098274183012</c:v>
                </c:pt>
                <c:pt idx="6">
                  <c:v>2.0440637764092542</c:v>
                </c:pt>
              </c:numCache>
            </c:numRef>
          </c:yVal>
          <c:smooth val="1"/>
        </c:ser>
        <c:ser>
          <c:idx val="3"/>
          <c:order val="3"/>
          <c:tx>
            <c:v>4</c:v>
          </c:tx>
          <c:marker>
            <c:symbol val="none"/>
          </c:marker>
          <c:xVal>
            <c:numRef>
              <c:f>XB_DECILES_DAYS!$B$23:$B$29</c:f>
              <c:numCache>
                <c:formatCode>General</c:formatCode>
                <c:ptCount val="7"/>
                <c:pt idx="0">
                  <c:v>0.25</c:v>
                </c:pt>
                <c:pt idx="1">
                  <c:v>0.5</c:v>
                </c:pt>
                <c:pt idx="2">
                  <c:v>1</c:v>
                </c:pt>
                <c:pt idx="3">
                  <c:v>2</c:v>
                </c:pt>
                <c:pt idx="4">
                  <c:v>3</c:v>
                </c:pt>
                <c:pt idx="5">
                  <c:v>5</c:v>
                </c:pt>
                <c:pt idx="6">
                  <c:v>6</c:v>
                </c:pt>
              </c:numCache>
            </c:numRef>
          </c:xVal>
          <c:yVal>
            <c:numRef>
              <c:f>XB_DECILES_DAYS!$O$23:$O$29</c:f>
              <c:numCache>
                <c:formatCode>General</c:formatCode>
                <c:ptCount val="7"/>
                <c:pt idx="0">
                  <c:v>0</c:v>
                </c:pt>
                <c:pt idx="1">
                  <c:v>0.11418166828101856</c:v>
                </c:pt>
                <c:pt idx="2">
                  <c:v>0.31189340913957303</c:v>
                </c:pt>
                <c:pt idx="3">
                  <c:v>0.68767256493857865</c:v>
                </c:pt>
                <c:pt idx="4">
                  <c:v>1.0597038073096954</c:v>
                </c:pt>
                <c:pt idx="5">
                  <c:v>1.7816344816482959</c:v>
                </c:pt>
                <c:pt idx="6">
                  <c:v>2.1935075330328546</c:v>
                </c:pt>
              </c:numCache>
            </c:numRef>
          </c:yVal>
          <c:smooth val="1"/>
        </c:ser>
        <c:ser>
          <c:idx val="4"/>
          <c:order val="4"/>
          <c:tx>
            <c:v>5</c:v>
          </c:tx>
          <c:marker>
            <c:symbol val="none"/>
          </c:marker>
          <c:xVal>
            <c:numRef>
              <c:f>XB_DECILES_DAYS!$B$30:$B$36</c:f>
              <c:numCache>
                <c:formatCode>General</c:formatCode>
                <c:ptCount val="7"/>
                <c:pt idx="0">
                  <c:v>0.25</c:v>
                </c:pt>
                <c:pt idx="1">
                  <c:v>0.5</c:v>
                </c:pt>
                <c:pt idx="2">
                  <c:v>1</c:v>
                </c:pt>
                <c:pt idx="3">
                  <c:v>2</c:v>
                </c:pt>
                <c:pt idx="4">
                  <c:v>3</c:v>
                </c:pt>
                <c:pt idx="5">
                  <c:v>5</c:v>
                </c:pt>
                <c:pt idx="6">
                  <c:v>6</c:v>
                </c:pt>
              </c:numCache>
            </c:numRef>
          </c:xVal>
          <c:yVal>
            <c:numRef>
              <c:f>XB_DECILES_DAYS!$O$30:$O$36</c:f>
              <c:numCache>
                <c:formatCode>General</c:formatCode>
                <c:ptCount val="7"/>
                <c:pt idx="0">
                  <c:v>0</c:v>
                </c:pt>
                <c:pt idx="1">
                  <c:v>0.12360718758887354</c:v>
                </c:pt>
                <c:pt idx="2">
                  <c:v>0.33928377488463024</c:v>
                </c:pt>
                <c:pt idx="3">
                  <c:v>0.7281239074355349</c:v>
                </c:pt>
                <c:pt idx="4">
                  <c:v>1.1070874631292378</c:v>
                </c:pt>
                <c:pt idx="5">
                  <c:v>1.8570528777425319</c:v>
                </c:pt>
                <c:pt idx="6">
                  <c:v>2.287369772658788</c:v>
                </c:pt>
              </c:numCache>
            </c:numRef>
          </c:yVal>
          <c:smooth val="1"/>
        </c:ser>
        <c:ser>
          <c:idx val="5"/>
          <c:order val="5"/>
          <c:tx>
            <c:v>6</c:v>
          </c:tx>
          <c:marker>
            <c:symbol val="none"/>
          </c:marker>
          <c:xVal>
            <c:numRef>
              <c:f>XB_DECILES_DAYS!$B$37:$B$43</c:f>
              <c:numCache>
                <c:formatCode>General</c:formatCode>
                <c:ptCount val="7"/>
                <c:pt idx="0">
                  <c:v>0.25</c:v>
                </c:pt>
                <c:pt idx="1">
                  <c:v>0.5</c:v>
                </c:pt>
                <c:pt idx="2">
                  <c:v>1</c:v>
                </c:pt>
                <c:pt idx="3">
                  <c:v>2</c:v>
                </c:pt>
                <c:pt idx="4">
                  <c:v>3</c:v>
                </c:pt>
                <c:pt idx="5">
                  <c:v>5</c:v>
                </c:pt>
                <c:pt idx="6">
                  <c:v>6</c:v>
                </c:pt>
              </c:numCache>
            </c:numRef>
          </c:xVal>
          <c:yVal>
            <c:numRef>
              <c:f>XB_DECILES_DAYS!$O$37:$O$43</c:f>
              <c:numCache>
                <c:formatCode>General</c:formatCode>
                <c:ptCount val="7"/>
                <c:pt idx="0">
                  <c:v>0</c:v>
                </c:pt>
                <c:pt idx="1">
                  <c:v>0.13580599631913623</c:v>
                </c:pt>
                <c:pt idx="2">
                  <c:v>0.3633203052051398</c:v>
                </c:pt>
                <c:pt idx="3">
                  <c:v>0.76706102360215822</c:v>
                </c:pt>
                <c:pt idx="4">
                  <c:v>1.171606231869472</c:v>
                </c:pt>
                <c:pt idx="5">
                  <c:v>1.9815414315768134</c:v>
                </c:pt>
                <c:pt idx="6">
                  <c:v>2.4259677742774874</c:v>
                </c:pt>
              </c:numCache>
            </c:numRef>
          </c:yVal>
          <c:smooth val="1"/>
        </c:ser>
        <c:ser>
          <c:idx val="6"/>
          <c:order val="6"/>
          <c:tx>
            <c:v>7</c:v>
          </c:tx>
          <c:marker>
            <c:symbol val="none"/>
          </c:marker>
          <c:xVal>
            <c:numRef>
              <c:f>XB_DECILES_DAYS!$B$44:$B$50</c:f>
              <c:numCache>
                <c:formatCode>General</c:formatCode>
                <c:ptCount val="7"/>
                <c:pt idx="0">
                  <c:v>0.25</c:v>
                </c:pt>
                <c:pt idx="1">
                  <c:v>0.5</c:v>
                </c:pt>
                <c:pt idx="2">
                  <c:v>1</c:v>
                </c:pt>
                <c:pt idx="3">
                  <c:v>2</c:v>
                </c:pt>
                <c:pt idx="4">
                  <c:v>3</c:v>
                </c:pt>
                <c:pt idx="5">
                  <c:v>5</c:v>
                </c:pt>
                <c:pt idx="6">
                  <c:v>6</c:v>
                </c:pt>
              </c:numCache>
            </c:numRef>
          </c:xVal>
          <c:yVal>
            <c:numRef>
              <c:f>XB_DECILES_DAYS!$O$44:$O$50</c:f>
              <c:numCache>
                <c:formatCode>General</c:formatCode>
                <c:ptCount val="7"/>
                <c:pt idx="0">
                  <c:v>0</c:v>
                </c:pt>
                <c:pt idx="1">
                  <c:v>0.14378293765919115</c:v>
                </c:pt>
                <c:pt idx="2">
                  <c:v>0.38146245556532876</c:v>
                </c:pt>
                <c:pt idx="3">
                  <c:v>0.82318236229312436</c:v>
                </c:pt>
                <c:pt idx="4">
                  <c:v>1.2369181850717856</c:v>
                </c:pt>
                <c:pt idx="5">
                  <c:v>2.1110266168187066</c:v>
                </c:pt>
                <c:pt idx="6">
                  <c:v>2.5814817589334771</c:v>
                </c:pt>
              </c:numCache>
            </c:numRef>
          </c:yVal>
          <c:smooth val="1"/>
        </c:ser>
        <c:ser>
          <c:idx val="7"/>
          <c:order val="7"/>
          <c:tx>
            <c:v>8</c:v>
          </c:tx>
          <c:marker>
            <c:symbol val="none"/>
          </c:marker>
          <c:xVal>
            <c:numRef>
              <c:f>XB_DECILES_DAYS!$B$51:$B$57</c:f>
              <c:numCache>
                <c:formatCode>General</c:formatCode>
                <c:ptCount val="7"/>
                <c:pt idx="0">
                  <c:v>0.25</c:v>
                </c:pt>
                <c:pt idx="1">
                  <c:v>0.5</c:v>
                </c:pt>
                <c:pt idx="2">
                  <c:v>1</c:v>
                </c:pt>
                <c:pt idx="3">
                  <c:v>2</c:v>
                </c:pt>
                <c:pt idx="4">
                  <c:v>3</c:v>
                </c:pt>
                <c:pt idx="5">
                  <c:v>5</c:v>
                </c:pt>
                <c:pt idx="6">
                  <c:v>6</c:v>
                </c:pt>
              </c:numCache>
            </c:numRef>
          </c:xVal>
          <c:yVal>
            <c:numRef>
              <c:f>XB_DECILES_DAYS!$O$51:$O$57</c:f>
              <c:numCache>
                <c:formatCode>General</c:formatCode>
                <c:ptCount val="7"/>
                <c:pt idx="0">
                  <c:v>0</c:v>
                </c:pt>
                <c:pt idx="1">
                  <c:v>0.16261855868670291</c:v>
                </c:pt>
                <c:pt idx="2">
                  <c:v>0.43113696741380803</c:v>
                </c:pt>
                <c:pt idx="3">
                  <c:v>0.89382951359148077</c:v>
                </c:pt>
                <c:pt idx="4">
                  <c:v>1.3462224323084224</c:v>
                </c:pt>
                <c:pt idx="5">
                  <c:v>2.2451955572470839</c:v>
                </c:pt>
                <c:pt idx="6">
                  <c:v>2.7370713569999254</c:v>
                </c:pt>
              </c:numCache>
            </c:numRef>
          </c:yVal>
          <c:smooth val="1"/>
        </c:ser>
        <c:ser>
          <c:idx val="8"/>
          <c:order val="8"/>
          <c:tx>
            <c:v>9</c:v>
          </c:tx>
          <c:marker>
            <c:symbol val="none"/>
          </c:marker>
          <c:xVal>
            <c:numRef>
              <c:f>XB_DECILES_DAYS!$B$58:$B$64</c:f>
              <c:numCache>
                <c:formatCode>General</c:formatCode>
                <c:ptCount val="7"/>
                <c:pt idx="0">
                  <c:v>0.25</c:v>
                </c:pt>
                <c:pt idx="1">
                  <c:v>0.5</c:v>
                </c:pt>
                <c:pt idx="2">
                  <c:v>1</c:v>
                </c:pt>
                <c:pt idx="3">
                  <c:v>2</c:v>
                </c:pt>
                <c:pt idx="4">
                  <c:v>3</c:v>
                </c:pt>
                <c:pt idx="5">
                  <c:v>5</c:v>
                </c:pt>
                <c:pt idx="6">
                  <c:v>6</c:v>
                </c:pt>
              </c:numCache>
            </c:numRef>
          </c:xVal>
          <c:yVal>
            <c:numRef>
              <c:f>XB_DECILES_DAYS!$O$58:$O$64</c:f>
              <c:numCache>
                <c:formatCode>General</c:formatCode>
                <c:ptCount val="7"/>
                <c:pt idx="0">
                  <c:v>0</c:v>
                </c:pt>
                <c:pt idx="1">
                  <c:v>0.18355578077164633</c:v>
                </c:pt>
                <c:pt idx="2">
                  <c:v>0.48944928338550386</c:v>
                </c:pt>
                <c:pt idx="3">
                  <c:v>1.0251902883033654</c:v>
                </c:pt>
                <c:pt idx="4">
                  <c:v>1.5297926532906596</c:v>
                </c:pt>
                <c:pt idx="5">
                  <c:v>2.5298609439278841</c:v>
                </c:pt>
                <c:pt idx="6">
                  <c:v>3.0625266861170783</c:v>
                </c:pt>
              </c:numCache>
            </c:numRef>
          </c:yVal>
          <c:smooth val="1"/>
        </c:ser>
        <c:ser>
          <c:idx val="9"/>
          <c:order val="9"/>
          <c:tx>
            <c:v>10</c:v>
          </c:tx>
          <c:marker>
            <c:symbol val="none"/>
          </c:marker>
          <c:xVal>
            <c:numRef>
              <c:f>XB_DECILES_DAYS!$B$65:$B$71</c:f>
              <c:numCache>
                <c:formatCode>General</c:formatCode>
                <c:ptCount val="7"/>
                <c:pt idx="0">
                  <c:v>0.25</c:v>
                </c:pt>
                <c:pt idx="1">
                  <c:v>0.5</c:v>
                </c:pt>
                <c:pt idx="2">
                  <c:v>1</c:v>
                </c:pt>
                <c:pt idx="3">
                  <c:v>2</c:v>
                </c:pt>
                <c:pt idx="4">
                  <c:v>3</c:v>
                </c:pt>
                <c:pt idx="5">
                  <c:v>5</c:v>
                </c:pt>
                <c:pt idx="6">
                  <c:v>6</c:v>
                </c:pt>
              </c:numCache>
            </c:numRef>
          </c:xVal>
          <c:yVal>
            <c:numRef>
              <c:f>XB_DECILES_DAYS!$O$65:$O$71</c:f>
              <c:numCache>
                <c:formatCode>General</c:formatCode>
                <c:ptCount val="7"/>
                <c:pt idx="0">
                  <c:v>0</c:v>
                </c:pt>
                <c:pt idx="1">
                  <c:v>0.26062583921604171</c:v>
                </c:pt>
                <c:pt idx="2">
                  <c:v>0.67858486898533543</c:v>
                </c:pt>
                <c:pt idx="3">
                  <c:v>1.4169267040450149</c:v>
                </c:pt>
                <c:pt idx="4">
                  <c:v>2.1074329487053003</c:v>
                </c:pt>
                <c:pt idx="5">
                  <c:v>3.4714626176813068</c:v>
                </c:pt>
                <c:pt idx="6">
                  <c:v>4.1947734205947036</c:v>
                </c:pt>
              </c:numCache>
            </c:numRef>
          </c:yVal>
          <c:smooth val="1"/>
        </c:ser>
        <c:dLbls>
          <c:showLegendKey val="0"/>
          <c:showVal val="0"/>
          <c:showCatName val="0"/>
          <c:showSerName val="0"/>
          <c:showPercent val="0"/>
          <c:showBubbleSize val="0"/>
        </c:dLbls>
        <c:axId val="10696960"/>
        <c:axId val="10703232"/>
      </c:scatterChart>
      <c:valAx>
        <c:axId val="10696960"/>
        <c:scaling>
          <c:orientation val="minMax"/>
          <c:max val="6"/>
        </c:scaling>
        <c:delete val="0"/>
        <c:axPos val="b"/>
        <c:title>
          <c:tx>
            <c:rich>
              <a:bodyPr/>
              <a:lstStyle/>
              <a:p>
                <a:pPr>
                  <a:defRPr/>
                </a:pPr>
                <a:r>
                  <a:rPr lang="en-US"/>
                  <a:t>Years since</a:t>
                </a:r>
                <a:r>
                  <a:rPr lang="en-US" baseline="0"/>
                  <a:t> Start of ESRD</a:t>
                </a:r>
                <a:endParaRPr lang="en-US"/>
              </a:p>
            </c:rich>
          </c:tx>
          <c:layout/>
          <c:overlay val="0"/>
        </c:title>
        <c:numFmt formatCode="General" sourceLinked="1"/>
        <c:majorTickMark val="none"/>
        <c:minorTickMark val="none"/>
        <c:tickLblPos val="nextTo"/>
        <c:crossAx val="10703232"/>
        <c:crosses val="autoZero"/>
        <c:crossBetween val="midCat"/>
      </c:valAx>
      <c:valAx>
        <c:axId val="10703232"/>
        <c:scaling>
          <c:orientation val="minMax"/>
        </c:scaling>
        <c:delete val="0"/>
        <c:axPos val="l"/>
        <c:majorGridlines/>
        <c:title>
          <c:tx>
            <c:rich>
              <a:bodyPr/>
              <a:lstStyle/>
              <a:p>
                <a:pPr>
                  <a:defRPr/>
                </a:pPr>
                <a:r>
                  <a:rPr lang="en-US"/>
                  <a:t>Cumulative Hazard Expected Number of Transfusions</a:t>
                </a:r>
              </a:p>
            </c:rich>
          </c:tx>
          <c:layout>
            <c:manualLayout>
              <c:xMode val="edge"/>
              <c:yMode val="edge"/>
              <c:x val="1.937984496124031E-2"/>
              <c:y val="9.853678179321855E-2"/>
            </c:manualLayout>
          </c:layout>
          <c:overlay val="0"/>
        </c:title>
        <c:numFmt formatCode="General" sourceLinked="1"/>
        <c:majorTickMark val="none"/>
        <c:minorTickMark val="none"/>
        <c:tickLblPos val="nextTo"/>
        <c:crossAx val="10696960"/>
        <c:crosses val="autoZero"/>
        <c:crossBetween val="midCat"/>
      </c:valAx>
    </c:plotArea>
    <c:legend>
      <c:legendPos val="r"/>
      <c:layout/>
      <c:overlay val="0"/>
    </c:legend>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55BCB"/>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BB2DF5-3BEE-48E2-8237-4578E6579B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8A57F0-1026-42DA-ABF9-A39CD784C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8F60693-590D-4624-B1CF-5A2BD14ED9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20</Pages>
  <Words>7020</Words>
  <Characters>40019</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46946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Jennifer Sardone</cp:lastModifiedBy>
  <cp:revision>7</cp:revision>
  <dcterms:created xsi:type="dcterms:W3CDTF">2014-09-19T20:43:00Z</dcterms:created>
  <dcterms:modified xsi:type="dcterms:W3CDTF">2015-03-05T17:33:00Z</dcterms:modified>
</cp:coreProperties>
</file>