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9273A" w:rsidRPr="0021129F">
            <w:t>Anemia of chronic kidney disease: Dialysis facility standardized transfusion ratio</w:t>
          </w:r>
          <w:r w:rsidR="00E10418">
            <w:t xml:space="preserve"> (</w:t>
          </w:r>
          <w:proofErr w:type="spellStart"/>
          <w:r w:rsidR="00E10418">
            <w:t>STrR</w:t>
          </w:r>
          <w:proofErr w:type="spellEnd"/>
          <w:r w:rsidR="00E10418">
            <w:t>)</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E10418">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3436F6" w:rsidP="005857F8">
      <w:pPr>
        <w:ind w:left="720"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99273A">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Pr>
              <w:rStyle w:val="Style2"/>
              <w:rFonts w:cstheme="minorHAnsi"/>
            </w:rPr>
            <w:t>Transfusions</w:t>
          </w:r>
          <w:bookmarkStart w:id="5" w:name="_GoBack"/>
          <w:bookmarkEnd w:id="5"/>
        </w:sdtContent>
      </w:sdt>
    </w:p>
    <w:p w:rsidR="00236F87" w:rsidRPr="003B1CC5" w:rsidRDefault="003436F6"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3436F6"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3436F6"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3436F6"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3436F6"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Default="002B06BD" w:rsidP="002B06BD">
      <w:pPr>
        <w:ind w:left="432" w:hanging="432"/>
        <w:rPr>
          <w:b/>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AA6402" w:rsidRDefault="00AA6402" w:rsidP="002B06BD">
      <w:pPr>
        <w:ind w:left="432" w:hanging="432"/>
        <w:rPr>
          <w:b/>
          <w:iCs/>
        </w:rPr>
      </w:pPr>
    </w:p>
    <w:p w:rsidR="00AA6402" w:rsidRPr="0099273A" w:rsidRDefault="00AA6402" w:rsidP="00AA6402">
      <w:pPr>
        <w:spacing w:after="120"/>
        <w:ind w:firstLine="0"/>
        <w:rPr>
          <w:szCs w:val="20"/>
        </w:rPr>
      </w:pPr>
      <w:r w:rsidRPr="0099273A">
        <w:rPr>
          <w:szCs w:val="20"/>
        </w:rPr>
        <w:t>In the ESRD population, blood transfusion has been linked to survival indirectly via patient access to transplantation. Studies have shown superior patient survival with kidney transplantation compared to chronic dialysis (Wolfe, et al NEJM).</w:t>
      </w:r>
    </w:p>
    <w:p w:rsidR="00AA6402" w:rsidRPr="0099273A" w:rsidRDefault="00AA6402" w:rsidP="00AA6402">
      <w:pPr>
        <w:spacing w:after="120"/>
        <w:ind w:firstLine="0"/>
        <w:rPr>
          <w:szCs w:val="20"/>
        </w:rPr>
      </w:pPr>
      <w:r w:rsidRPr="0099273A">
        <w:rPr>
          <w:szCs w:val="20"/>
        </w:rPr>
        <w:t>Blood transfusion has been shown to increase anti-HLA antibodies in chronic dialysis patients, decreasing access to kidney transplantation. (Chapter 4, KDIGO Anemia Management Guidelines) Furthermore, Ibrahim, et al studied 43,025 patients added to the kidney transplant waitlist from 1999-2004, using USRDS data. They evaluated the impact of receiving one or more blood transfusion after kidney transplant listing on panel reactive antibody% (PRA). Over the years 1999-2004, 26-30% of patients listed for kidney transplant received one or more blood transfusion after listing. Ibrahim, et al calculated the one year and three year cumulative incidence of transfusions while on the waiting list at 10.8% and 27.7% respectively. Receiving pre-transplant transfusion was associated with higher odds of PRA% elevation. For men, post-listing transfusion was associated with an odds ratio of 1.77 and 1.67 for having a PRA &gt; 20% and &gt; 80% at time of transplantation, respectively. For parous women, odds ratios were 1.62 and 1.89 for PRA &gt; 20% and &gt; 80% at time of transplantation, respectively.</w:t>
      </w:r>
    </w:p>
    <w:p w:rsidR="00AA6402" w:rsidRPr="0099273A" w:rsidRDefault="00AA6402" w:rsidP="00AA6402">
      <w:pPr>
        <w:spacing w:after="120"/>
        <w:ind w:firstLine="0"/>
        <w:rPr>
          <w:szCs w:val="20"/>
        </w:rPr>
      </w:pPr>
      <w:r w:rsidRPr="0099273A">
        <w:rPr>
          <w:szCs w:val="20"/>
        </w:rPr>
        <w:t>In addition, unnecessary use of blood products in this population will likely have a negative impact on the health outcomes of other patient populations by reducing a rate-limiting health resource needed for treatment of other life-threatening conditions.</w:t>
      </w:r>
    </w:p>
    <w:p w:rsidR="00AA6402" w:rsidRPr="0099273A" w:rsidRDefault="00AA6402" w:rsidP="00AA6402">
      <w:pPr>
        <w:spacing w:after="120"/>
        <w:ind w:firstLine="0"/>
        <w:rPr>
          <w:szCs w:val="20"/>
        </w:rPr>
      </w:pPr>
      <w:r w:rsidRPr="0099273A">
        <w:rPr>
          <w:szCs w:val="20"/>
        </w:rPr>
        <w:t>KDIGO Anemia Guidelines 2012: Guideline 4.1.1: When managing chronic anemia, we recommend avoiding, when possible, red cell transfusions to minimize the general risks related to their use. (1B)</w:t>
      </w:r>
    </w:p>
    <w:p w:rsidR="00AA6402" w:rsidRPr="0099273A" w:rsidRDefault="00AA6402" w:rsidP="00AA6402">
      <w:pPr>
        <w:spacing w:after="120"/>
        <w:ind w:firstLine="0"/>
        <w:rPr>
          <w:szCs w:val="20"/>
        </w:rPr>
      </w:pPr>
      <w:r w:rsidRPr="0099273A">
        <w:rPr>
          <w:szCs w:val="20"/>
        </w:rPr>
        <w:t>References:</w:t>
      </w:r>
    </w:p>
    <w:p w:rsidR="00AA6402" w:rsidRPr="0099273A" w:rsidRDefault="00AA6402" w:rsidP="00AA6402">
      <w:pPr>
        <w:spacing w:after="120"/>
        <w:ind w:firstLine="0"/>
        <w:rPr>
          <w:szCs w:val="20"/>
        </w:rPr>
      </w:pPr>
      <w:r w:rsidRPr="0099273A">
        <w:rPr>
          <w:szCs w:val="20"/>
        </w:rPr>
        <w:t xml:space="preserve">Wolfe, Robert, Ashby, Valarie, Milford, Edgar et al. Comparison of Mortality in all Patients on Dialysis, Patients on Dialysis Awaiting Transplantation, and Recipients of a First Cadaveric Transplant. </w:t>
      </w:r>
      <w:proofErr w:type="gramStart"/>
      <w:r w:rsidRPr="0099273A">
        <w:rPr>
          <w:szCs w:val="20"/>
        </w:rPr>
        <w:t>The New England Journal of Medicine (1999) 341:1725-30.</w:t>
      </w:r>
      <w:proofErr w:type="gramEnd"/>
    </w:p>
    <w:p w:rsidR="00AA6402" w:rsidRPr="0099273A" w:rsidRDefault="00AA6402" w:rsidP="00AA6402">
      <w:pPr>
        <w:ind w:firstLine="0"/>
        <w:rPr>
          <w:iCs/>
          <w:sz w:val="24"/>
        </w:rPr>
      </w:pPr>
      <w:r w:rsidRPr="0099273A">
        <w:rPr>
          <w:szCs w:val="20"/>
        </w:rPr>
        <w:t xml:space="preserve">Ibrahim HN, </w:t>
      </w:r>
      <w:proofErr w:type="spellStart"/>
      <w:r w:rsidRPr="0099273A">
        <w:rPr>
          <w:szCs w:val="20"/>
        </w:rPr>
        <w:t>Skeans</w:t>
      </w:r>
      <w:proofErr w:type="spellEnd"/>
      <w:r w:rsidRPr="0099273A">
        <w:rPr>
          <w:szCs w:val="20"/>
        </w:rPr>
        <w:t xml:space="preserve"> MA, Li Q, </w:t>
      </w:r>
      <w:proofErr w:type="spellStart"/>
      <w:r w:rsidRPr="0099273A">
        <w:rPr>
          <w:szCs w:val="20"/>
        </w:rPr>
        <w:t>Ishani</w:t>
      </w:r>
      <w:proofErr w:type="spellEnd"/>
      <w:r w:rsidRPr="0099273A">
        <w:rPr>
          <w:szCs w:val="20"/>
        </w:rPr>
        <w:t xml:space="preserve"> A, Snyder JJ. Blood transfusions in kidney transplant candidates are common and associated with adverse outcomes. </w:t>
      </w:r>
      <w:proofErr w:type="spellStart"/>
      <w:r w:rsidRPr="0099273A">
        <w:rPr>
          <w:szCs w:val="20"/>
        </w:rPr>
        <w:t>Clin</w:t>
      </w:r>
      <w:proofErr w:type="spellEnd"/>
      <w:r w:rsidRPr="0099273A">
        <w:rPr>
          <w:szCs w:val="20"/>
        </w:rPr>
        <w:t xml:space="preserve"> Transplant (2011) 25</w:t>
      </w:r>
      <w:proofErr w:type="gramStart"/>
      <w:r w:rsidRPr="0099273A">
        <w:rPr>
          <w:szCs w:val="20"/>
        </w:rPr>
        <w:t>;653</w:t>
      </w:r>
      <w:proofErr w:type="gramEnd"/>
      <w:r w:rsidRPr="0099273A">
        <w:rPr>
          <w:szCs w:val="20"/>
        </w:rPr>
        <w:t>-659.</w:t>
      </w:r>
    </w:p>
    <w:p w:rsidR="00AA6402" w:rsidRPr="003B1CC5" w:rsidRDefault="00AA6402" w:rsidP="002B06BD">
      <w:pPr>
        <w:ind w:left="432" w:hanging="432"/>
        <w:rPr>
          <w:iCs/>
        </w:rPr>
      </w:pPr>
    </w:p>
    <w:p w:rsidR="002B06BD" w:rsidRPr="003B1CC5" w:rsidRDefault="002B06BD" w:rsidP="002E2177">
      <w:pPr>
        <w:ind w:left="432" w:hanging="432"/>
        <w:rPr>
          <w:color w:val="0000FF"/>
        </w:rPr>
      </w:pPr>
    </w:p>
    <w:p w:rsidR="00496AF8" w:rsidRDefault="00B058A6" w:rsidP="002E2177">
      <w:pPr>
        <w:ind w:left="432" w:hanging="432"/>
        <w:rPr>
          <w:b/>
          <w:iCs/>
        </w:rPr>
      </w:pPr>
      <w:r w:rsidRPr="003B1CC5">
        <w:rPr>
          <w:b/>
          <w:color w:val="0000FF"/>
        </w:rPr>
        <w:lastRenderedPageBreak/>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99273A" w:rsidRDefault="0099273A" w:rsidP="002E2177">
      <w:pPr>
        <w:ind w:left="432" w:hanging="432"/>
        <w:rPr>
          <w:iCs/>
        </w:rPr>
      </w:pPr>
    </w:p>
    <w:p w:rsidR="00D14F0B" w:rsidRDefault="00D14F0B" w:rsidP="002E2177">
      <w:pPr>
        <w:ind w:left="0" w:firstLine="0"/>
        <w:rPr>
          <w:iCs/>
        </w:rPr>
      </w:pPr>
    </w:p>
    <w:p w:rsidR="00AA6402" w:rsidRDefault="00AA6402" w:rsidP="00AA6402">
      <w:pPr>
        <w:ind w:left="432" w:firstLine="0"/>
        <w:rPr>
          <w:iCs/>
        </w:rPr>
      </w:pPr>
      <w:r w:rsidRPr="00AA6402">
        <w:rPr>
          <w:iCs/>
        </w:rPr>
        <w:t>The risks associated with aggressive treatment of anemia of CKD with ESAs have been well documented in KDIGO Anemia Management Guidelines as well as in updated FDA package insert information for ESAs. In contrast, the effect of anemia management paradigms that target to lower hemoglobin levels, and generally use less ESA, on transfusion risk is less well defined. Several clinical interventional trials comparing higher vs. lower hemoglobin targets have shown higher transfusion rates in those patients randomized to lower hemoglobin targets. The importance of these observations is limited by lack of predefined criteria for use of blo</w:t>
      </w:r>
      <w:r>
        <w:rPr>
          <w:iCs/>
        </w:rPr>
        <w:t>od transfusion in most studies.</w:t>
      </w:r>
    </w:p>
    <w:p w:rsidR="00AA6402" w:rsidRPr="00AA6402" w:rsidRDefault="00AA6402" w:rsidP="00AA6402">
      <w:pPr>
        <w:ind w:left="432" w:firstLine="0"/>
        <w:rPr>
          <w:iCs/>
        </w:rPr>
      </w:pPr>
    </w:p>
    <w:p w:rsidR="00AA6402" w:rsidRDefault="00AA6402" w:rsidP="00AA6402">
      <w:pPr>
        <w:ind w:left="432" w:firstLine="0"/>
        <w:rPr>
          <w:iCs/>
        </w:rPr>
      </w:pPr>
      <w:r w:rsidRPr="00AA6402">
        <w:rPr>
          <w:iCs/>
        </w:rPr>
        <w:t>It has been postulated that a national trend toward increased use of transfusions in dialysis patients would adversely affect the supply of blood available for acute injuries and surgical procedures. Lastly, greater exposure to human leukocyte antigens, present in transfused blood, may increase anti-HLA antibodies in kidney transplant candidates, resulting in reduced access to kidney transplantation.</w:t>
      </w:r>
    </w:p>
    <w:p w:rsidR="00AA6402" w:rsidRPr="00AA6402" w:rsidRDefault="00AA6402" w:rsidP="00AA6402">
      <w:pPr>
        <w:ind w:left="432" w:firstLine="0"/>
        <w:rPr>
          <w:iCs/>
        </w:rPr>
      </w:pPr>
    </w:p>
    <w:p w:rsidR="00AA6402" w:rsidRDefault="00AA6402" w:rsidP="00AA6402">
      <w:pPr>
        <w:ind w:left="432" w:firstLine="0"/>
        <w:rPr>
          <w:iCs/>
        </w:rPr>
      </w:pPr>
      <w:r w:rsidRPr="00AA6402">
        <w:rPr>
          <w:iCs/>
        </w:rPr>
        <w:t xml:space="preserve">The inverse relationship between achieved hemoglobin and transfusion events has been reported previously for Medicare dialysis patients </w:t>
      </w:r>
      <w:proofErr w:type="gramStart"/>
      <w:r w:rsidRPr="00AA6402">
        <w:rPr>
          <w:iCs/>
        </w:rPr>
        <w:t>( Ma</w:t>
      </w:r>
      <w:proofErr w:type="gramEnd"/>
      <w:r w:rsidRPr="00AA6402">
        <w:rPr>
          <w:iCs/>
        </w:rPr>
        <w:t xml:space="preserve"> 1999) and for non-dialysis CKD patients treated in the Veterans Administration system (Lawler 2010)</w:t>
      </w:r>
    </w:p>
    <w:p w:rsidR="00AA6402" w:rsidRDefault="00AA6402" w:rsidP="00AA6402">
      <w:pPr>
        <w:ind w:left="432" w:firstLine="0"/>
        <w:rPr>
          <w:iCs/>
        </w:rPr>
      </w:pPr>
    </w:p>
    <w:p w:rsidR="00AA6402" w:rsidRPr="00AA6402" w:rsidRDefault="00AA6402" w:rsidP="00AA6402">
      <w:pPr>
        <w:ind w:left="432" w:firstLine="0"/>
        <w:rPr>
          <w:iCs/>
        </w:rPr>
      </w:pPr>
      <w:proofErr w:type="gramStart"/>
      <w:r w:rsidRPr="00AA6402">
        <w:rPr>
          <w:iCs/>
        </w:rPr>
        <w:t>Lawler EV, Bradbury BD, Fonda JR, et al. "Transfusion burden among patients with chronic kidney disease and anemia."</w:t>
      </w:r>
      <w:proofErr w:type="gramEnd"/>
      <w:r w:rsidRPr="00AA6402">
        <w:rPr>
          <w:iCs/>
        </w:rPr>
        <w:t xml:space="preserve"> Clinical journal of the American Society of </w:t>
      </w:r>
      <w:proofErr w:type="gramStart"/>
      <w:r w:rsidRPr="00AA6402">
        <w:rPr>
          <w:iCs/>
        </w:rPr>
        <w:t>Nephrology :</w:t>
      </w:r>
      <w:proofErr w:type="gramEnd"/>
      <w:r w:rsidRPr="00AA6402">
        <w:rPr>
          <w:iCs/>
        </w:rPr>
        <w:t xml:space="preserve"> CJASN (2010) 5:667-72. PMID: 20299366 </w:t>
      </w:r>
    </w:p>
    <w:p w:rsidR="00AA6402" w:rsidRDefault="00AA6402" w:rsidP="00AA6402">
      <w:pPr>
        <w:ind w:left="432" w:firstLine="0"/>
        <w:rPr>
          <w:iCs/>
        </w:rPr>
      </w:pPr>
      <w:proofErr w:type="gramStart"/>
      <w:r w:rsidRPr="00AA6402">
        <w:rPr>
          <w:iCs/>
        </w:rPr>
        <w:t xml:space="preserve">Ma JZ, </w:t>
      </w:r>
      <w:proofErr w:type="spellStart"/>
      <w:r w:rsidRPr="00AA6402">
        <w:rPr>
          <w:iCs/>
        </w:rPr>
        <w:t>Ebben</w:t>
      </w:r>
      <w:proofErr w:type="spellEnd"/>
      <w:r w:rsidRPr="00AA6402">
        <w:rPr>
          <w:iCs/>
        </w:rPr>
        <w:t xml:space="preserve"> J, Xia H, et al. "Hematocrit level and associated mortality in hemodialysis patients."</w:t>
      </w:r>
      <w:proofErr w:type="gramEnd"/>
      <w:r w:rsidRPr="00AA6402">
        <w:rPr>
          <w:iCs/>
        </w:rPr>
        <w:t xml:space="preserve"> Journal of the American Society of </w:t>
      </w:r>
      <w:proofErr w:type="gramStart"/>
      <w:r w:rsidRPr="00AA6402">
        <w:rPr>
          <w:iCs/>
        </w:rPr>
        <w:t>Nephrology :</w:t>
      </w:r>
      <w:proofErr w:type="gramEnd"/>
      <w:r w:rsidRPr="00AA6402">
        <w:rPr>
          <w:iCs/>
        </w:rPr>
        <w:t xml:space="preserve"> JASN (1999) 10:610-9. PMID: 10073612</w:t>
      </w:r>
    </w:p>
    <w:p w:rsidR="00AA6402" w:rsidRPr="003B1CC5" w:rsidRDefault="00AA6402" w:rsidP="00AA6402">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3436F6"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99273A">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3436F6"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3436F6"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3436F6"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99273A">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lastRenderedPageBreak/>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99273A" w:rsidRPr="0099273A" w:rsidRDefault="0099273A" w:rsidP="002E2177">
      <w:pPr>
        <w:ind w:left="0" w:firstLine="0"/>
        <w:rPr>
          <w:szCs w:val="20"/>
        </w:rPr>
      </w:pPr>
      <w:r w:rsidRPr="0099273A">
        <w:rPr>
          <w:szCs w:val="20"/>
        </w:rPr>
        <w:t xml:space="preserve">Kidney Disease: Improving Global Outcomes (KDIGO) Anemia Work Group. </w:t>
      </w:r>
      <w:proofErr w:type="gramStart"/>
      <w:r w:rsidRPr="0099273A">
        <w:rPr>
          <w:szCs w:val="20"/>
        </w:rPr>
        <w:t>KDIGO Clinical Practice Guideline for Anemia in Chronic Kidney Disease.</w:t>
      </w:r>
      <w:proofErr w:type="gramEnd"/>
      <w:r w:rsidRPr="0099273A">
        <w:rPr>
          <w:szCs w:val="20"/>
        </w:rPr>
        <w:t xml:space="preserve"> </w:t>
      </w:r>
      <w:proofErr w:type="gramStart"/>
      <w:r w:rsidRPr="0099273A">
        <w:rPr>
          <w:szCs w:val="20"/>
        </w:rPr>
        <w:t>Kidney inter., Suppl. 2012; 2: 279–335.</w:t>
      </w:r>
      <w:proofErr w:type="gramEnd"/>
      <w:r w:rsidRPr="0099273A">
        <w:rPr>
          <w:szCs w:val="20"/>
        </w:rPr>
        <w:t xml:space="preserve"> </w:t>
      </w:r>
      <w:hyperlink r:id="rId18" w:history="1">
        <w:r w:rsidRPr="0099273A">
          <w:rPr>
            <w:rStyle w:val="Hyperlink"/>
            <w:szCs w:val="20"/>
          </w:rPr>
          <w:t>http://www.kdigo.org/clinical_practice_guidelines/pdf/KDIGO-Anemia%20GL.pdf</w:t>
        </w:r>
      </w:hyperlink>
    </w:p>
    <w:p w:rsidR="0099273A" w:rsidRDefault="0099273A" w:rsidP="002E2177">
      <w:pPr>
        <w:ind w:left="0" w:firstLine="0"/>
        <w:rPr>
          <w:sz w:val="20"/>
          <w:szCs w:val="20"/>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99273A" w:rsidRDefault="00496AF8" w:rsidP="0099273A">
      <w:pPr>
        <w:ind w:left="0" w:firstLine="0"/>
        <w:rPr>
          <w:sz w:val="24"/>
        </w:rPr>
      </w:pPr>
    </w:p>
    <w:p w:rsidR="0099273A" w:rsidRPr="0099273A" w:rsidRDefault="0099273A" w:rsidP="0099273A">
      <w:pPr>
        <w:autoSpaceDE w:val="0"/>
        <w:autoSpaceDN w:val="0"/>
        <w:adjustRightInd w:val="0"/>
        <w:ind w:left="720"/>
        <w:rPr>
          <w:rFonts w:cs="Calibri"/>
          <w:szCs w:val="20"/>
        </w:rPr>
      </w:pPr>
      <w:r w:rsidRPr="0099273A">
        <w:rPr>
          <w:rFonts w:cs="Calibri"/>
          <w:szCs w:val="20"/>
        </w:rPr>
        <w:t xml:space="preserve">KDIGO Anemia Guidelines 2012: Guideline 3.2: In initiating and maintaining ESA therapy, we recommend balancing the potential benefits of reducing blood transfusions and anemia-related symptoms against the risks of harm in individual patients (e.g., stroke, vascular access loss, </w:t>
      </w:r>
      <w:proofErr w:type="gramStart"/>
      <w:r w:rsidRPr="0099273A">
        <w:rPr>
          <w:rFonts w:cs="Calibri"/>
          <w:szCs w:val="20"/>
        </w:rPr>
        <w:t>hypertension</w:t>
      </w:r>
      <w:proofErr w:type="gramEnd"/>
      <w:r w:rsidRPr="0099273A">
        <w:rPr>
          <w:rFonts w:cs="Calibri"/>
          <w:szCs w:val="20"/>
        </w:rPr>
        <w:t xml:space="preserve">). (1B). </w:t>
      </w:r>
    </w:p>
    <w:p w:rsidR="0099273A" w:rsidRPr="0099273A" w:rsidRDefault="0099273A" w:rsidP="0099273A">
      <w:pPr>
        <w:autoSpaceDE w:val="0"/>
        <w:autoSpaceDN w:val="0"/>
        <w:adjustRightInd w:val="0"/>
        <w:ind w:left="720"/>
        <w:rPr>
          <w:rFonts w:cs="Calibri"/>
          <w:szCs w:val="20"/>
        </w:rPr>
      </w:pPr>
    </w:p>
    <w:p w:rsidR="0099273A" w:rsidRPr="0099273A" w:rsidRDefault="0099273A" w:rsidP="0099273A">
      <w:pPr>
        <w:autoSpaceDE w:val="0"/>
        <w:autoSpaceDN w:val="0"/>
        <w:adjustRightInd w:val="0"/>
        <w:ind w:left="720"/>
        <w:rPr>
          <w:rFonts w:cs="Calibri"/>
          <w:szCs w:val="20"/>
        </w:rPr>
      </w:pPr>
      <w:r w:rsidRPr="0099273A">
        <w:rPr>
          <w:rFonts w:cs="Calibri"/>
          <w:szCs w:val="20"/>
        </w:rPr>
        <w:t xml:space="preserve">• KDIGO Anemia Guidelines 2012: Guideline 4.1.1: When managing chronic anemia, we recommend avoiding, when possible, red cell transfusions to minimize the general risks related to their use. (1B) </w:t>
      </w:r>
    </w:p>
    <w:p w:rsidR="0099273A" w:rsidRPr="0099273A" w:rsidRDefault="0099273A" w:rsidP="0099273A">
      <w:pPr>
        <w:autoSpaceDE w:val="0"/>
        <w:autoSpaceDN w:val="0"/>
        <w:adjustRightInd w:val="0"/>
        <w:ind w:left="720"/>
        <w:rPr>
          <w:rFonts w:cs="Calibri"/>
          <w:szCs w:val="20"/>
        </w:rPr>
      </w:pPr>
    </w:p>
    <w:p w:rsidR="0099273A" w:rsidRPr="0099273A" w:rsidRDefault="0099273A" w:rsidP="0099273A">
      <w:pPr>
        <w:autoSpaceDE w:val="0"/>
        <w:autoSpaceDN w:val="0"/>
        <w:adjustRightInd w:val="0"/>
        <w:ind w:left="720"/>
        <w:rPr>
          <w:rFonts w:cs="Calibri"/>
          <w:szCs w:val="20"/>
        </w:rPr>
      </w:pPr>
      <w:r w:rsidRPr="0099273A">
        <w:rPr>
          <w:rFonts w:cs="Calibri"/>
          <w:szCs w:val="20"/>
        </w:rPr>
        <w:t xml:space="preserve">• KDIGO Anemia Guidelines 2012: Guideline 4.1.3: When managing chronic anemia, we suggest that the benefits of red cell transfusions may outweigh the risks in patients in whom (2C): </w:t>
      </w:r>
      <w:r w:rsidRPr="0099273A">
        <w:rPr>
          <w:rFonts w:cs="Courier New"/>
          <w:szCs w:val="20"/>
        </w:rPr>
        <w:t xml:space="preserve">o </w:t>
      </w:r>
      <w:r w:rsidRPr="0099273A">
        <w:rPr>
          <w:rFonts w:cs="Calibri"/>
          <w:szCs w:val="20"/>
        </w:rPr>
        <w:t xml:space="preserve">ESA therapy is ineffective (e.g., </w:t>
      </w:r>
      <w:proofErr w:type="spellStart"/>
      <w:r w:rsidRPr="0099273A">
        <w:rPr>
          <w:rFonts w:cs="Calibri"/>
          <w:szCs w:val="20"/>
        </w:rPr>
        <w:t>hemoglobinopathies</w:t>
      </w:r>
      <w:proofErr w:type="spellEnd"/>
      <w:r w:rsidRPr="0099273A">
        <w:rPr>
          <w:rFonts w:cs="Calibri"/>
          <w:szCs w:val="20"/>
        </w:rPr>
        <w:t xml:space="preserve">, bone marrow failure, ESA resistance) </w:t>
      </w:r>
    </w:p>
    <w:p w:rsidR="0099273A" w:rsidRPr="0099273A" w:rsidRDefault="0099273A" w:rsidP="00BA1377">
      <w:pPr>
        <w:autoSpaceDE w:val="0"/>
        <w:autoSpaceDN w:val="0"/>
        <w:adjustRightInd w:val="0"/>
        <w:ind w:left="1080"/>
        <w:rPr>
          <w:rFonts w:cs="Calibri"/>
          <w:szCs w:val="20"/>
        </w:rPr>
      </w:pPr>
      <w:proofErr w:type="gramStart"/>
      <w:r w:rsidRPr="0099273A">
        <w:rPr>
          <w:rFonts w:cs="Courier New"/>
          <w:szCs w:val="20"/>
        </w:rPr>
        <w:t>o</w:t>
      </w:r>
      <w:proofErr w:type="gramEnd"/>
      <w:r w:rsidRPr="0099273A">
        <w:rPr>
          <w:rFonts w:cs="Courier New"/>
          <w:szCs w:val="20"/>
        </w:rPr>
        <w:t xml:space="preserve"> </w:t>
      </w:r>
      <w:r>
        <w:rPr>
          <w:rFonts w:cs="Courier New"/>
          <w:szCs w:val="20"/>
        </w:rPr>
        <w:tab/>
      </w:r>
      <w:r w:rsidRPr="0099273A">
        <w:rPr>
          <w:rFonts w:cs="Calibri"/>
          <w:szCs w:val="20"/>
        </w:rPr>
        <w:t xml:space="preserve">The risks of ESA therapy may outweigh its benefits (e.g., previous or current malignancy, previous stroke) </w:t>
      </w:r>
    </w:p>
    <w:p w:rsidR="0099273A" w:rsidRPr="0021129F" w:rsidRDefault="0099273A" w:rsidP="0099273A">
      <w:pPr>
        <w:autoSpaceDE w:val="0"/>
        <w:autoSpaceDN w:val="0"/>
        <w:adjustRightInd w:val="0"/>
        <w:ind w:left="0"/>
        <w:rPr>
          <w:rFonts w:cs="Calibri"/>
          <w:sz w:val="20"/>
          <w:szCs w:val="20"/>
        </w:rPr>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99273A" w:rsidP="00265702">
      <w:pPr>
        <w:ind w:left="0" w:firstLine="0"/>
      </w:pPr>
      <w:r>
        <w:t>T</w:t>
      </w:r>
      <w:r w:rsidRPr="0099273A">
        <w:t>he KDIGO Guidelines used the GRADE system; the grades given are listed above with the relevant guidelines.</w:t>
      </w: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99273A" w:rsidRPr="0021129F" w:rsidRDefault="0099273A" w:rsidP="0099273A">
      <w:r w:rsidRPr="0021129F">
        <w:t xml:space="preserve">Nomenclature and Description for Rating Guideline Recommendations </w:t>
      </w:r>
    </w:p>
    <w:p w:rsidR="0099273A" w:rsidRPr="0021129F" w:rsidRDefault="0099273A" w:rsidP="0099273A">
      <w:r w:rsidRPr="0021129F">
        <w:t xml:space="preserve">Within each recommendation, the strength of the recommendation is indicated as Level 1, Level 2, or Not Graded, and the quality of the supporting evidence is shown as A, B, C, or D. </w:t>
      </w:r>
    </w:p>
    <w:p w:rsidR="0099273A" w:rsidRPr="0021129F" w:rsidRDefault="0099273A" w:rsidP="0099273A">
      <w:pPr>
        <w:ind w:left="0"/>
      </w:pPr>
    </w:p>
    <w:tbl>
      <w:tblPr>
        <w:tblStyle w:val="TableGrid1"/>
        <w:tblW w:w="100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6"/>
        <w:gridCol w:w="2626"/>
        <w:gridCol w:w="3307"/>
        <w:gridCol w:w="2901"/>
      </w:tblGrid>
      <w:tr w:rsidR="00BA1377" w:rsidRPr="0021129F" w:rsidTr="00BA1377">
        <w:tc>
          <w:tcPr>
            <w:tcW w:w="0" w:type="auto"/>
            <w:tcBorders>
              <w:bottom w:val="single" w:sz="4" w:space="0" w:color="auto"/>
            </w:tcBorders>
          </w:tcPr>
          <w:p w:rsidR="00BA1377" w:rsidRPr="0021129F" w:rsidRDefault="00BA1377" w:rsidP="007F5009">
            <w:pPr>
              <w:rPr>
                <w:sz w:val="18"/>
              </w:rPr>
            </w:pPr>
            <w:r w:rsidRPr="0021129F">
              <w:rPr>
                <w:sz w:val="18"/>
              </w:rPr>
              <w:t>Grade</w:t>
            </w:r>
          </w:p>
        </w:tc>
        <w:tc>
          <w:tcPr>
            <w:tcW w:w="0" w:type="auto"/>
            <w:tcBorders>
              <w:bottom w:val="single" w:sz="4" w:space="0" w:color="auto"/>
            </w:tcBorders>
          </w:tcPr>
          <w:p w:rsidR="00BA1377" w:rsidRPr="0021129F" w:rsidRDefault="00BA1377" w:rsidP="007F5009">
            <w:pPr>
              <w:rPr>
                <w:sz w:val="18"/>
              </w:rPr>
            </w:pPr>
            <w:r w:rsidRPr="0021129F">
              <w:rPr>
                <w:sz w:val="18"/>
              </w:rPr>
              <w:t>Patients</w:t>
            </w:r>
          </w:p>
        </w:tc>
        <w:tc>
          <w:tcPr>
            <w:tcW w:w="0" w:type="auto"/>
            <w:tcBorders>
              <w:bottom w:val="single" w:sz="4" w:space="0" w:color="auto"/>
            </w:tcBorders>
          </w:tcPr>
          <w:p w:rsidR="00BA1377" w:rsidRPr="0021129F" w:rsidRDefault="00BA1377" w:rsidP="007F5009">
            <w:pPr>
              <w:rPr>
                <w:sz w:val="18"/>
              </w:rPr>
            </w:pPr>
            <w:r w:rsidRPr="0021129F">
              <w:rPr>
                <w:sz w:val="18"/>
              </w:rPr>
              <w:t>Clinicians</w:t>
            </w:r>
          </w:p>
        </w:tc>
        <w:tc>
          <w:tcPr>
            <w:tcW w:w="0" w:type="auto"/>
            <w:tcBorders>
              <w:bottom w:val="single" w:sz="4" w:space="0" w:color="auto"/>
            </w:tcBorders>
          </w:tcPr>
          <w:p w:rsidR="00BA1377" w:rsidRPr="0021129F" w:rsidRDefault="00BA1377" w:rsidP="007F5009">
            <w:pPr>
              <w:rPr>
                <w:sz w:val="18"/>
              </w:rPr>
            </w:pPr>
            <w:r w:rsidRPr="0021129F">
              <w:rPr>
                <w:sz w:val="18"/>
              </w:rPr>
              <w:t xml:space="preserve">Policy </w:t>
            </w:r>
          </w:p>
        </w:tc>
      </w:tr>
      <w:tr w:rsidR="00BA1377" w:rsidRPr="0021129F" w:rsidTr="00BA1377">
        <w:tc>
          <w:tcPr>
            <w:tcW w:w="0" w:type="auto"/>
            <w:tcBorders>
              <w:top w:val="single" w:sz="4" w:space="0" w:color="auto"/>
            </w:tcBorders>
          </w:tcPr>
          <w:p w:rsidR="00BA1377" w:rsidRPr="0021129F" w:rsidRDefault="00BA1377" w:rsidP="007F5009">
            <w:pPr>
              <w:rPr>
                <w:sz w:val="18"/>
              </w:rPr>
            </w:pPr>
            <w:r w:rsidRPr="0021129F">
              <w:rPr>
                <w:sz w:val="18"/>
              </w:rPr>
              <w:t xml:space="preserve">Level 1 </w:t>
            </w:r>
            <w:r w:rsidRPr="0021129F">
              <w:rPr>
                <w:sz w:val="18"/>
              </w:rPr>
              <w:br/>
              <w:t>“We recommend”</w:t>
            </w:r>
          </w:p>
        </w:tc>
        <w:tc>
          <w:tcPr>
            <w:tcW w:w="0" w:type="auto"/>
            <w:tcBorders>
              <w:top w:val="single" w:sz="4" w:space="0" w:color="auto"/>
            </w:tcBorders>
          </w:tcPr>
          <w:p w:rsidR="00BA1377" w:rsidRPr="0021129F" w:rsidRDefault="00BA1377" w:rsidP="007F5009">
            <w:pPr>
              <w:rPr>
                <w:sz w:val="18"/>
              </w:rPr>
            </w:pPr>
            <w:r w:rsidRPr="0021129F">
              <w:rPr>
                <w:sz w:val="18"/>
              </w:rPr>
              <w:t>Most people in your situation would want the recommended course of action and only a small proportion would not.</w:t>
            </w:r>
            <w:r w:rsidRPr="0021129F">
              <w:rPr>
                <w:sz w:val="18"/>
              </w:rPr>
              <w:br/>
            </w:r>
          </w:p>
        </w:tc>
        <w:tc>
          <w:tcPr>
            <w:tcW w:w="0" w:type="auto"/>
            <w:tcBorders>
              <w:top w:val="single" w:sz="4" w:space="0" w:color="auto"/>
            </w:tcBorders>
          </w:tcPr>
          <w:p w:rsidR="00BA1377" w:rsidRPr="0021129F" w:rsidRDefault="00BA1377" w:rsidP="007F5009">
            <w:pPr>
              <w:rPr>
                <w:sz w:val="18"/>
              </w:rPr>
            </w:pPr>
            <w:r w:rsidRPr="0021129F">
              <w:rPr>
                <w:sz w:val="18"/>
              </w:rPr>
              <w:t>Most patients should receive the recommended course of action</w:t>
            </w:r>
          </w:p>
        </w:tc>
        <w:tc>
          <w:tcPr>
            <w:tcW w:w="0" w:type="auto"/>
            <w:tcBorders>
              <w:top w:val="single" w:sz="4" w:space="0" w:color="auto"/>
            </w:tcBorders>
          </w:tcPr>
          <w:p w:rsidR="00BA1377" w:rsidRPr="0021129F" w:rsidRDefault="00BA1377" w:rsidP="007F5009">
            <w:pPr>
              <w:rPr>
                <w:sz w:val="18"/>
              </w:rPr>
            </w:pPr>
            <w:r w:rsidRPr="0021129F">
              <w:rPr>
                <w:sz w:val="18"/>
              </w:rPr>
              <w:t xml:space="preserve">The recommendation can be evaluated as a candidate for developing a policy or performance measure </w:t>
            </w:r>
          </w:p>
        </w:tc>
      </w:tr>
      <w:tr w:rsidR="00BA1377" w:rsidRPr="0021129F" w:rsidTr="00BA1377">
        <w:tc>
          <w:tcPr>
            <w:tcW w:w="0" w:type="auto"/>
          </w:tcPr>
          <w:p w:rsidR="00BA1377" w:rsidRPr="0021129F" w:rsidRDefault="00BA1377" w:rsidP="007F5009">
            <w:pPr>
              <w:rPr>
                <w:sz w:val="18"/>
              </w:rPr>
            </w:pPr>
            <w:r w:rsidRPr="0021129F">
              <w:rPr>
                <w:sz w:val="18"/>
              </w:rPr>
              <w:t>Level 2</w:t>
            </w:r>
            <w:r w:rsidRPr="0021129F">
              <w:rPr>
                <w:sz w:val="18"/>
              </w:rPr>
              <w:br/>
              <w:t>“We suggest”</w:t>
            </w:r>
          </w:p>
        </w:tc>
        <w:tc>
          <w:tcPr>
            <w:tcW w:w="0" w:type="auto"/>
          </w:tcPr>
          <w:p w:rsidR="00BA1377" w:rsidRPr="0021129F" w:rsidRDefault="00BA1377" w:rsidP="007F5009">
            <w:pPr>
              <w:rPr>
                <w:sz w:val="18"/>
              </w:rPr>
            </w:pPr>
            <w:r w:rsidRPr="0021129F">
              <w:rPr>
                <w:sz w:val="18"/>
              </w:rPr>
              <w:t>The majority of people in your situation would want the recommended course of action, but many would not.</w:t>
            </w:r>
          </w:p>
        </w:tc>
        <w:tc>
          <w:tcPr>
            <w:tcW w:w="0" w:type="auto"/>
          </w:tcPr>
          <w:p w:rsidR="00BA1377" w:rsidRPr="0021129F" w:rsidRDefault="00BA1377" w:rsidP="007F5009">
            <w:pPr>
              <w:rPr>
                <w:sz w:val="18"/>
              </w:rPr>
            </w:pPr>
            <w:r w:rsidRPr="0021129F">
              <w:rPr>
                <w:sz w:val="18"/>
              </w:rPr>
              <w:t xml:space="preserve">Different choices will be appropriate for different patients. Each patient needs help to arrive at a management decision consistent with her or his values and preferences. </w:t>
            </w:r>
          </w:p>
        </w:tc>
        <w:tc>
          <w:tcPr>
            <w:tcW w:w="0" w:type="auto"/>
          </w:tcPr>
          <w:p w:rsidR="00BA1377" w:rsidRDefault="00BA1377" w:rsidP="007F5009">
            <w:pPr>
              <w:rPr>
                <w:sz w:val="18"/>
              </w:rPr>
            </w:pPr>
            <w:r w:rsidRPr="0021129F">
              <w:rPr>
                <w:sz w:val="18"/>
              </w:rPr>
              <w:t xml:space="preserve">The recommendation is likely to require substantial debate and involvement of stakeholders before policy can be determined. </w:t>
            </w:r>
          </w:p>
          <w:p w:rsidR="00BA1377" w:rsidRDefault="00BA1377" w:rsidP="007F5009">
            <w:pPr>
              <w:rPr>
                <w:sz w:val="18"/>
              </w:rPr>
            </w:pPr>
          </w:p>
          <w:p w:rsidR="00BA1377" w:rsidRDefault="00BA1377" w:rsidP="007F5009">
            <w:pPr>
              <w:rPr>
                <w:sz w:val="18"/>
              </w:rPr>
            </w:pPr>
          </w:p>
          <w:p w:rsidR="00BA1377" w:rsidRPr="0021129F" w:rsidRDefault="00BA1377" w:rsidP="007F5009">
            <w:pPr>
              <w:rPr>
                <w:sz w:val="18"/>
              </w:rPr>
            </w:pPr>
          </w:p>
        </w:tc>
      </w:tr>
    </w:tbl>
    <w:tbl>
      <w:tblPr>
        <w:tblStyle w:val="TableGrid"/>
        <w:tblW w:w="9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
        <w:gridCol w:w="1523"/>
        <w:gridCol w:w="7750"/>
      </w:tblGrid>
      <w:tr w:rsidR="0099273A" w:rsidRPr="0021129F" w:rsidTr="00BA1377">
        <w:tc>
          <w:tcPr>
            <w:tcW w:w="0" w:type="auto"/>
            <w:tcBorders>
              <w:bottom w:val="single" w:sz="4" w:space="0" w:color="auto"/>
            </w:tcBorders>
          </w:tcPr>
          <w:p w:rsidR="0099273A" w:rsidRPr="0021129F" w:rsidRDefault="0099273A" w:rsidP="0083662D">
            <w:pPr>
              <w:rPr>
                <w:sz w:val="18"/>
              </w:rPr>
            </w:pPr>
            <w:r w:rsidRPr="0021129F">
              <w:rPr>
                <w:sz w:val="18"/>
              </w:rPr>
              <w:t>Grade</w:t>
            </w:r>
          </w:p>
        </w:tc>
        <w:tc>
          <w:tcPr>
            <w:tcW w:w="0" w:type="auto"/>
            <w:tcBorders>
              <w:bottom w:val="single" w:sz="4" w:space="0" w:color="auto"/>
            </w:tcBorders>
          </w:tcPr>
          <w:p w:rsidR="0099273A" w:rsidRPr="0021129F" w:rsidRDefault="0099273A" w:rsidP="0083662D">
            <w:pPr>
              <w:rPr>
                <w:sz w:val="18"/>
              </w:rPr>
            </w:pPr>
            <w:r w:rsidRPr="0021129F">
              <w:rPr>
                <w:sz w:val="18"/>
              </w:rPr>
              <w:t>Quality of Evidence</w:t>
            </w:r>
          </w:p>
        </w:tc>
        <w:tc>
          <w:tcPr>
            <w:tcW w:w="0" w:type="auto"/>
            <w:tcBorders>
              <w:bottom w:val="single" w:sz="4" w:space="0" w:color="auto"/>
            </w:tcBorders>
          </w:tcPr>
          <w:p w:rsidR="0099273A" w:rsidRPr="0021129F" w:rsidRDefault="0099273A" w:rsidP="0083662D">
            <w:pPr>
              <w:rPr>
                <w:sz w:val="18"/>
              </w:rPr>
            </w:pPr>
            <w:r w:rsidRPr="0021129F">
              <w:rPr>
                <w:sz w:val="18"/>
              </w:rPr>
              <w:t>Meaning</w:t>
            </w:r>
          </w:p>
        </w:tc>
      </w:tr>
      <w:tr w:rsidR="0099273A" w:rsidRPr="0021129F" w:rsidTr="00BA1377">
        <w:tc>
          <w:tcPr>
            <w:tcW w:w="0" w:type="auto"/>
            <w:tcBorders>
              <w:top w:val="single" w:sz="4" w:space="0" w:color="auto"/>
            </w:tcBorders>
          </w:tcPr>
          <w:p w:rsidR="0099273A" w:rsidRPr="0021129F" w:rsidRDefault="0099273A" w:rsidP="0083662D">
            <w:pPr>
              <w:rPr>
                <w:sz w:val="18"/>
              </w:rPr>
            </w:pPr>
            <w:r w:rsidRPr="0021129F">
              <w:rPr>
                <w:sz w:val="18"/>
              </w:rPr>
              <w:t>A</w:t>
            </w:r>
          </w:p>
        </w:tc>
        <w:tc>
          <w:tcPr>
            <w:tcW w:w="0" w:type="auto"/>
            <w:tcBorders>
              <w:top w:val="single" w:sz="4" w:space="0" w:color="auto"/>
            </w:tcBorders>
          </w:tcPr>
          <w:p w:rsidR="0099273A" w:rsidRPr="0021129F" w:rsidRDefault="0099273A" w:rsidP="0083662D">
            <w:pPr>
              <w:rPr>
                <w:sz w:val="18"/>
              </w:rPr>
            </w:pPr>
            <w:r w:rsidRPr="0021129F">
              <w:rPr>
                <w:sz w:val="18"/>
              </w:rPr>
              <w:t>High</w:t>
            </w:r>
          </w:p>
        </w:tc>
        <w:tc>
          <w:tcPr>
            <w:tcW w:w="0" w:type="auto"/>
            <w:tcBorders>
              <w:top w:val="single" w:sz="4" w:space="0" w:color="auto"/>
            </w:tcBorders>
          </w:tcPr>
          <w:p w:rsidR="0099273A" w:rsidRPr="0021129F" w:rsidRDefault="0099273A" w:rsidP="0083662D">
            <w:pPr>
              <w:rPr>
                <w:sz w:val="18"/>
              </w:rPr>
            </w:pPr>
            <w:r w:rsidRPr="0021129F">
              <w:rPr>
                <w:sz w:val="18"/>
              </w:rPr>
              <w:t xml:space="preserve">We are confident that the true effect lies close to the estimate of that effect. </w:t>
            </w:r>
          </w:p>
        </w:tc>
      </w:tr>
      <w:tr w:rsidR="0099273A" w:rsidRPr="0021129F" w:rsidTr="00BA1377">
        <w:tc>
          <w:tcPr>
            <w:tcW w:w="0" w:type="auto"/>
          </w:tcPr>
          <w:p w:rsidR="0099273A" w:rsidRPr="0021129F" w:rsidRDefault="0099273A" w:rsidP="0083662D">
            <w:pPr>
              <w:rPr>
                <w:sz w:val="18"/>
              </w:rPr>
            </w:pPr>
            <w:r w:rsidRPr="0021129F">
              <w:rPr>
                <w:sz w:val="18"/>
              </w:rPr>
              <w:lastRenderedPageBreak/>
              <w:t>B</w:t>
            </w:r>
          </w:p>
        </w:tc>
        <w:tc>
          <w:tcPr>
            <w:tcW w:w="0" w:type="auto"/>
          </w:tcPr>
          <w:p w:rsidR="0099273A" w:rsidRPr="0021129F" w:rsidRDefault="0099273A" w:rsidP="0083662D">
            <w:pPr>
              <w:rPr>
                <w:sz w:val="18"/>
              </w:rPr>
            </w:pPr>
            <w:r w:rsidRPr="0021129F">
              <w:rPr>
                <w:sz w:val="18"/>
              </w:rPr>
              <w:t>Moderate</w:t>
            </w:r>
          </w:p>
        </w:tc>
        <w:tc>
          <w:tcPr>
            <w:tcW w:w="0" w:type="auto"/>
          </w:tcPr>
          <w:p w:rsidR="0099273A" w:rsidRPr="0021129F" w:rsidRDefault="0099273A" w:rsidP="0083662D">
            <w:pPr>
              <w:rPr>
                <w:sz w:val="18"/>
              </w:rPr>
            </w:pPr>
            <w:r w:rsidRPr="0021129F">
              <w:rPr>
                <w:sz w:val="18"/>
              </w:rPr>
              <w:t>The true effect is likely to be close to the estimate of the effect, but there is a possibility that it is substantially different.</w:t>
            </w:r>
          </w:p>
        </w:tc>
      </w:tr>
      <w:tr w:rsidR="0099273A" w:rsidRPr="0021129F" w:rsidTr="00BA1377">
        <w:tc>
          <w:tcPr>
            <w:tcW w:w="0" w:type="auto"/>
          </w:tcPr>
          <w:p w:rsidR="0099273A" w:rsidRPr="0021129F" w:rsidRDefault="0099273A" w:rsidP="0083662D">
            <w:pPr>
              <w:rPr>
                <w:sz w:val="18"/>
              </w:rPr>
            </w:pPr>
            <w:r w:rsidRPr="0021129F">
              <w:rPr>
                <w:sz w:val="18"/>
              </w:rPr>
              <w:t>C</w:t>
            </w:r>
          </w:p>
        </w:tc>
        <w:tc>
          <w:tcPr>
            <w:tcW w:w="0" w:type="auto"/>
          </w:tcPr>
          <w:p w:rsidR="0099273A" w:rsidRPr="0021129F" w:rsidRDefault="0099273A" w:rsidP="0083662D">
            <w:pPr>
              <w:rPr>
                <w:sz w:val="18"/>
              </w:rPr>
            </w:pPr>
            <w:r w:rsidRPr="0021129F">
              <w:rPr>
                <w:sz w:val="18"/>
              </w:rPr>
              <w:t>Low</w:t>
            </w:r>
          </w:p>
        </w:tc>
        <w:tc>
          <w:tcPr>
            <w:tcW w:w="0" w:type="auto"/>
          </w:tcPr>
          <w:p w:rsidR="0099273A" w:rsidRPr="0021129F" w:rsidRDefault="0099273A" w:rsidP="0083662D">
            <w:pPr>
              <w:rPr>
                <w:sz w:val="18"/>
              </w:rPr>
            </w:pPr>
            <w:r w:rsidRPr="0021129F">
              <w:rPr>
                <w:sz w:val="18"/>
              </w:rPr>
              <w:t>The true effect may be substantially different from the estimate of the effect.</w:t>
            </w:r>
          </w:p>
        </w:tc>
      </w:tr>
      <w:tr w:rsidR="0099273A" w:rsidRPr="0021129F" w:rsidTr="00BA1377">
        <w:tc>
          <w:tcPr>
            <w:tcW w:w="0" w:type="auto"/>
          </w:tcPr>
          <w:p w:rsidR="0099273A" w:rsidRPr="0021129F" w:rsidRDefault="0099273A" w:rsidP="0083662D">
            <w:pPr>
              <w:rPr>
                <w:sz w:val="18"/>
              </w:rPr>
            </w:pPr>
            <w:r w:rsidRPr="0021129F">
              <w:rPr>
                <w:sz w:val="18"/>
              </w:rPr>
              <w:t>D</w:t>
            </w:r>
          </w:p>
        </w:tc>
        <w:tc>
          <w:tcPr>
            <w:tcW w:w="0" w:type="auto"/>
          </w:tcPr>
          <w:p w:rsidR="0099273A" w:rsidRPr="0021129F" w:rsidRDefault="0099273A" w:rsidP="0083662D">
            <w:pPr>
              <w:rPr>
                <w:sz w:val="18"/>
              </w:rPr>
            </w:pPr>
            <w:r w:rsidRPr="0021129F">
              <w:rPr>
                <w:sz w:val="18"/>
              </w:rPr>
              <w:t>Very Low</w:t>
            </w:r>
          </w:p>
        </w:tc>
        <w:tc>
          <w:tcPr>
            <w:tcW w:w="0" w:type="auto"/>
          </w:tcPr>
          <w:p w:rsidR="0099273A" w:rsidRPr="0021129F" w:rsidRDefault="0099273A" w:rsidP="0083662D">
            <w:pPr>
              <w:rPr>
                <w:sz w:val="18"/>
              </w:rPr>
            </w:pPr>
            <w:r w:rsidRPr="0021129F">
              <w:rPr>
                <w:sz w:val="18"/>
              </w:rPr>
              <w:t>The estimate of the effect is very uncertain, and often will be far from the truth.</w:t>
            </w:r>
          </w:p>
        </w:tc>
      </w:tr>
    </w:tbl>
    <w:p w:rsidR="0099273A" w:rsidRPr="003B1CC5" w:rsidRDefault="0099273A" w:rsidP="00265702">
      <w:pPr>
        <w:ind w:left="0" w:firstLine="0"/>
        <w:rPr>
          <w:b/>
        </w:rPr>
      </w:pPr>
    </w:p>
    <w:p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99273A" w:rsidRDefault="0099273A" w:rsidP="002E2177">
      <w:pPr>
        <w:ind w:left="432" w:hanging="432"/>
        <w:rPr>
          <w:b/>
          <w:color w:val="0000FF"/>
        </w:rPr>
      </w:pPr>
    </w:p>
    <w:p w:rsidR="0099273A" w:rsidRDefault="0099273A" w:rsidP="0099273A">
      <w:pPr>
        <w:ind w:left="0" w:firstLine="0"/>
      </w:pPr>
      <w:r w:rsidRPr="0099273A">
        <w:t xml:space="preserve">GRADE Working Group. Systems for grading the quality of evidence and the strength of recommendations II: a pilot study of a new system for grading the quality of evidence and the strength of recommendations. </w:t>
      </w:r>
      <w:proofErr w:type="gramStart"/>
      <w:r w:rsidRPr="0099273A">
        <w:t xml:space="preserve">BMC Health </w:t>
      </w:r>
      <w:proofErr w:type="spellStart"/>
      <w:r w:rsidRPr="0099273A">
        <w:t>Serv</w:t>
      </w:r>
      <w:proofErr w:type="spellEnd"/>
      <w:r w:rsidRPr="0099273A">
        <w:t xml:space="preserve"> Res 2005 2005; 5: 25.</w:t>
      </w:r>
      <w:proofErr w:type="gramEnd"/>
    </w:p>
    <w:p w:rsidR="0099273A" w:rsidRPr="0099273A" w:rsidRDefault="0099273A" w:rsidP="0099273A">
      <w:pPr>
        <w:ind w:left="0" w:firstLine="0"/>
      </w:pPr>
    </w:p>
    <w:p w:rsidR="0099273A" w:rsidRPr="0099273A" w:rsidRDefault="0099273A" w:rsidP="0099273A">
      <w:pPr>
        <w:ind w:left="0" w:firstLine="0"/>
      </w:pPr>
      <w:proofErr w:type="spellStart"/>
      <w:r w:rsidRPr="0099273A">
        <w:t>Uhlig</w:t>
      </w:r>
      <w:proofErr w:type="spellEnd"/>
      <w:r w:rsidRPr="0099273A">
        <w:t xml:space="preserve"> K, Macleod A, Craig J et al. Grading evidence and recommendations for clinical practice guidelines in nephrology. </w:t>
      </w:r>
      <w:proofErr w:type="gramStart"/>
      <w:r w:rsidRPr="0099273A">
        <w:t>A position statement from Kidney Disease Improving Global outcomes (KDIGO).</w:t>
      </w:r>
      <w:proofErr w:type="gramEnd"/>
      <w:r w:rsidRPr="0099273A">
        <w:t xml:space="preserve"> Kidney </w:t>
      </w:r>
      <w:proofErr w:type="spellStart"/>
      <w:r w:rsidRPr="0099273A">
        <w:t>Int</w:t>
      </w:r>
      <w:proofErr w:type="spellEnd"/>
      <w:r w:rsidRPr="0099273A">
        <w:t xml:space="preserve"> 2006</w:t>
      </w:r>
      <w:proofErr w:type="gramStart"/>
      <w:r w:rsidRPr="0099273A">
        <w:t>;70:2058</w:t>
      </w:r>
      <w:proofErr w:type="gramEnd"/>
      <w:r w:rsidRPr="0099273A">
        <w:t>-2065</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3436F6"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3436F6"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99273A">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99273A" w:rsidP="00307FA5">
      <w:pPr>
        <w:ind w:left="0" w:firstLine="0"/>
      </w:pPr>
      <w:r>
        <w:t>N/A</w:t>
      </w: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Default="00307FA5" w:rsidP="00307FA5">
      <w:pPr>
        <w:ind w:left="0" w:firstLine="0"/>
      </w:pPr>
    </w:p>
    <w:p w:rsidR="0099273A" w:rsidRPr="003B1CC5" w:rsidRDefault="0099273A" w:rsidP="0099273A">
      <w:pPr>
        <w:ind w:left="0" w:firstLine="0"/>
      </w:pPr>
      <w:r>
        <w:t>N/A</w:t>
      </w:r>
    </w:p>
    <w:p w:rsidR="0099273A" w:rsidRPr="003B1CC5" w:rsidRDefault="0099273A" w:rsidP="00307FA5">
      <w:pPr>
        <w:ind w:left="0" w:firstLine="0"/>
      </w:pPr>
    </w:p>
    <w:p w:rsidR="00307FA5" w:rsidRPr="003B1CC5" w:rsidRDefault="00307FA5" w:rsidP="00307FA5">
      <w:pPr>
        <w:ind w:left="0" w:firstLine="0"/>
      </w:pPr>
    </w:p>
    <w:p w:rsidR="008A45F3"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99273A" w:rsidRDefault="0099273A" w:rsidP="00307FA5">
      <w:pPr>
        <w:ind w:left="0" w:firstLine="0"/>
      </w:pPr>
    </w:p>
    <w:p w:rsidR="0099273A" w:rsidRPr="003B1CC5" w:rsidRDefault="0099273A" w:rsidP="0099273A">
      <w:pPr>
        <w:ind w:left="0" w:firstLine="0"/>
      </w:pPr>
      <w:r>
        <w:t>N/A</w:t>
      </w:r>
    </w:p>
    <w:p w:rsidR="008A45F3" w:rsidRPr="003B1CC5" w:rsidRDefault="008A45F3" w:rsidP="00307FA5">
      <w:pPr>
        <w:ind w:left="0" w:firstLine="0"/>
      </w:pPr>
    </w:p>
    <w:p w:rsidR="00307FA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99273A" w:rsidRDefault="0099273A" w:rsidP="00307FA5">
      <w:pPr>
        <w:ind w:left="0" w:firstLine="0"/>
      </w:pPr>
    </w:p>
    <w:p w:rsidR="0099273A" w:rsidRPr="003B1CC5" w:rsidRDefault="0099273A" w:rsidP="0099273A">
      <w:pPr>
        <w:ind w:left="0" w:firstLine="0"/>
      </w:pPr>
      <w:r>
        <w:t>N/A</w:t>
      </w:r>
    </w:p>
    <w:p w:rsidR="00307FA5" w:rsidRPr="003B1CC5" w:rsidRDefault="00307FA5" w:rsidP="00307FA5">
      <w:pPr>
        <w:ind w:left="0" w:firstLine="0"/>
        <w:rPr>
          <w:b/>
          <w:color w:val="0000FF"/>
        </w:rPr>
      </w:pPr>
    </w:p>
    <w:p w:rsidR="0099273A" w:rsidRDefault="008A45F3" w:rsidP="0099273A">
      <w:pPr>
        <w:ind w:left="0" w:firstLine="0"/>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99273A" w:rsidRDefault="0099273A" w:rsidP="0099273A">
      <w:pPr>
        <w:ind w:left="0" w:firstLine="0"/>
        <w:rPr>
          <w:b/>
        </w:rPr>
      </w:pPr>
    </w:p>
    <w:p w:rsidR="0099273A" w:rsidRPr="003B1CC5" w:rsidRDefault="0099273A" w:rsidP="0099273A">
      <w:pPr>
        <w:ind w:left="0" w:firstLine="0"/>
      </w:pPr>
      <w:r w:rsidRPr="0099273A">
        <w:t xml:space="preserve"> </w:t>
      </w:r>
      <w:r>
        <w:t>N/A</w:t>
      </w: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lastRenderedPageBreak/>
        <w:t xml:space="preserve"> </w:t>
      </w:r>
    </w:p>
    <w:p w:rsidR="0099273A" w:rsidRPr="003B1CC5" w:rsidRDefault="0099273A" w:rsidP="0099273A">
      <w:pPr>
        <w:ind w:left="0" w:firstLine="0"/>
      </w:pPr>
      <w:r>
        <w:t>N/A</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99273A" w:rsidRPr="003B1CC5" w:rsidRDefault="0099273A" w:rsidP="0099273A">
      <w:pPr>
        <w:ind w:left="0" w:firstLine="0"/>
      </w:pPr>
      <w:r>
        <w:t>N/A</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99273A" w:rsidRDefault="0099273A" w:rsidP="00EE5AF6">
      <w:pPr>
        <w:ind w:left="0" w:firstLine="0"/>
      </w:pPr>
    </w:p>
    <w:p w:rsidR="0099273A" w:rsidRPr="003B1CC5" w:rsidRDefault="0099273A" w:rsidP="0099273A">
      <w:pPr>
        <w:ind w:left="0" w:firstLine="0"/>
      </w:pPr>
      <w:r>
        <w:t>N/A</w:t>
      </w:r>
    </w:p>
    <w:p w:rsidR="0099273A" w:rsidRPr="003B1CC5" w:rsidRDefault="0099273A" w:rsidP="00EE5AF6">
      <w:pPr>
        <w:ind w:left="0" w:firstLine="0"/>
      </w:pP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99273A" w:rsidRPr="003B1CC5" w:rsidRDefault="0099273A" w:rsidP="0099273A">
      <w:pPr>
        <w:ind w:left="0" w:firstLine="0"/>
      </w:pPr>
      <w:r>
        <w:t>N/A</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99273A" w:rsidRPr="003B1CC5" w:rsidRDefault="0099273A" w:rsidP="0099273A">
      <w:pPr>
        <w:ind w:left="0" w:firstLine="0"/>
      </w:pPr>
      <w:r>
        <w:t>N/A</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99273A" w:rsidRPr="003B1CC5" w:rsidRDefault="0099273A" w:rsidP="0099273A">
      <w:pPr>
        <w:ind w:left="0" w:firstLine="0"/>
      </w:pPr>
      <w:r>
        <w:t>N/A</w:t>
      </w:r>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99273A" w:rsidRPr="003B1CC5" w:rsidRDefault="0099273A" w:rsidP="0099273A">
      <w:pPr>
        <w:ind w:left="0" w:firstLine="0"/>
      </w:pPr>
      <w:r>
        <w:t>N/A</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99273A" w:rsidRPr="003B1CC5" w:rsidRDefault="0099273A" w:rsidP="0099273A">
      <w:pPr>
        <w:ind w:left="0" w:firstLine="0"/>
      </w:pPr>
      <w:r>
        <w:t>N/A</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99273A" w:rsidRPr="003B1CC5" w:rsidRDefault="0099273A" w:rsidP="0099273A">
      <w:pPr>
        <w:ind w:left="0" w:firstLine="0"/>
      </w:pPr>
      <w:r>
        <w:lastRenderedPageBreak/>
        <w:t>N/A</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99273A" w:rsidRPr="003B1CC5" w:rsidRDefault="0099273A" w:rsidP="0099273A">
      <w:pPr>
        <w:ind w:left="0" w:firstLine="0"/>
      </w:pPr>
      <w:r>
        <w:t>N/A</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99273A" w:rsidRPr="003B1CC5" w:rsidRDefault="0099273A" w:rsidP="0099273A">
      <w:pPr>
        <w:ind w:left="0" w:firstLine="0"/>
      </w:pPr>
      <w:r>
        <w:t>N/A</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99273A" w:rsidRPr="003B1CC5" w:rsidRDefault="0099273A" w:rsidP="002E2177">
      <w:pPr>
        <w:ind w:left="0" w:firstLine="0"/>
      </w:pPr>
      <w:r w:rsidRPr="0099273A">
        <w:t>The 2013 Clinical TEP reviewed a suite of articles related to transfusions in ESRD patients.</w:t>
      </w:r>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proofErr w:type="spellStart"/>
      <w:r w:rsidRPr="0099273A">
        <w:rPr>
          <w:rFonts w:cs="Calibri"/>
          <w:szCs w:val="20"/>
        </w:rPr>
        <w:t>Hollenbeak</w:t>
      </w:r>
      <w:proofErr w:type="spellEnd"/>
      <w:r w:rsidRPr="0099273A">
        <w:rPr>
          <w:rFonts w:cs="Calibri"/>
          <w:szCs w:val="20"/>
        </w:rPr>
        <w:t xml:space="preserve"> </w:t>
      </w:r>
      <w:proofErr w:type="gramStart"/>
      <w:r w:rsidRPr="0099273A">
        <w:rPr>
          <w:rFonts w:cs="Calibri"/>
          <w:szCs w:val="20"/>
        </w:rPr>
        <w:t>et</w:t>
      </w:r>
      <w:proofErr w:type="gramEnd"/>
      <w:r w:rsidRPr="0099273A">
        <w:rPr>
          <w:rFonts w:cs="Calibri"/>
          <w:szCs w:val="20"/>
        </w:rPr>
        <w:t xml:space="preserve">. </w:t>
      </w:r>
      <w:proofErr w:type="gramStart"/>
      <w:r w:rsidRPr="0099273A">
        <w:rPr>
          <w:rFonts w:cs="Calibri"/>
          <w:szCs w:val="20"/>
        </w:rPr>
        <w:t>al</w:t>
      </w:r>
      <w:proofErr w:type="gramEnd"/>
      <w:r w:rsidRPr="0099273A">
        <w:rPr>
          <w:rFonts w:cs="Calibri"/>
          <w:szCs w:val="20"/>
        </w:rPr>
        <w:t xml:space="preserve">. The Impact of End-Stage Renal Disease Transfusion Demand on Blood Utilization and Blood Supply in the United States Health Outcomes Research in Medicine Volume 3, Issue 2, May 2012, Pages e67–e77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Liu </w:t>
      </w:r>
      <w:proofErr w:type="gramStart"/>
      <w:r w:rsidRPr="0099273A">
        <w:rPr>
          <w:rFonts w:cs="Calibri"/>
          <w:szCs w:val="20"/>
        </w:rPr>
        <w:t>et</w:t>
      </w:r>
      <w:proofErr w:type="gramEnd"/>
      <w:r w:rsidRPr="0099273A">
        <w:rPr>
          <w:rFonts w:cs="Calibri"/>
          <w:szCs w:val="20"/>
        </w:rPr>
        <w:t xml:space="preserve">. al. Development of a Facility-Level Transfusion Quality of Care Metric, 2012 American Society of Nephrology Annual Kidney Week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Ibrahim HN, </w:t>
      </w:r>
      <w:proofErr w:type="gramStart"/>
      <w:r w:rsidRPr="0099273A">
        <w:rPr>
          <w:rFonts w:cs="Calibri"/>
          <w:szCs w:val="20"/>
        </w:rPr>
        <w:t>et</w:t>
      </w:r>
      <w:proofErr w:type="gramEnd"/>
      <w:r w:rsidRPr="0099273A">
        <w:rPr>
          <w:rFonts w:cs="Calibri"/>
          <w:szCs w:val="20"/>
        </w:rPr>
        <w:t xml:space="preserve">. </w:t>
      </w:r>
      <w:proofErr w:type="gramStart"/>
      <w:r w:rsidRPr="0099273A">
        <w:rPr>
          <w:rFonts w:cs="Calibri"/>
          <w:szCs w:val="20"/>
        </w:rPr>
        <w:t>al</w:t>
      </w:r>
      <w:proofErr w:type="gramEnd"/>
      <w:r w:rsidRPr="0099273A">
        <w:rPr>
          <w:rFonts w:cs="Calibri"/>
          <w:szCs w:val="20"/>
        </w:rPr>
        <w:t xml:space="preserve">. Temporal Trends in red blood transfusion among US dialysis patients, 1992-2005. Am J Kidney Dis 2008: 52: 1115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U.S. Renal Data System, USRDS 2013 Annual Data Report: Atlas of End-Stage Renal Disease in the United States, National Institutes of Health, National Institute of Diabetes and Digestive and Kidney Diseases, Bethesda, MD, 2013.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FDA Drug Safety Communication: Modified dosing recommendations to improve the safe use of Erythropoiesis-Stimulating Agents (ESAs) in chronic kidney disease. http://www.fda.gov/Drugs/DrugSafety/ucm259639.htm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Highlights of prescribing information: </w:t>
      </w:r>
      <w:proofErr w:type="spellStart"/>
      <w:r w:rsidRPr="0099273A">
        <w:rPr>
          <w:rFonts w:cs="Calibri"/>
          <w:szCs w:val="20"/>
        </w:rPr>
        <w:t>Epogen</w:t>
      </w:r>
      <w:proofErr w:type="spellEnd"/>
      <w:r w:rsidRPr="0099273A">
        <w:rPr>
          <w:rFonts w:cs="Calibri"/>
          <w:szCs w:val="20"/>
        </w:rPr>
        <w:t xml:space="preserve"> (</w:t>
      </w:r>
      <w:proofErr w:type="spellStart"/>
      <w:r w:rsidRPr="0099273A">
        <w:rPr>
          <w:rFonts w:cs="Calibri"/>
          <w:szCs w:val="20"/>
        </w:rPr>
        <w:t>epoetin</w:t>
      </w:r>
      <w:proofErr w:type="spellEnd"/>
      <w:r w:rsidRPr="0099273A">
        <w:rPr>
          <w:rFonts w:cs="Calibri"/>
          <w:szCs w:val="20"/>
        </w:rPr>
        <w:t xml:space="preserve"> </w:t>
      </w:r>
      <w:proofErr w:type="spellStart"/>
      <w:r w:rsidRPr="0099273A">
        <w:rPr>
          <w:rFonts w:cs="Calibri"/>
          <w:szCs w:val="20"/>
        </w:rPr>
        <w:t>alfa</w:t>
      </w:r>
      <w:proofErr w:type="spellEnd"/>
      <w:r w:rsidRPr="0099273A">
        <w:rPr>
          <w:rFonts w:cs="Calibri"/>
          <w:szCs w:val="20"/>
        </w:rPr>
        <w:t xml:space="preserve">) http://www.accessdata.fda.gov/drugsatfda_docs/label/2011/103234Orig1s5166_103234Orig1s5266lbl.pdf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Highlights of prescribing information: </w:t>
      </w:r>
      <w:proofErr w:type="spellStart"/>
      <w:r w:rsidRPr="0099273A">
        <w:rPr>
          <w:rFonts w:cs="Calibri"/>
          <w:szCs w:val="20"/>
        </w:rPr>
        <w:t>Aranesp</w:t>
      </w:r>
      <w:proofErr w:type="spellEnd"/>
      <w:r w:rsidRPr="0099273A">
        <w:rPr>
          <w:rFonts w:cs="Calibri"/>
          <w:szCs w:val="20"/>
        </w:rPr>
        <w:t xml:space="preserve"> (</w:t>
      </w:r>
      <w:proofErr w:type="spellStart"/>
      <w:r w:rsidRPr="0099273A">
        <w:rPr>
          <w:rFonts w:cs="Calibri"/>
          <w:szCs w:val="20"/>
        </w:rPr>
        <w:t>darbepoetin</w:t>
      </w:r>
      <w:proofErr w:type="spellEnd"/>
      <w:r w:rsidRPr="0099273A">
        <w:rPr>
          <w:rFonts w:cs="Calibri"/>
          <w:szCs w:val="20"/>
        </w:rPr>
        <w:t xml:space="preserve"> </w:t>
      </w:r>
      <w:proofErr w:type="spellStart"/>
      <w:r w:rsidRPr="0099273A">
        <w:rPr>
          <w:rFonts w:cs="Calibri"/>
          <w:szCs w:val="20"/>
        </w:rPr>
        <w:t>alfa</w:t>
      </w:r>
      <w:proofErr w:type="spellEnd"/>
      <w:r w:rsidRPr="0099273A">
        <w:rPr>
          <w:rFonts w:cs="Calibri"/>
          <w:szCs w:val="20"/>
        </w:rPr>
        <w:t xml:space="preserve">) http://www.accessdata.fda.gov/drugsatfda_docs/label/2011/103951Orig1s5173_103951Orig1s5258lbl.pdf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Kidney Disease: Improving Global Outcomes (KDIGO) Anemia Work Group. KDIGO Clinical Practice Guideline for Anemia in Chronic Kidney Disease. Kidney inter., Suppl. 2012; 2: 279–335.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proofErr w:type="spellStart"/>
      <w:r w:rsidRPr="0099273A">
        <w:rPr>
          <w:rFonts w:cs="Calibri"/>
          <w:szCs w:val="20"/>
        </w:rPr>
        <w:t>Besarab</w:t>
      </w:r>
      <w:proofErr w:type="spellEnd"/>
      <w:r w:rsidRPr="0099273A">
        <w:rPr>
          <w:rFonts w:cs="Calibri"/>
          <w:szCs w:val="20"/>
        </w:rPr>
        <w:t xml:space="preserve"> A, Bolton WK, Browne JK, et al. "The effects of normal as compared with low hematocrit values in patients with cardiac disease who are receiving hemodialysis and </w:t>
      </w:r>
      <w:proofErr w:type="spellStart"/>
      <w:r w:rsidRPr="0099273A">
        <w:rPr>
          <w:rFonts w:cs="Calibri"/>
          <w:szCs w:val="20"/>
        </w:rPr>
        <w:t>epoetin</w:t>
      </w:r>
      <w:proofErr w:type="spellEnd"/>
      <w:r w:rsidRPr="0099273A">
        <w:rPr>
          <w:rFonts w:cs="Calibri"/>
          <w:szCs w:val="20"/>
        </w:rPr>
        <w:t xml:space="preserve">." The New England journal of medicine (1998) 339:584-90. PMID: 9718377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proofErr w:type="spellStart"/>
      <w:r w:rsidRPr="0099273A">
        <w:rPr>
          <w:rFonts w:cs="Calibri"/>
          <w:szCs w:val="20"/>
        </w:rPr>
        <w:lastRenderedPageBreak/>
        <w:t>Drüeke</w:t>
      </w:r>
      <w:proofErr w:type="spellEnd"/>
      <w:r w:rsidRPr="0099273A">
        <w:rPr>
          <w:rFonts w:cs="Calibri"/>
          <w:szCs w:val="20"/>
        </w:rPr>
        <w:t xml:space="preserve"> TB, Locatelli F, </w:t>
      </w:r>
      <w:proofErr w:type="spellStart"/>
      <w:r w:rsidRPr="0099273A">
        <w:rPr>
          <w:rFonts w:cs="Calibri"/>
          <w:szCs w:val="20"/>
        </w:rPr>
        <w:t>Clyne</w:t>
      </w:r>
      <w:proofErr w:type="spellEnd"/>
      <w:r w:rsidRPr="0099273A">
        <w:rPr>
          <w:rFonts w:cs="Calibri"/>
          <w:szCs w:val="20"/>
        </w:rPr>
        <w:t xml:space="preserve"> N, et al. "Normalization of hemoglobin level in patients with chronic kidney disease and anemia." The New England journal of medicine (2006) 355:2071-84. PMID: 17108342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Foley RN, Curtis BM, </w:t>
      </w:r>
      <w:proofErr w:type="spellStart"/>
      <w:r w:rsidRPr="0099273A">
        <w:rPr>
          <w:rFonts w:cs="Calibri"/>
          <w:szCs w:val="20"/>
        </w:rPr>
        <w:t>Parfrey</w:t>
      </w:r>
      <w:proofErr w:type="spellEnd"/>
      <w:r w:rsidRPr="0099273A">
        <w:rPr>
          <w:rFonts w:cs="Calibri"/>
          <w:szCs w:val="20"/>
        </w:rPr>
        <w:t xml:space="preserve"> PS. "Hemoglobin targets and blood transfusions in hemodialysis patients without symptomatic cardiac disease receiving erythropoietin therapy." Clinical journal of the American Society of </w:t>
      </w:r>
      <w:proofErr w:type="gramStart"/>
      <w:r w:rsidRPr="0099273A">
        <w:rPr>
          <w:rFonts w:cs="Calibri"/>
          <w:szCs w:val="20"/>
        </w:rPr>
        <w:t>Nephrology :</w:t>
      </w:r>
      <w:proofErr w:type="gramEnd"/>
      <w:r w:rsidRPr="0099273A">
        <w:rPr>
          <w:rFonts w:cs="Calibri"/>
          <w:szCs w:val="20"/>
        </w:rPr>
        <w:t xml:space="preserve"> CJASN (2008) 3:1669-75. PMID: 18922988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Lawler EV, Bradbury BD, Fonda JR, et al. "Transfusion burden among patients with chronic kidney disease and anemia." Clinical journal of the American Society of </w:t>
      </w:r>
      <w:proofErr w:type="gramStart"/>
      <w:r w:rsidRPr="0099273A">
        <w:rPr>
          <w:rFonts w:cs="Calibri"/>
          <w:szCs w:val="20"/>
        </w:rPr>
        <w:t>Nephrology :</w:t>
      </w:r>
      <w:proofErr w:type="gramEnd"/>
      <w:r w:rsidRPr="0099273A">
        <w:rPr>
          <w:rFonts w:cs="Calibri"/>
          <w:szCs w:val="20"/>
        </w:rPr>
        <w:t xml:space="preserve"> CJASN (2010) 5:667-72. PMID: 20299366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Ma JZ, </w:t>
      </w:r>
      <w:proofErr w:type="spellStart"/>
      <w:r w:rsidRPr="0099273A">
        <w:rPr>
          <w:rFonts w:cs="Calibri"/>
          <w:szCs w:val="20"/>
        </w:rPr>
        <w:t>Ebben</w:t>
      </w:r>
      <w:proofErr w:type="spellEnd"/>
      <w:r w:rsidRPr="0099273A">
        <w:rPr>
          <w:rFonts w:cs="Calibri"/>
          <w:szCs w:val="20"/>
        </w:rPr>
        <w:t xml:space="preserve"> J, Xia H, et al. "Hematocrit level and associated mortality in hemodialysis patients." Journal of the American Society of </w:t>
      </w:r>
      <w:proofErr w:type="gramStart"/>
      <w:r w:rsidRPr="0099273A">
        <w:rPr>
          <w:rFonts w:cs="Calibri"/>
          <w:szCs w:val="20"/>
        </w:rPr>
        <w:t>Nephrology :</w:t>
      </w:r>
      <w:proofErr w:type="gramEnd"/>
      <w:r w:rsidRPr="0099273A">
        <w:rPr>
          <w:rFonts w:cs="Calibri"/>
          <w:szCs w:val="20"/>
        </w:rPr>
        <w:t xml:space="preserve"> JASN (1999) 10:610-9. PMID: 10073612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proofErr w:type="spellStart"/>
      <w:r w:rsidRPr="0099273A">
        <w:rPr>
          <w:rFonts w:cs="Calibri"/>
          <w:szCs w:val="20"/>
        </w:rPr>
        <w:t>Pfeffer</w:t>
      </w:r>
      <w:proofErr w:type="spellEnd"/>
      <w:r w:rsidRPr="0099273A">
        <w:rPr>
          <w:rFonts w:cs="Calibri"/>
          <w:szCs w:val="20"/>
        </w:rPr>
        <w:t xml:space="preserve"> MA, </w:t>
      </w:r>
      <w:proofErr w:type="spellStart"/>
      <w:r w:rsidRPr="0099273A">
        <w:rPr>
          <w:rFonts w:cs="Calibri"/>
          <w:szCs w:val="20"/>
        </w:rPr>
        <w:t>Burdmann</w:t>
      </w:r>
      <w:proofErr w:type="spellEnd"/>
      <w:r w:rsidRPr="0099273A">
        <w:rPr>
          <w:rFonts w:cs="Calibri"/>
          <w:szCs w:val="20"/>
        </w:rPr>
        <w:t xml:space="preserve"> EA, Chen CY, et al. "A trial of </w:t>
      </w:r>
      <w:proofErr w:type="spellStart"/>
      <w:r w:rsidRPr="0099273A">
        <w:rPr>
          <w:rFonts w:cs="Calibri"/>
          <w:szCs w:val="20"/>
        </w:rPr>
        <w:t>darbepoetin</w:t>
      </w:r>
      <w:proofErr w:type="spellEnd"/>
      <w:r w:rsidRPr="0099273A">
        <w:rPr>
          <w:rFonts w:cs="Calibri"/>
          <w:szCs w:val="20"/>
        </w:rPr>
        <w:t xml:space="preserve"> </w:t>
      </w:r>
      <w:proofErr w:type="spellStart"/>
      <w:r w:rsidRPr="0099273A">
        <w:rPr>
          <w:rFonts w:cs="Calibri"/>
          <w:szCs w:val="20"/>
        </w:rPr>
        <w:t>alfa</w:t>
      </w:r>
      <w:proofErr w:type="spellEnd"/>
      <w:r w:rsidRPr="0099273A">
        <w:rPr>
          <w:rFonts w:cs="Calibri"/>
          <w:szCs w:val="20"/>
        </w:rPr>
        <w:t xml:space="preserve"> in type 2 diabetes and chronic kidney disease." The New England journal of medicine (2009) 361:2019-32. PMID: 19880844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Association between recombinant human erythropoietin and quality of life and exercise capacity of patients receiving </w:t>
      </w:r>
      <w:proofErr w:type="spellStart"/>
      <w:r w:rsidRPr="0099273A">
        <w:rPr>
          <w:rFonts w:cs="Calibri"/>
          <w:szCs w:val="20"/>
        </w:rPr>
        <w:t>haemodialysis</w:t>
      </w:r>
      <w:proofErr w:type="spellEnd"/>
      <w:r w:rsidRPr="0099273A">
        <w:rPr>
          <w:rFonts w:cs="Calibri"/>
          <w:szCs w:val="20"/>
        </w:rPr>
        <w:t xml:space="preserve">. Canadian Erythropoietin Study Group." BMJ (Clinical research </w:t>
      </w:r>
      <w:proofErr w:type="gramStart"/>
      <w:r w:rsidRPr="0099273A">
        <w:rPr>
          <w:rFonts w:cs="Calibri"/>
          <w:szCs w:val="20"/>
        </w:rPr>
        <w:t>ed</w:t>
      </w:r>
      <w:proofErr w:type="gramEnd"/>
      <w:r w:rsidRPr="0099273A">
        <w:rPr>
          <w:rFonts w:cs="Calibri"/>
          <w:szCs w:val="20"/>
        </w:rPr>
        <w:t xml:space="preserve">.) (1990) 300:573-8. PMID: 2108751 </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Wolfe, Robert, Ashby, Valarie, Milford, Edgar et al. Comparison of Mortality in all Patients on Dialysis, Patients on Dialysis Awaiting Transplantation, and Recipients of a First Cadaveric Transplant. The New England Journal of Medicine (1999) 341:1725-30.</w:t>
      </w:r>
    </w:p>
    <w:p w:rsidR="0099273A" w:rsidRPr="0099273A" w:rsidRDefault="0099273A" w:rsidP="0099273A">
      <w:pPr>
        <w:pStyle w:val="ListParagraph"/>
        <w:numPr>
          <w:ilvl w:val="0"/>
          <w:numId w:val="10"/>
        </w:numPr>
        <w:autoSpaceDE w:val="0"/>
        <w:autoSpaceDN w:val="0"/>
        <w:adjustRightInd w:val="0"/>
        <w:spacing w:after="0" w:line="240" w:lineRule="auto"/>
        <w:contextualSpacing w:val="0"/>
        <w:rPr>
          <w:rFonts w:cs="Calibri"/>
          <w:szCs w:val="20"/>
        </w:rPr>
      </w:pPr>
      <w:r w:rsidRPr="0099273A">
        <w:rPr>
          <w:rFonts w:cs="Calibri"/>
          <w:szCs w:val="20"/>
        </w:rPr>
        <w:t xml:space="preserve">Ibrahim HN, </w:t>
      </w:r>
      <w:proofErr w:type="spellStart"/>
      <w:r w:rsidRPr="0099273A">
        <w:rPr>
          <w:rFonts w:cs="Calibri"/>
          <w:szCs w:val="20"/>
        </w:rPr>
        <w:t>Skeans</w:t>
      </w:r>
      <w:proofErr w:type="spellEnd"/>
      <w:r w:rsidRPr="0099273A">
        <w:rPr>
          <w:rFonts w:cs="Calibri"/>
          <w:szCs w:val="20"/>
        </w:rPr>
        <w:t xml:space="preserve"> MA, Li Q, </w:t>
      </w:r>
      <w:proofErr w:type="spellStart"/>
      <w:r w:rsidRPr="0099273A">
        <w:rPr>
          <w:rFonts w:cs="Calibri"/>
          <w:szCs w:val="20"/>
        </w:rPr>
        <w:t>Ishani</w:t>
      </w:r>
      <w:proofErr w:type="spellEnd"/>
      <w:r w:rsidRPr="0099273A">
        <w:rPr>
          <w:rFonts w:cs="Calibri"/>
          <w:szCs w:val="20"/>
        </w:rPr>
        <w:t xml:space="preserve"> A, Snyder JJ. Blood transfusions in kidney transplant candidates are common and associated with adverse outcomes. </w:t>
      </w:r>
      <w:proofErr w:type="spellStart"/>
      <w:r w:rsidRPr="0099273A">
        <w:rPr>
          <w:rFonts w:cs="Calibri"/>
          <w:szCs w:val="20"/>
        </w:rPr>
        <w:t>Clin</w:t>
      </w:r>
      <w:proofErr w:type="spellEnd"/>
      <w:r w:rsidRPr="0099273A">
        <w:rPr>
          <w:rFonts w:cs="Calibri"/>
          <w:szCs w:val="20"/>
        </w:rPr>
        <w:t xml:space="preserve"> Transplant (2011) 25</w:t>
      </w:r>
      <w:proofErr w:type="gramStart"/>
      <w:r w:rsidRPr="0099273A">
        <w:rPr>
          <w:rFonts w:cs="Calibri"/>
          <w:szCs w:val="20"/>
        </w:rPr>
        <w:t>;653</w:t>
      </w:r>
      <w:proofErr w:type="gramEnd"/>
      <w:r w:rsidRPr="0099273A">
        <w:rPr>
          <w:rFonts w:cs="Calibri"/>
          <w:szCs w:val="20"/>
        </w:rPr>
        <w:t>-659.</w:t>
      </w:r>
    </w:p>
    <w:p w:rsidR="0099273A" w:rsidRPr="001B772D" w:rsidRDefault="0099273A" w:rsidP="002E2177">
      <w:pPr>
        <w:ind w:left="0" w:firstLine="0"/>
      </w:pPr>
    </w:p>
    <w:sectPr w:rsidR="0099273A" w:rsidRPr="001B772D">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436F6">
      <w:rPr>
        <w:noProof/>
      </w:rPr>
      <w:t>2</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22B10"/>
    <w:multiLevelType w:val="hybridMultilevel"/>
    <w:tmpl w:val="4BA2F240"/>
    <w:lvl w:ilvl="0" w:tplc="088EA852">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49E1709"/>
    <w:multiLevelType w:val="hybridMultilevel"/>
    <w:tmpl w:val="DE9486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4"/>
  </w:num>
  <w:num w:numId="6">
    <w:abstractNumId w:val="3"/>
  </w:num>
  <w:num w:numId="7">
    <w:abstractNumId w:val="8"/>
  </w:num>
  <w:num w:numId="8">
    <w:abstractNumId w:val="7"/>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7951"/>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436F6"/>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9273A"/>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A6402"/>
    <w:rsid w:val="00AC1E53"/>
    <w:rsid w:val="00AD79C8"/>
    <w:rsid w:val="00AE6CE0"/>
    <w:rsid w:val="00B058A6"/>
    <w:rsid w:val="00B117D0"/>
    <w:rsid w:val="00B13998"/>
    <w:rsid w:val="00B439DD"/>
    <w:rsid w:val="00B52E0F"/>
    <w:rsid w:val="00B74629"/>
    <w:rsid w:val="00B91F58"/>
    <w:rsid w:val="00BA1377"/>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0418"/>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99273A"/>
    <w:rPr>
      <w:rFonts w:eastAsiaTheme="minorEastAsia"/>
    </w:rPr>
  </w:style>
  <w:style w:type="table" w:customStyle="1" w:styleId="TableGrid1">
    <w:name w:val="Table Grid1"/>
    <w:basedOn w:val="TableNormal"/>
    <w:next w:val="TableGrid"/>
    <w:uiPriority w:val="59"/>
    <w:rsid w:val="00BA1377"/>
    <w:pPr>
      <w:ind w:left="0" w:firstLin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99273A"/>
    <w:rPr>
      <w:rFonts w:eastAsiaTheme="minorEastAsia"/>
    </w:rPr>
  </w:style>
  <w:style w:type="table" w:customStyle="1" w:styleId="TableGrid1">
    <w:name w:val="Table Grid1"/>
    <w:basedOn w:val="TableNormal"/>
    <w:next w:val="TableGrid"/>
    <w:uiPriority w:val="59"/>
    <w:rsid w:val="00BA1377"/>
    <w:pPr>
      <w:ind w:left="0" w:firstLin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www.kdigo.org/clinical_practice_guidelines/pdf/KDIGO-Anemia%20GL.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056C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4E434-7F59-478F-9889-8C8438FFF984}">
  <ds:schemaRefs>
    <ds:schemaRef ds:uri="http://purl.org/dc/elements/1.1/"/>
    <ds:schemaRef ds:uri="http://purl.org/dc/terms/"/>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9D3D600B-17C9-4FBB-9DAE-E657E23ED3D1}">
  <ds:schemaRefs>
    <ds:schemaRef ds:uri="http://schemas.microsoft.com/sharepoint/v3/contenttype/forms"/>
  </ds:schemaRefs>
</ds:datastoreItem>
</file>

<file path=customXml/itemProps3.xml><?xml version="1.0" encoding="utf-8"?>
<ds:datastoreItem xmlns:ds="http://schemas.openxmlformats.org/officeDocument/2006/customXml" ds:itemID="{0506DB60-83B1-4490-A295-4D855218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23F6E45-3271-4C94-8ED8-D6B053A9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3350</Words>
  <Characters>19099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Jennifer Sardone</cp:lastModifiedBy>
  <cp:revision>7</cp:revision>
  <cp:lastPrinted>2015-02-27T18:30:00Z</cp:lastPrinted>
  <dcterms:created xsi:type="dcterms:W3CDTF">2014-09-11T20:41:00Z</dcterms:created>
  <dcterms:modified xsi:type="dcterms:W3CDTF">2015-02-27T18:31:00Z</dcterms:modified>
</cp:coreProperties>
</file>