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rsidR="00496AF8" w:rsidRPr="008034B1"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8034B1" w:rsidRPr="00514E36">
            <w:rPr>
              <w:rStyle w:val="Style1"/>
            </w:rPr>
            <w:t>Ultrafiltration rate greater than 13 ml/kg/</w:t>
          </w:r>
          <w:proofErr w:type="spellStart"/>
          <w:r w:rsidR="008034B1" w:rsidRPr="00514E36">
            <w:rPr>
              <w:rStyle w:val="Style1"/>
            </w:rPr>
            <w:t>hr</w:t>
          </w:r>
          <w:proofErr w:type="spellEnd"/>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5-02-27T00:00:00Z">
            <w:dateFormat w:val="M/d/yyyy"/>
            <w:lid w:val="en-US"/>
            <w:storeMappedDataAs w:val="dateTime"/>
            <w:calendar w:val="gregorian"/>
          </w:date>
        </w:sdtPr>
        <w:sdtEndPr>
          <w:rPr>
            <w:rStyle w:val="DefaultParagraphFont"/>
            <w:noProof/>
            <w:color w:val="auto"/>
            <w:u w:val="none"/>
          </w:rPr>
        </w:sdtEndPr>
        <w:sdtContent>
          <w:r w:rsidR="00EB0A02">
            <w:rPr>
              <w:rStyle w:val="Style2"/>
            </w:rPr>
            <w:t>2/27/2015</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proofErr w:type="spellStart"/>
            <w:r w:rsidR="00A13867" w:rsidRPr="003B1CC5">
              <w:rPr>
                <w:rFonts w:cstheme="minorHAnsi"/>
              </w:rPr>
              <w:t>sub</w:t>
            </w:r>
            <w:r w:rsidR="008B652E" w:rsidRPr="003B1CC5">
              <w:rPr>
                <w:rFonts w:cstheme="minorHAnsi"/>
              </w:rPr>
              <w:t>criterion</w:t>
            </w:r>
            <w:proofErr w:type="spellEnd"/>
            <w:r w:rsidR="008B652E" w:rsidRPr="003B1CC5">
              <w:rPr>
                <w:rFonts w:cstheme="minorHAnsi"/>
              </w:rPr>
              <w:t xml:space="preserve">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xml:space="preserve">; minimum font size 11 </w:t>
            </w:r>
            <w:proofErr w:type="spellStart"/>
            <w:r w:rsidRPr="003B1CC5">
              <w:t>pt</w:t>
            </w:r>
            <w:proofErr w:type="spellEnd"/>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 xml:space="preserve">a rationale </w:t>
            </w:r>
            <w:proofErr w:type="gramStart"/>
            <w:r w:rsidRPr="003B1CC5">
              <w:rPr>
                <w:rFonts w:eastAsia="Calibri" w:cs="Calibri"/>
                <w:sz w:val="20"/>
                <w:szCs w:val="20"/>
              </w:rPr>
              <w:t>supports</w:t>
            </w:r>
            <w:proofErr w:type="gramEnd"/>
            <w:r w:rsidRPr="003B1CC5">
              <w:rPr>
                <w:rFonts w:eastAsia="Calibri" w:cs="Calibri"/>
                <w:sz w:val="20"/>
                <w:szCs w:val="20"/>
              </w:rPr>
              <w:t xml:space="preserve">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proofErr w:type="gramStart"/>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w:t>
            </w:r>
            <w:proofErr w:type="gramEnd"/>
            <w:r w:rsidRPr="003B1CC5">
              <w:rPr>
                <w:rFonts w:eastAsia="Calibri" w:cs="Calibri"/>
                <w:sz w:val="20"/>
                <w:szCs w:val="20"/>
              </w:rPr>
              <w:t xml:space="preserv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3"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4"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5"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6"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7"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E62203"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E62203"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p>
    <w:p w:rsidR="00496AF8" w:rsidRPr="003B1CC5" w:rsidRDefault="00E62203" w:rsidP="005857F8">
      <w:pPr>
        <w:ind w:left="720" w:hanging="432"/>
        <w:rPr>
          <w:bCs/>
        </w:rPr>
      </w:pPr>
      <w:sdt>
        <w:sdtPr>
          <w:rPr>
            <w:bCs/>
            <w:color w:val="0000FF"/>
          </w:rPr>
          <w:id w:val="1309518776"/>
          <w14:checkbox>
            <w14:checked w14:val="1"/>
            <w14:checkedState w14:val="2612" w14:font="MS Gothic"/>
            <w14:uncheckedState w14:val="2610" w14:font="MS Gothic"/>
          </w14:checkbox>
        </w:sdtPr>
        <w:sdtEndPr/>
        <w:sdtContent>
          <w:r w:rsidR="008034B1">
            <w:rPr>
              <w:rFonts w:ascii="MS Gothic" w:eastAsia="MS Gothic" w:hAnsi="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dtPr>
        <w:sdtEndPr>
          <w:rPr>
            <w:rStyle w:val="DefaultParagraphFont"/>
            <w:rFonts w:cstheme="minorBidi"/>
            <w:bCs/>
            <w:color w:val="auto"/>
            <w:u w:val="none"/>
          </w:rPr>
        </w:sdtEndPr>
        <w:sdtContent>
          <w:r w:rsidR="008034B1">
            <w:rPr>
              <w:rStyle w:val="Style2"/>
              <w:rFonts w:cstheme="minorHAnsi"/>
            </w:rPr>
            <w:t>ultrafiltration rate</w:t>
          </w:r>
        </w:sdtContent>
      </w:sdt>
    </w:p>
    <w:p w:rsidR="00496AF8" w:rsidRPr="003B1CC5" w:rsidRDefault="00E62203"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rsidR="00496AF8" w:rsidRPr="003B1CC5" w:rsidRDefault="00E62203"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E62203"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proofErr w:type="gramStart"/>
      <w:r w:rsidRPr="003B1CC5">
        <w:rPr>
          <w:b/>
          <w:bCs/>
        </w:rPr>
        <w:t xml:space="preserve">MEASURE </w:t>
      </w:r>
      <w:r w:rsidRPr="003B1CC5">
        <w:rPr>
          <w:bCs/>
        </w:rPr>
        <w:t xml:space="preserve"> </w:t>
      </w:r>
      <w:r w:rsidRPr="003B1CC5">
        <w:rPr>
          <w:bCs/>
          <w:i/>
          <w:highlight w:val="green"/>
        </w:rPr>
        <w:t>If</w:t>
      </w:r>
      <w:proofErr w:type="gramEnd"/>
      <w:r w:rsidRPr="003B1CC5">
        <w:rPr>
          <w:bCs/>
          <w:i/>
          <w:highlight w:val="green"/>
        </w:rPr>
        <w:t xml:space="preserve">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Default="002B06BD" w:rsidP="002B06BD">
      <w:pPr>
        <w:ind w:left="432" w:hanging="432"/>
        <w:rPr>
          <w:b/>
          <w:iCs/>
        </w:rPr>
      </w:pPr>
      <w:r w:rsidRPr="003B1CC5">
        <w:rPr>
          <w:b/>
          <w:bCs/>
          <w:color w:val="0000FF"/>
        </w:rPr>
        <w:t>1a.2.</w:t>
      </w:r>
      <w:r w:rsidRPr="003B1CC5">
        <w:rPr>
          <w:bCs/>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8034B1" w:rsidRDefault="008034B1" w:rsidP="002B06BD">
      <w:pPr>
        <w:ind w:left="432" w:hanging="432"/>
        <w:rPr>
          <w:iCs/>
        </w:rPr>
      </w:pPr>
    </w:p>
    <w:p w:rsidR="008034B1" w:rsidRPr="003B1CC5" w:rsidRDefault="008034B1" w:rsidP="002B06BD">
      <w:pPr>
        <w:ind w:left="432" w:hanging="432"/>
        <w:rPr>
          <w:iCs/>
        </w:rPr>
      </w:pPr>
      <w:r>
        <w:rPr>
          <w:iCs/>
        </w:rPr>
        <w:t>N/A</w:t>
      </w:r>
    </w:p>
    <w:p w:rsidR="002B06BD" w:rsidRPr="003B1CC5" w:rsidRDefault="002B06BD" w:rsidP="002E2177">
      <w:pPr>
        <w:ind w:left="432" w:hanging="432"/>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D14F0B" w:rsidRPr="003B1CC5" w:rsidRDefault="00D14F0B" w:rsidP="002E2177">
      <w:pPr>
        <w:ind w:left="0" w:firstLine="0"/>
        <w:rPr>
          <w:iCs/>
        </w:rPr>
      </w:pPr>
    </w:p>
    <w:p w:rsidR="00496AF8"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8034B1" w:rsidRDefault="008034B1" w:rsidP="002E2177">
      <w:pPr>
        <w:ind w:left="0" w:firstLine="0"/>
        <w:rPr>
          <w:i/>
          <w:iCs/>
        </w:rPr>
      </w:pPr>
    </w:p>
    <w:p w:rsidR="008034B1" w:rsidRPr="008034B1" w:rsidRDefault="008034B1" w:rsidP="002E2177">
      <w:pPr>
        <w:ind w:left="0" w:firstLine="0"/>
        <w:rPr>
          <w:iCs/>
        </w:rPr>
      </w:pPr>
      <w:r w:rsidRPr="008034B1">
        <w:rPr>
          <w:iCs/>
        </w:rPr>
        <w:t>N/A</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Pr="003B1CC5"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8034B1" w:rsidRDefault="008034B1" w:rsidP="002E2177">
      <w:pPr>
        <w:ind w:left="0" w:firstLine="0"/>
        <w:rPr>
          <w:sz w:val="20"/>
          <w:szCs w:val="20"/>
        </w:rPr>
      </w:pPr>
    </w:p>
    <w:p w:rsidR="007C1887" w:rsidRPr="006F250B" w:rsidRDefault="008034B1" w:rsidP="002E2177">
      <w:pPr>
        <w:ind w:left="0" w:firstLine="0"/>
        <w:rPr>
          <w:szCs w:val="20"/>
        </w:rPr>
      </w:pPr>
      <w:r w:rsidRPr="006F250B">
        <w:rPr>
          <w:szCs w:val="20"/>
        </w:rPr>
        <w:t xml:space="preserve">The ultrafiltration rate measures the rapidity with which fluid is removed at dialysis per unit (kg) body weight in unit (hour) time. It is under control of the dialysis facility providers and is monitored throughout the hemodialysis session. Rapid rates of fluid removal at dialysis can precipitate events like intradialytic hypotension, or subclinical yet significantly decreased organ perfusion, and in the case of the myocardium, leading to adverse phenomena such as myocardial stunning, which over time can result in myocardial damage and heart failure, thereby resulting in higher mortality. Intradialytic hypotension resulting from rapid fluid removal can result in all the complications of hypotension including dizziness, syncope, falls, post-dialysis fatigue and lower quality of life, as well as death or hospitalization. </w:t>
      </w:r>
      <w:proofErr w:type="spellStart"/>
      <w:r w:rsidRPr="006F250B">
        <w:rPr>
          <w:szCs w:val="20"/>
        </w:rPr>
        <w:t>Flythe</w:t>
      </w:r>
      <w:proofErr w:type="spellEnd"/>
      <w:r w:rsidRPr="006F250B">
        <w:rPr>
          <w:szCs w:val="20"/>
        </w:rPr>
        <w:t xml:space="preserve"> et al examined UFR thresholds &lt;10, 10-13 and &gt;13 (</w:t>
      </w:r>
      <w:proofErr w:type="spellStart"/>
      <w:r w:rsidRPr="006F250B">
        <w:rPr>
          <w:szCs w:val="20"/>
        </w:rPr>
        <w:t>Flythe</w:t>
      </w:r>
      <w:proofErr w:type="spellEnd"/>
      <w:r w:rsidRPr="006F250B">
        <w:rPr>
          <w:szCs w:val="20"/>
        </w:rPr>
        <w:t xml:space="preserve"> 2011). Between UFR of 10-13, the differences were not statistically different although there was a demonstrably rising risk of cardiovascular mortality using a cubic spline function between UFR thresholds of 10 and 13ml/kg/hour, and continuously rising risk for UFR higher than 13ml/kg/hour.</w:t>
      </w:r>
    </w:p>
    <w:p w:rsidR="008034B1" w:rsidRPr="003B1CC5" w:rsidRDefault="008034B1"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E62203"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2F03B9">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E62203"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E62203"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2F03B9">
            <w:rPr>
              <w:rFonts w:ascii="MS Gothic" w:eastAsia="MS Gothic" w:hAnsi="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E62203" w:rsidP="002E2177">
      <w:pPr>
        <w:ind w:left="0" w:firstLine="0"/>
      </w:pPr>
      <w:sdt>
        <w:sdtPr>
          <w:rPr>
            <w:bCs/>
            <w:color w:val="0000FF"/>
          </w:rPr>
          <w:id w:val="302275832"/>
          <w14:checkbox>
            <w14:checked w14:val="1"/>
            <w14:checkedState w14:val="2612" w14:font="MS Gothic"/>
            <w14:uncheckedState w14:val="2610" w14:font="MS Gothic"/>
          </w14:checkbox>
        </w:sdtPr>
        <w:sdtEndPr/>
        <w:sdtContent>
          <w:r w:rsidR="002F03B9">
            <w:rPr>
              <w:rFonts w:ascii="MS Gothic" w:eastAsia="MS Gothic" w:hAnsi="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6" w:name="Section1a4"/>
      <w:bookmarkEnd w:id="6"/>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2F03B9" w:rsidRDefault="002F03B9" w:rsidP="002F03B9">
      <w:pPr>
        <w:spacing w:after="120"/>
        <w:rPr>
          <w:sz w:val="20"/>
          <w:szCs w:val="20"/>
        </w:rPr>
      </w:pPr>
    </w:p>
    <w:p w:rsidR="002F03B9" w:rsidRPr="005514D0" w:rsidRDefault="002F03B9" w:rsidP="002F03B9">
      <w:pPr>
        <w:spacing w:after="120"/>
      </w:pPr>
      <w:r w:rsidRPr="005514D0">
        <w:t>2009 UK Renal Association Guidelines for Hemodialysis</w:t>
      </w:r>
    </w:p>
    <w:p w:rsidR="00D53405" w:rsidRPr="005514D0" w:rsidRDefault="00E62203" w:rsidP="002F03B9">
      <w:pPr>
        <w:ind w:left="0" w:firstLine="0"/>
        <w:rPr>
          <w:rFonts w:cs="Arial"/>
        </w:rPr>
      </w:pPr>
      <w:hyperlink r:id="rId18" w:history="1">
        <w:r w:rsidR="002F03B9" w:rsidRPr="005514D0">
          <w:rPr>
            <w:rStyle w:val="Hyperlink"/>
          </w:rPr>
          <w:t>http://www.renal.org/Clinical/GuidelinesSection/Haemodialysis.aspx</w:t>
        </w:r>
      </w:hyperlink>
    </w:p>
    <w:p w:rsidR="006F4B7F" w:rsidRPr="003B1CC5" w:rsidRDefault="006F4B7F" w:rsidP="002E2177">
      <w:pPr>
        <w:ind w:left="0" w:firstLine="0"/>
        <w:rPr>
          <w:color w:val="0000FF"/>
        </w:rPr>
      </w:pPr>
    </w:p>
    <w:p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rsidR="00496AF8" w:rsidRDefault="00496AF8" w:rsidP="002E2177">
      <w:pPr>
        <w:ind w:left="0" w:firstLine="0"/>
      </w:pPr>
    </w:p>
    <w:p w:rsidR="002F03B9" w:rsidRPr="003B1CC5" w:rsidRDefault="002F03B9" w:rsidP="002E2177">
      <w:pPr>
        <w:ind w:left="0" w:firstLine="0"/>
      </w:pPr>
      <w:r w:rsidRPr="006F250B">
        <w:rPr>
          <w:szCs w:val="20"/>
        </w:rPr>
        <w:t xml:space="preserve">8.3: We suggest that the maximum hourly ultrafiltration rate during </w:t>
      </w:r>
      <w:proofErr w:type="spellStart"/>
      <w:r w:rsidRPr="006F250B">
        <w:rPr>
          <w:szCs w:val="20"/>
        </w:rPr>
        <w:t>haemodialysis</w:t>
      </w:r>
      <w:proofErr w:type="spellEnd"/>
      <w:r w:rsidRPr="006F250B">
        <w:rPr>
          <w:szCs w:val="20"/>
        </w:rPr>
        <w:t xml:space="preserve"> should not exceed 10ml/kg/hour</w:t>
      </w:r>
      <w:r w:rsidRPr="004702B6">
        <w:rPr>
          <w:sz w:val="20"/>
          <w:szCs w:val="20"/>
        </w:rPr>
        <w:t>.</w:t>
      </w:r>
    </w:p>
    <w:p w:rsidR="00496AF8" w:rsidRPr="003B1CC5" w:rsidRDefault="00496AF8" w:rsidP="002E2177">
      <w:pPr>
        <w:ind w:left="0" w:firstLine="0"/>
      </w:pP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8A45F3" w:rsidRPr="003B1CC5" w:rsidRDefault="008A45F3" w:rsidP="00265702">
      <w:pPr>
        <w:ind w:left="0" w:firstLine="0"/>
      </w:pPr>
    </w:p>
    <w:p w:rsidR="008A45F3" w:rsidRPr="006F250B" w:rsidRDefault="002F03B9" w:rsidP="00265702">
      <w:pPr>
        <w:ind w:left="0" w:firstLine="0"/>
        <w:rPr>
          <w:szCs w:val="20"/>
        </w:rPr>
      </w:pPr>
      <w:r w:rsidRPr="006F250B">
        <w:rPr>
          <w:szCs w:val="20"/>
        </w:rPr>
        <w:t>The above recommendation was graded using the GRADE system as level “2C”.</w:t>
      </w:r>
    </w:p>
    <w:p w:rsidR="002F03B9" w:rsidRPr="003B1CC5" w:rsidRDefault="002F03B9" w:rsidP="00265702">
      <w:pPr>
        <w:ind w:left="0" w:firstLine="0"/>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A12762" w:rsidRPr="003B1CC5" w:rsidRDefault="00A12762" w:rsidP="00265702">
      <w:pPr>
        <w:ind w:left="0" w:firstLine="0"/>
        <w:rPr>
          <w:b/>
        </w:rPr>
      </w:pPr>
    </w:p>
    <w:p w:rsidR="002F03B9" w:rsidRPr="005514D0" w:rsidRDefault="002F03B9" w:rsidP="002F03B9">
      <w:pPr>
        <w:spacing w:after="120"/>
        <w:rPr>
          <w:rFonts w:eastAsia="Calibri" w:cs="Times New Roman"/>
        </w:rPr>
      </w:pPr>
      <w:r w:rsidRPr="005514D0">
        <w:rPr>
          <w:rFonts w:eastAsia="Calibri" w:cs="Times New Roman"/>
        </w:rPr>
        <w:t>The authors cited a modified GRADE system:</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8"/>
        <w:gridCol w:w="3026"/>
        <w:gridCol w:w="2349"/>
        <w:gridCol w:w="2373"/>
      </w:tblGrid>
      <w:tr w:rsidR="002F03B9" w:rsidRPr="005514D0" w:rsidTr="004A2217">
        <w:tc>
          <w:tcPr>
            <w:tcW w:w="1638" w:type="dxa"/>
            <w:tcBorders>
              <w:bottom w:val="single" w:sz="4" w:space="0" w:color="auto"/>
            </w:tcBorders>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Grade</w:t>
            </w:r>
          </w:p>
        </w:tc>
        <w:tc>
          <w:tcPr>
            <w:tcW w:w="3150" w:type="dxa"/>
            <w:tcBorders>
              <w:bottom w:val="single" w:sz="4" w:space="0" w:color="auto"/>
            </w:tcBorders>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Patients</w:t>
            </w:r>
          </w:p>
        </w:tc>
        <w:tc>
          <w:tcPr>
            <w:tcW w:w="2394" w:type="dxa"/>
            <w:tcBorders>
              <w:bottom w:val="single" w:sz="4" w:space="0" w:color="auto"/>
            </w:tcBorders>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Clinicians</w:t>
            </w:r>
          </w:p>
        </w:tc>
        <w:tc>
          <w:tcPr>
            <w:tcW w:w="2394" w:type="dxa"/>
            <w:tcBorders>
              <w:bottom w:val="single" w:sz="4" w:space="0" w:color="auto"/>
            </w:tcBorders>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 xml:space="preserve">Policy </w:t>
            </w:r>
          </w:p>
        </w:tc>
      </w:tr>
      <w:tr w:rsidR="002F03B9" w:rsidRPr="005514D0" w:rsidTr="004A2217">
        <w:tc>
          <w:tcPr>
            <w:tcW w:w="1638" w:type="dxa"/>
            <w:tcBorders>
              <w:top w:val="single" w:sz="4" w:space="0" w:color="auto"/>
            </w:tcBorders>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 xml:space="preserve">Level 1 </w:t>
            </w:r>
            <w:r w:rsidRPr="005514D0">
              <w:rPr>
                <w:rFonts w:ascii="Calibri" w:hAnsi="Calibri" w:cs="Times New Roman"/>
              </w:rPr>
              <w:br/>
              <w:t>“We recommend”</w:t>
            </w:r>
          </w:p>
        </w:tc>
        <w:tc>
          <w:tcPr>
            <w:tcW w:w="3150" w:type="dxa"/>
            <w:tcBorders>
              <w:top w:val="single" w:sz="4" w:space="0" w:color="auto"/>
            </w:tcBorders>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Most people in your situation would want the recommended course of action and only a small proportion would not.</w:t>
            </w:r>
            <w:r w:rsidRPr="005514D0">
              <w:rPr>
                <w:rFonts w:ascii="Calibri" w:hAnsi="Calibri" w:cs="Times New Roman"/>
              </w:rPr>
              <w:br/>
            </w:r>
          </w:p>
        </w:tc>
        <w:tc>
          <w:tcPr>
            <w:tcW w:w="2394" w:type="dxa"/>
            <w:tcBorders>
              <w:top w:val="single" w:sz="4" w:space="0" w:color="auto"/>
            </w:tcBorders>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Most patients should receive the recommended course of action</w:t>
            </w:r>
          </w:p>
        </w:tc>
        <w:tc>
          <w:tcPr>
            <w:tcW w:w="2394" w:type="dxa"/>
            <w:tcBorders>
              <w:top w:val="single" w:sz="4" w:space="0" w:color="auto"/>
            </w:tcBorders>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 xml:space="preserve">The recommendation can be evaluated as a candidate for developing a policy or performance measure </w:t>
            </w:r>
          </w:p>
        </w:tc>
      </w:tr>
      <w:tr w:rsidR="002F03B9" w:rsidRPr="005514D0" w:rsidTr="004A2217">
        <w:tc>
          <w:tcPr>
            <w:tcW w:w="1638" w:type="dxa"/>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Level 2</w:t>
            </w:r>
            <w:r w:rsidRPr="005514D0">
              <w:rPr>
                <w:rFonts w:ascii="Calibri" w:hAnsi="Calibri" w:cs="Times New Roman"/>
              </w:rPr>
              <w:br/>
              <w:t>“We suggest”</w:t>
            </w:r>
          </w:p>
        </w:tc>
        <w:tc>
          <w:tcPr>
            <w:tcW w:w="3150" w:type="dxa"/>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The majority of people in your situation would want the recommended course of action, but many would not.</w:t>
            </w:r>
          </w:p>
        </w:tc>
        <w:tc>
          <w:tcPr>
            <w:tcW w:w="2394" w:type="dxa"/>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 xml:space="preserve">Different choices will be appropriate for different patients. Each patient needs help to arrive at a management </w:t>
            </w:r>
            <w:r w:rsidRPr="005514D0">
              <w:rPr>
                <w:rFonts w:ascii="Calibri" w:hAnsi="Calibri" w:cs="Times New Roman"/>
              </w:rPr>
              <w:lastRenderedPageBreak/>
              <w:t xml:space="preserve">decision consistent with her or his values and preferences. </w:t>
            </w:r>
          </w:p>
        </w:tc>
        <w:tc>
          <w:tcPr>
            <w:tcW w:w="2394" w:type="dxa"/>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lastRenderedPageBreak/>
              <w:t xml:space="preserve">The recommendation is likely to require substantial debate and involvement of stakeholders before policy can </w:t>
            </w:r>
            <w:r w:rsidRPr="005514D0">
              <w:rPr>
                <w:rFonts w:ascii="Calibri" w:hAnsi="Calibri" w:cs="Times New Roman"/>
              </w:rPr>
              <w:lastRenderedPageBreak/>
              <w:t xml:space="preserve">be determined. </w:t>
            </w:r>
          </w:p>
        </w:tc>
      </w:tr>
    </w:tbl>
    <w:p w:rsidR="002F03B9" w:rsidRPr="005514D0" w:rsidRDefault="002F03B9" w:rsidP="002F03B9">
      <w:pPr>
        <w:spacing w:after="120"/>
        <w:ind w:left="720" w:firstLine="0"/>
        <w:rPr>
          <w:rFonts w:eastAsia="Calibri" w:cs="Times New Roman"/>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4"/>
        <w:gridCol w:w="2399"/>
        <w:gridCol w:w="5983"/>
      </w:tblGrid>
      <w:tr w:rsidR="002F03B9" w:rsidRPr="005514D0" w:rsidTr="004A2217">
        <w:tc>
          <w:tcPr>
            <w:tcW w:w="1008" w:type="dxa"/>
            <w:tcBorders>
              <w:bottom w:val="single" w:sz="8" w:space="0" w:color="000000" w:themeColor="text1"/>
            </w:tcBorders>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Grade</w:t>
            </w:r>
          </w:p>
        </w:tc>
        <w:tc>
          <w:tcPr>
            <w:tcW w:w="2430" w:type="dxa"/>
            <w:tcBorders>
              <w:bottom w:val="single" w:sz="8" w:space="0" w:color="000000" w:themeColor="text1"/>
            </w:tcBorders>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Quality of Evidence</w:t>
            </w:r>
          </w:p>
        </w:tc>
        <w:tc>
          <w:tcPr>
            <w:tcW w:w="6138" w:type="dxa"/>
            <w:tcBorders>
              <w:bottom w:val="single" w:sz="8" w:space="0" w:color="000000" w:themeColor="text1"/>
            </w:tcBorders>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Meaning</w:t>
            </w:r>
          </w:p>
        </w:tc>
      </w:tr>
      <w:tr w:rsidR="002F03B9" w:rsidRPr="005514D0" w:rsidTr="004A2217">
        <w:tc>
          <w:tcPr>
            <w:tcW w:w="1008" w:type="dxa"/>
            <w:tcBorders>
              <w:top w:val="single" w:sz="8" w:space="0" w:color="000000" w:themeColor="text1"/>
            </w:tcBorders>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A</w:t>
            </w:r>
          </w:p>
        </w:tc>
        <w:tc>
          <w:tcPr>
            <w:tcW w:w="2430" w:type="dxa"/>
            <w:tcBorders>
              <w:top w:val="single" w:sz="8" w:space="0" w:color="000000" w:themeColor="text1"/>
            </w:tcBorders>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High</w:t>
            </w:r>
          </w:p>
        </w:tc>
        <w:tc>
          <w:tcPr>
            <w:tcW w:w="6138" w:type="dxa"/>
            <w:tcBorders>
              <w:top w:val="single" w:sz="8" w:space="0" w:color="000000" w:themeColor="text1"/>
            </w:tcBorders>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 xml:space="preserve">We are confident that the true effect lies close to the estimate of that effect. </w:t>
            </w:r>
          </w:p>
        </w:tc>
      </w:tr>
      <w:tr w:rsidR="002F03B9" w:rsidRPr="005514D0" w:rsidTr="004A2217">
        <w:tc>
          <w:tcPr>
            <w:tcW w:w="1008" w:type="dxa"/>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B</w:t>
            </w:r>
          </w:p>
        </w:tc>
        <w:tc>
          <w:tcPr>
            <w:tcW w:w="2430" w:type="dxa"/>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Moderate</w:t>
            </w:r>
          </w:p>
        </w:tc>
        <w:tc>
          <w:tcPr>
            <w:tcW w:w="6138" w:type="dxa"/>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The true effect is likely to be close to the estimate of the effect, but there is a possibility that it is substantially different.</w:t>
            </w:r>
          </w:p>
        </w:tc>
      </w:tr>
      <w:tr w:rsidR="002F03B9" w:rsidRPr="005514D0" w:rsidTr="004A2217">
        <w:tc>
          <w:tcPr>
            <w:tcW w:w="1008" w:type="dxa"/>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C</w:t>
            </w:r>
          </w:p>
        </w:tc>
        <w:tc>
          <w:tcPr>
            <w:tcW w:w="2430" w:type="dxa"/>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Low</w:t>
            </w:r>
          </w:p>
        </w:tc>
        <w:tc>
          <w:tcPr>
            <w:tcW w:w="6138" w:type="dxa"/>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The true effect may be substantially different from the estimate of the effect.</w:t>
            </w:r>
          </w:p>
        </w:tc>
      </w:tr>
      <w:tr w:rsidR="002F03B9" w:rsidRPr="005514D0" w:rsidTr="004A2217">
        <w:tc>
          <w:tcPr>
            <w:tcW w:w="1008" w:type="dxa"/>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D</w:t>
            </w:r>
          </w:p>
        </w:tc>
        <w:tc>
          <w:tcPr>
            <w:tcW w:w="2430" w:type="dxa"/>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Very Low</w:t>
            </w:r>
          </w:p>
        </w:tc>
        <w:tc>
          <w:tcPr>
            <w:tcW w:w="6138" w:type="dxa"/>
          </w:tcPr>
          <w:p w:rsidR="002F03B9" w:rsidRPr="005514D0" w:rsidRDefault="002F03B9" w:rsidP="002F03B9">
            <w:pPr>
              <w:spacing w:before="240" w:after="240"/>
              <w:ind w:left="432"/>
              <w:rPr>
                <w:rFonts w:ascii="Calibri" w:hAnsi="Calibri" w:cs="Times New Roman"/>
              </w:rPr>
            </w:pPr>
            <w:r w:rsidRPr="005514D0">
              <w:rPr>
                <w:rFonts w:ascii="Calibri" w:hAnsi="Calibri" w:cs="Times New Roman"/>
              </w:rPr>
              <w:t>The estimate of the effect is very uncertain, and often will be far from the truth.</w:t>
            </w:r>
          </w:p>
        </w:tc>
      </w:tr>
    </w:tbl>
    <w:p w:rsidR="00850C35" w:rsidRPr="003B1CC5" w:rsidRDefault="00850C35" w:rsidP="00265702">
      <w:pPr>
        <w:ind w:left="0" w:firstLine="0"/>
        <w:rPr>
          <w:b/>
        </w:rPr>
      </w:pPr>
    </w:p>
    <w:p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2F03B9" w:rsidRDefault="002F03B9" w:rsidP="002F03B9">
      <w:pPr>
        <w:spacing w:after="120"/>
        <w:rPr>
          <w:color w:val="0000FF"/>
        </w:rPr>
      </w:pPr>
    </w:p>
    <w:p w:rsidR="002F03B9" w:rsidRPr="006F250B" w:rsidRDefault="002F03B9" w:rsidP="002F03B9">
      <w:pPr>
        <w:spacing w:after="120"/>
        <w:rPr>
          <w:szCs w:val="20"/>
        </w:rPr>
      </w:pPr>
      <w:r w:rsidRPr="006F250B">
        <w:rPr>
          <w:szCs w:val="20"/>
        </w:rPr>
        <w:t xml:space="preserve">GRADE Working Group. Systems for grading the quality of evidence and the strength of recommendations II: a pilot study of a new system for grading the quality of evidence and the strength of recommendations. </w:t>
      </w:r>
      <w:proofErr w:type="gramStart"/>
      <w:r w:rsidRPr="006F250B">
        <w:rPr>
          <w:szCs w:val="20"/>
        </w:rPr>
        <w:t xml:space="preserve">BMC Health </w:t>
      </w:r>
      <w:proofErr w:type="spellStart"/>
      <w:r w:rsidRPr="006F250B">
        <w:rPr>
          <w:szCs w:val="20"/>
        </w:rPr>
        <w:t>Serv</w:t>
      </w:r>
      <w:proofErr w:type="spellEnd"/>
      <w:r w:rsidRPr="006F250B">
        <w:rPr>
          <w:szCs w:val="20"/>
        </w:rPr>
        <w:t xml:space="preserve"> Res 2005 2005; 5: 25.</w:t>
      </w:r>
      <w:proofErr w:type="gramEnd"/>
    </w:p>
    <w:p w:rsidR="002F03B9" w:rsidRPr="006F250B" w:rsidRDefault="002F03B9" w:rsidP="002F03B9">
      <w:pPr>
        <w:ind w:left="432" w:hanging="432"/>
        <w:rPr>
          <w:szCs w:val="20"/>
        </w:rPr>
      </w:pPr>
      <w:proofErr w:type="spellStart"/>
      <w:r w:rsidRPr="006F250B">
        <w:rPr>
          <w:szCs w:val="20"/>
        </w:rPr>
        <w:t>Uhlig</w:t>
      </w:r>
      <w:proofErr w:type="spellEnd"/>
      <w:r w:rsidRPr="006F250B">
        <w:rPr>
          <w:szCs w:val="20"/>
        </w:rPr>
        <w:t xml:space="preserve"> K, Macleod A, Craig J et al. Grading evidence and recommendations for clinical practice guidelines in nephrology. </w:t>
      </w:r>
      <w:proofErr w:type="gramStart"/>
      <w:r w:rsidRPr="006F250B">
        <w:rPr>
          <w:szCs w:val="20"/>
        </w:rPr>
        <w:t>A position statement from Kidney Disease Improving Global outcomes (KDIGO).</w:t>
      </w:r>
      <w:proofErr w:type="gramEnd"/>
      <w:r w:rsidRPr="006F250B">
        <w:rPr>
          <w:szCs w:val="20"/>
        </w:rPr>
        <w:t xml:space="preserve"> Kidney </w:t>
      </w:r>
      <w:proofErr w:type="spellStart"/>
      <w:r w:rsidRPr="006F250B">
        <w:rPr>
          <w:szCs w:val="20"/>
        </w:rPr>
        <w:t>Int</w:t>
      </w:r>
      <w:proofErr w:type="spellEnd"/>
      <w:r w:rsidRPr="006F250B">
        <w:rPr>
          <w:szCs w:val="20"/>
        </w:rPr>
        <w:t xml:space="preserve"> 2006</w:t>
      </w:r>
      <w:proofErr w:type="gramStart"/>
      <w:r w:rsidRPr="006F250B">
        <w:rPr>
          <w:szCs w:val="20"/>
        </w:rPr>
        <w:t>;70:2058</w:t>
      </w:r>
      <w:proofErr w:type="gramEnd"/>
      <w:r w:rsidRPr="006F250B">
        <w:rPr>
          <w:szCs w:val="20"/>
        </w:rPr>
        <w:t>-2065</w:t>
      </w:r>
    </w:p>
    <w:p w:rsidR="002F03B9" w:rsidRPr="003B1CC5" w:rsidRDefault="002F03B9" w:rsidP="002F03B9">
      <w:pPr>
        <w:ind w:left="432" w:hanging="432"/>
        <w:rPr>
          <w:color w:val="0000FF"/>
        </w:rPr>
      </w:pPr>
    </w:p>
    <w:p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E62203"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rsidR="00736AEC" w:rsidRPr="003B1CC5" w:rsidRDefault="00E62203" w:rsidP="0098657F">
      <w:pPr>
        <w:ind w:left="1008" w:hanging="720"/>
      </w:pPr>
      <w:sdt>
        <w:sdtPr>
          <w:rPr>
            <w:bCs/>
            <w:color w:val="0000FF"/>
          </w:rPr>
          <w:id w:val="777454248"/>
          <w14:checkbox>
            <w14:checked w14:val="1"/>
            <w14:checkedState w14:val="2612" w14:font="MS Gothic"/>
            <w14:uncheckedState w14:val="2610" w14:font="MS Gothic"/>
          </w14:checkbox>
        </w:sdtPr>
        <w:sdtEndPr/>
        <w:sdtContent>
          <w:r w:rsidR="006F250B">
            <w:rPr>
              <w:rFonts w:ascii="MS Gothic" w:eastAsia="MS Gothic" w:hAnsi="MS Gothic" w:hint="eastAsia"/>
              <w:bCs/>
              <w:color w:val="0000FF"/>
            </w:rPr>
            <w:t>☒</w:t>
          </w:r>
        </w:sdtContent>
      </w:sdt>
      <w:r w:rsidR="00736AEC" w:rsidRPr="003B1CC5">
        <w:rPr>
          <w:b/>
        </w:rPr>
        <w:t xml:space="preserve"> </w:t>
      </w:r>
      <w:proofErr w:type="gramStart"/>
      <w:r w:rsidR="00736AEC" w:rsidRPr="003B1CC5">
        <w:t>No</w:t>
      </w:r>
      <w:r w:rsidR="00307FA5" w:rsidRPr="003B1CC5">
        <w:t xml:space="preserve">  </w:t>
      </w:r>
      <w:r w:rsidR="007C1887" w:rsidRPr="003B1CC5">
        <w:rPr>
          <w:rFonts w:cstheme="minorHAnsi"/>
          <w:b/>
          <w:highlight w:val="green"/>
        </w:rPr>
        <w:t>→</w:t>
      </w:r>
      <w:proofErr w:type="gramEnd"/>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Default="00307FA5" w:rsidP="00307FA5">
      <w:pPr>
        <w:ind w:left="0" w:firstLine="0"/>
        <w:rPr>
          <w:rFonts w:cs="Arial"/>
          <w:sz w:val="20"/>
          <w:szCs w:val="20"/>
        </w:rPr>
      </w:pPr>
    </w:p>
    <w:p w:rsidR="00DB70FA" w:rsidRPr="006F250B" w:rsidRDefault="00DB70FA" w:rsidP="00307FA5">
      <w:pPr>
        <w:ind w:left="0" w:firstLine="0"/>
        <w:rPr>
          <w:rFonts w:cs="Arial"/>
          <w:szCs w:val="20"/>
        </w:rPr>
      </w:pPr>
      <w:r w:rsidRPr="006F250B">
        <w:rPr>
          <w:rFonts w:cs="Arial"/>
          <w:szCs w:val="20"/>
        </w:rPr>
        <w:t>N/A</w:t>
      </w:r>
    </w:p>
    <w:p w:rsidR="00307FA5" w:rsidRPr="003B1CC5" w:rsidRDefault="00307FA5" w:rsidP="00307FA5">
      <w:pPr>
        <w:ind w:left="0" w:firstLine="0"/>
      </w:pPr>
    </w:p>
    <w:p w:rsidR="00307FA5" w:rsidRPr="003B1CC5" w:rsidRDefault="00307FA5" w:rsidP="00307FA5">
      <w:pPr>
        <w:ind w:left="0" w:firstLine="0"/>
      </w:pPr>
      <w:r w:rsidRPr="003B1CC5">
        <w:rPr>
          <w:b/>
          <w:color w:val="0000FF"/>
        </w:rPr>
        <w:lastRenderedPageBreak/>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307FA5" w:rsidRPr="006F250B" w:rsidRDefault="00DB70FA" w:rsidP="00307FA5">
      <w:pPr>
        <w:ind w:left="0" w:firstLine="0"/>
      </w:pPr>
      <w:r w:rsidRPr="006F250B">
        <w:t>N/A</w:t>
      </w:r>
    </w:p>
    <w:p w:rsidR="00DB70FA" w:rsidRPr="003B1CC5" w:rsidRDefault="00DB70FA"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Default="008A45F3" w:rsidP="00307FA5">
      <w:pPr>
        <w:ind w:left="0" w:firstLine="0"/>
      </w:pPr>
    </w:p>
    <w:p w:rsidR="00DB70FA" w:rsidRPr="006F250B" w:rsidRDefault="00DB70FA" w:rsidP="00307FA5">
      <w:pPr>
        <w:ind w:left="0" w:firstLine="0"/>
      </w:pPr>
      <w:r w:rsidRPr="006F250B">
        <w:t>N/A</w:t>
      </w:r>
    </w:p>
    <w:p w:rsidR="00DB70FA" w:rsidRPr="003B1CC5" w:rsidRDefault="00DB70FA" w:rsidP="00307FA5">
      <w:pPr>
        <w:ind w:left="0" w:firstLine="0"/>
      </w:pPr>
    </w:p>
    <w:p w:rsidR="00307FA5" w:rsidRPr="003B1CC5" w:rsidRDefault="008A45F3" w:rsidP="00307FA5">
      <w:pPr>
        <w:ind w:left="0" w:firstLine="0"/>
      </w:pPr>
      <w:r w:rsidRPr="003B1CC5">
        <w:rPr>
          <w:b/>
          <w:color w:val="0000FF"/>
        </w:rPr>
        <w:t xml:space="preserve">1a.5.4.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DB70FA" w:rsidRDefault="00DB70FA" w:rsidP="00307FA5">
      <w:pPr>
        <w:ind w:left="0" w:firstLine="0"/>
      </w:pPr>
    </w:p>
    <w:p w:rsidR="00DB70FA" w:rsidRPr="006F250B" w:rsidRDefault="00DB70FA" w:rsidP="00307FA5">
      <w:pPr>
        <w:ind w:left="0" w:firstLine="0"/>
      </w:pPr>
      <w:r w:rsidRPr="006F250B">
        <w:t>N/A</w:t>
      </w:r>
    </w:p>
    <w:p w:rsidR="00DB70FA" w:rsidRPr="00DB70FA" w:rsidRDefault="00DB70FA" w:rsidP="00307FA5">
      <w:pPr>
        <w:ind w:left="0" w:firstLine="0"/>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Default="00923295" w:rsidP="002E2177">
      <w:pPr>
        <w:ind w:left="432" w:hanging="432"/>
        <w:rPr>
          <w:rStyle w:val="Hyperlink"/>
          <w:b/>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4274FE" w:rsidRDefault="004274FE" w:rsidP="002E2177">
      <w:pPr>
        <w:ind w:left="432" w:hanging="432"/>
        <w:rPr>
          <w:i/>
        </w:rPr>
      </w:pPr>
    </w:p>
    <w:p w:rsidR="004274FE" w:rsidRPr="006F250B" w:rsidRDefault="004274FE" w:rsidP="002E2177">
      <w:pPr>
        <w:ind w:left="432" w:hanging="432"/>
      </w:pPr>
      <w:r w:rsidRPr="006F250B">
        <w:t>N/A</w:t>
      </w:r>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8" w:name="Section1a6"/>
      <w:bookmarkEnd w:id="8"/>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t xml:space="preserve"> </w:t>
      </w:r>
    </w:p>
    <w:p w:rsidR="00EE5AF6" w:rsidRPr="006F250B" w:rsidRDefault="004D694A" w:rsidP="00EE5AF6">
      <w:pPr>
        <w:ind w:left="0" w:firstLine="0"/>
        <w:rPr>
          <w:rFonts w:cs="Arial"/>
          <w:szCs w:val="20"/>
        </w:rPr>
      </w:pPr>
      <w:r w:rsidRPr="006F250B">
        <w:rPr>
          <w:rFonts w:cs="Arial"/>
          <w:szCs w:val="20"/>
        </w:rPr>
        <w:t>N/A</w:t>
      </w:r>
    </w:p>
    <w:p w:rsidR="004D694A" w:rsidRPr="003B1CC5" w:rsidRDefault="004D694A"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Default="00C84623" w:rsidP="00EE5AF6">
      <w:pPr>
        <w:ind w:left="0" w:firstLine="0"/>
        <w:rPr>
          <w:rStyle w:val="Hyperlink"/>
          <w:b/>
          <w:i/>
        </w:rPr>
      </w:pPr>
      <w:r w:rsidRPr="003B1CC5">
        <w:rPr>
          <w:b/>
          <w:i/>
          <w:highlight w:val="green"/>
        </w:rPr>
        <w:t xml:space="preserve">Complete section </w:t>
      </w:r>
      <w:hyperlink w:anchor="Section1a7" w:history="1">
        <w:r w:rsidRPr="003B1CC5">
          <w:rPr>
            <w:rStyle w:val="Hyperlink"/>
            <w:b/>
            <w:i/>
            <w:highlight w:val="green"/>
          </w:rPr>
          <w:t>1a.7</w:t>
        </w:r>
      </w:hyperlink>
    </w:p>
    <w:p w:rsidR="004D694A" w:rsidRDefault="004D694A" w:rsidP="00EE5AF6">
      <w:pPr>
        <w:ind w:left="0" w:firstLine="0"/>
        <w:rPr>
          <w:rStyle w:val="Hyperlink"/>
          <w:b/>
          <w:i/>
        </w:rPr>
      </w:pPr>
    </w:p>
    <w:p w:rsidR="004D694A" w:rsidRPr="006F250B" w:rsidRDefault="004D694A" w:rsidP="00EE5AF6">
      <w:pPr>
        <w:ind w:left="0" w:firstLine="0"/>
      </w:pPr>
      <w:r w:rsidRPr="006F250B">
        <w:rPr>
          <w:rStyle w:val="Hyperlink"/>
          <w:color w:val="auto"/>
          <w:u w:val="none"/>
        </w:rPr>
        <w:t>N/A</w:t>
      </w:r>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proofErr w:type="gramStart"/>
      <w:r w:rsidRPr="003B1CC5">
        <w:rPr>
          <w:b/>
        </w:rPr>
        <w:t>What</w:t>
      </w:r>
      <w:proofErr w:type="gramEnd"/>
      <w:r w:rsidRPr="003B1CC5">
        <w:rPr>
          <w:b/>
        </w:rPr>
        <w:t xml:space="preserve"> was the specific structure, treatment, intervention, service, or intermediate outcome addressed in the evidence review?</w:t>
      </w:r>
      <w:r w:rsidRPr="003B1CC5">
        <w:t xml:space="preserve"> </w:t>
      </w:r>
    </w:p>
    <w:p w:rsidR="00EE5AF6" w:rsidRDefault="00EE5AF6" w:rsidP="00EE5AF6">
      <w:pPr>
        <w:ind w:left="0" w:firstLine="0"/>
      </w:pPr>
    </w:p>
    <w:p w:rsidR="004D694A" w:rsidRPr="006F250B" w:rsidRDefault="004D694A" w:rsidP="00EE5AF6">
      <w:pPr>
        <w:ind w:left="0" w:firstLine="0"/>
        <w:rPr>
          <w:szCs w:val="20"/>
        </w:rPr>
      </w:pPr>
      <w:r w:rsidRPr="006F250B">
        <w:rPr>
          <w:szCs w:val="20"/>
        </w:rPr>
        <w:t>A systematic review of the body of evidence was not performed.</w:t>
      </w:r>
    </w:p>
    <w:p w:rsidR="004D694A" w:rsidRPr="003B1CC5" w:rsidRDefault="004D694A" w:rsidP="00EE5AF6">
      <w:pPr>
        <w:ind w:left="0" w:firstLine="0"/>
      </w:pP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95EC9" w:rsidRDefault="00095EC9" w:rsidP="00EA79C9">
      <w:pPr>
        <w:ind w:left="0" w:firstLine="0"/>
      </w:pPr>
    </w:p>
    <w:p w:rsidR="004D694A" w:rsidRPr="006F250B" w:rsidRDefault="004D694A" w:rsidP="00EA79C9">
      <w:pPr>
        <w:ind w:left="0" w:firstLine="0"/>
      </w:pPr>
      <w:r w:rsidRPr="006F250B">
        <w:t>N/A</w:t>
      </w:r>
    </w:p>
    <w:p w:rsidR="004D694A" w:rsidRPr="003B1CC5" w:rsidRDefault="004D694A" w:rsidP="00EA79C9">
      <w:pPr>
        <w:ind w:left="0" w:firstLine="0"/>
      </w:pPr>
    </w:p>
    <w:p w:rsidR="00EA79C9" w:rsidRPr="003B1CC5" w:rsidRDefault="00095EC9" w:rsidP="00EA79C9">
      <w:pPr>
        <w:ind w:left="0" w:firstLine="0"/>
        <w:rPr>
          <w:color w:val="0000FF"/>
        </w:rPr>
      </w:pPr>
      <w:r w:rsidRPr="003B1CC5">
        <w:rPr>
          <w:b/>
          <w:noProof/>
          <w:color w:val="0000FF"/>
        </w:rPr>
        <w:t xml:space="preserve">1a.7.3. </w:t>
      </w:r>
      <w:proofErr w:type="gramStart"/>
      <w:r w:rsidR="00EA79C9" w:rsidRPr="003B1CC5">
        <w:rPr>
          <w:b/>
        </w:rPr>
        <w:t>Provide</w:t>
      </w:r>
      <w:proofErr w:type="gramEnd"/>
      <w:r w:rsidR="00EA79C9" w:rsidRPr="003B1CC5">
        <w:rPr>
          <w:b/>
        </w:rPr>
        <w:t xml:space="preserv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A12762" w:rsidRDefault="00A12762" w:rsidP="002E2177">
      <w:pPr>
        <w:ind w:left="0" w:firstLine="0"/>
        <w:rPr>
          <w:noProof/>
        </w:rPr>
      </w:pPr>
    </w:p>
    <w:p w:rsidR="004D694A" w:rsidRPr="006F250B" w:rsidRDefault="004D694A" w:rsidP="002E2177">
      <w:pPr>
        <w:ind w:left="0" w:firstLine="0"/>
        <w:rPr>
          <w:noProof/>
        </w:rPr>
      </w:pPr>
      <w:r w:rsidRPr="006F250B">
        <w:rPr>
          <w:noProof/>
        </w:rPr>
        <w:t>N/A</w:t>
      </w:r>
    </w:p>
    <w:p w:rsidR="004D694A" w:rsidRPr="003B1CC5" w:rsidRDefault="004D694A" w:rsidP="002E2177">
      <w:pPr>
        <w:ind w:left="0" w:firstLine="0"/>
        <w:rPr>
          <w:noProof/>
        </w:rPr>
      </w:pPr>
    </w:p>
    <w:p w:rsidR="00496AF8" w:rsidRPr="003B1CC5" w:rsidRDefault="00496AF8" w:rsidP="002E2177">
      <w:pPr>
        <w:ind w:left="432" w:hanging="432"/>
      </w:pPr>
      <w:bookmarkStart w:id="9" w:name="Section1a7"/>
      <w:bookmarkEnd w:id="9"/>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rsidR="00496AF8" w:rsidRPr="003B1CC5" w:rsidRDefault="00496AF8" w:rsidP="002E2177">
      <w:pPr>
        <w:ind w:left="0" w:firstLine="0"/>
        <w:rPr>
          <w:noProof/>
        </w:rPr>
      </w:pPr>
    </w:p>
    <w:p w:rsidR="0039020B" w:rsidRPr="006F250B" w:rsidRDefault="004D694A" w:rsidP="002E2177">
      <w:pPr>
        <w:ind w:left="0" w:firstLine="0"/>
        <w:rPr>
          <w:noProof/>
        </w:rPr>
      </w:pPr>
      <w:r w:rsidRPr="006F250B">
        <w:rPr>
          <w:noProof/>
        </w:rPr>
        <w:t>N/A</w:t>
      </w:r>
    </w:p>
    <w:p w:rsidR="004D694A" w:rsidRPr="003B1CC5" w:rsidRDefault="004D694A"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4D694A" w:rsidRDefault="004D694A" w:rsidP="002E2177">
      <w:pPr>
        <w:ind w:left="0" w:firstLine="0"/>
      </w:pPr>
    </w:p>
    <w:p w:rsidR="00496AF8" w:rsidRPr="006F250B" w:rsidRDefault="004D694A" w:rsidP="002E2177">
      <w:pPr>
        <w:ind w:left="0" w:firstLine="0"/>
      </w:pPr>
      <w:r w:rsidRPr="006F250B">
        <w:t>N/A</w:t>
      </w:r>
    </w:p>
    <w:p w:rsidR="004D694A" w:rsidRPr="003B1CC5" w:rsidRDefault="004D694A" w:rsidP="002E2177">
      <w:pPr>
        <w:ind w:left="0" w:firstLine="0"/>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is the overall quality of evidence </w:t>
      </w:r>
      <w:r w:rsidR="00496AF8" w:rsidRPr="003B1CC5">
        <w:rPr>
          <w:b/>
          <w:u w:val="single"/>
        </w:rPr>
        <w:t>across studies</w:t>
      </w:r>
      <w:r w:rsidR="00496AF8" w:rsidRPr="003B1CC5">
        <w:rPr>
          <w:b/>
        </w:rPr>
        <w:t xml:space="preserve"> in the body of evidence</w:t>
      </w:r>
      <w:r w:rsidR="00496AF8" w:rsidRPr="003B1CC5">
        <w:t>? (</w:t>
      </w:r>
      <w:proofErr w:type="gramStart"/>
      <w:r w:rsidR="006709EB" w:rsidRPr="003B1CC5">
        <w:rPr>
          <w:i/>
        </w:rPr>
        <w:t>discuss</w:t>
      </w:r>
      <w:proofErr w:type="gramEnd"/>
      <w:r w:rsidR="006709EB" w:rsidRPr="003B1CC5">
        <w:rPr>
          <w:i/>
        </w:rPr>
        <w:t xml:space="preserve">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496AF8" w:rsidRPr="004D694A" w:rsidRDefault="00496AF8" w:rsidP="002E2177">
      <w:pPr>
        <w:ind w:left="0" w:firstLine="0"/>
        <w:rPr>
          <w:sz w:val="20"/>
        </w:rPr>
      </w:pPr>
    </w:p>
    <w:p w:rsidR="00D14F0B" w:rsidRPr="006F250B" w:rsidRDefault="004D694A" w:rsidP="002E2177">
      <w:pPr>
        <w:ind w:left="0" w:firstLine="0"/>
      </w:pPr>
      <w:r w:rsidRPr="006F250B">
        <w:t>N/A</w:t>
      </w:r>
    </w:p>
    <w:p w:rsidR="004D694A" w:rsidRPr="003B1CC5" w:rsidRDefault="004D694A" w:rsidP="002E2177">
      <w:pPr>
        <w:ind w:left="0" w:firstLine="0"/>
      </w:pPr>
    </w:p>
    <w:p w:rsidR="00496AF8" w:rsidRPr="003B1CC5" w:rsidRDefault="00C5180E" w:rsidP="002E2177">
      <w:pPr>
        <w:ind w:left="0" w:firstLine="0"/>
        <w:rPr>
          <w:b/>
        </w:rPr>
      </w:pPr>
      <w:r w:rsidRPr="003B1CC5">
        <w:rPr>
          <w:b/>
        </w:rPr>
        <w:t>ESTIMATES OF BENEFIT AND CONSISTENCY ACROSS STUDIES IN BODY OF EVIDENCE</w:t>
      </w:r>
    </w:p>
    <w:p w:rsidR="00496AF8" w:rsidRPr="003B1CC5"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496AF8" w:rsidRPr="003B1CC5" w:rsidRDefault="00496AF8" w:rsidP="002E2177">
      <w:pPr>
        <w:ind w:left="0" w:firstLine="0"/>
      </w:pPr>
    </w:p>
    <w:p w:rsidR="009B5BEA" w:rsidRPr="006F250B" w:rsidRDefault="004D694A" w:rsidP="002E2177">
      <w:pPr>
        <w:ind w:left="0" w:firstLine="0"/>
      </w:pPr>
      <w:r w:rsidRPr="006F250B">
        <w:t>N/A</w:t>
      </w:r>
    </w:p>
    <w:p w:rsidR="004D694A" w:rsidRPr="003B1CC5" w:rsidRDefault="004D694A" w:rsidP="002E2177">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Default="00496AF8" w:rsidP="002E2177">
      <w:pPr>
        <w:ind w:left="0" w:firstLine="0"/>
      </w:pPr>
    </w:p>
    <w:p w:rsidR="004D694A" w:rsidRPr="006F250B" w:rsidRDefault="004D694A" w:rsidP="002E2177">
      <w:pPr>
        <w:ind w:left="0" w:firstLine="0"/>
      </w:pPr>
      <w:r w:rsidRPr="006F250B">
        <w:t>N/A</w:t>
      </w:r>
    </w:p>
    <w:p w:rsidR="00496AF8" w:rsidRPr="003B1CC5" w:rsidRDefault="00496AF8" w:rsidP="002E2177">
      <w:pPr>
        <w:ind w:left="0" w:firstLine="0"/>
      </w:pPr>
    </w:p>
    <w:p w:rsidR="00496AF8" w:rsidRPr="003B1CC5" w:rsidRDefault="00C5180E" w:rsidP="002E2177">
      <w:pPr>
        <w:ind w:left="0" w:firstLine="0"/>
        <w:rPr>
          <w:b/>
          <w:noProof/>
        </w:rPr>
      </w:pPr>
      <w:r w:rsidRPr="003B1CC5">
        <w:rPr>
          <w:b/>
          <w:noProof/>
        </w:rPr>
        <w:t>UPDATE TO THE SYSTEMATIC REVIEW(S) OF THE BODY OF EVIDENCE</w:t>
      </w:r>
    </w:p>
    <w:p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Pr="006F250B" w:rsidRDefault="004D694A" w:rsidP="002E2177">
      <w:pPr>
        <w:ind w:left="0" w:firstLine="0"/>
      </w:pPr>
      <w:r w:rsidRPr="006F250B">
        <w:t>N/A</w:t>
      </w: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0" w:name="Section1a8"/>
      <w:bookmarkEnd w:id="10"/>
      <w:r w:rsidRPr="003B1CC5">
        <w:rPr>
          <w:b/>
          <w:color w:val="0000FF"/>
        </w:rPr>
        <w:t xml:space="preserve">1a.8 </w:t>
      </w:r>
      <w:r w:rsidRPr="003B1CC5">
        <w:rPr>
          <w:b/>
        </w:rPr>
        <w:t>OTHER SOURCE OF EVIDENCE</w:t>
      </w:r>
    </w:p>
    <w:p w:rsidR="00837121"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2F03B9" w:rsidRDefault="002F03B9" w:rsidP="002E2177">
      <w:pPr>
        <w:ind w:left="0" w:firstLine="0"/>
        <w:rPr>
          <w:i/>
        </w:rPr>
      </w:pPr>
    </w:p>
    <w:p w:rsidR="00837121" w:rsidRPr="003B1CC5" w:rsidRDefault="00837121" w:rsidP="002E2177">
      <w:pPr>
        <w:ind w:left="0" w:firstLine="0"/>
      </w:pPr>
      <w:r w:rsidRPr="003B1CC5">
        <w:rPr>
          <w:b/>
          <w:color w:val="0000FF"/>
        </w:rPr>
        <w:t>1a.8.1</w:t>
      </w:r>
      <w:r w:rsidRPr="003B1CC5">
        <w:rPr>
          <w:color w:val="0070C0"/>
        </w:rPr>
        <w:t xml:space="preserve"> </w:t>
      </w:r>
      <w:proofErr w:type="gramStart"/>
      <w:r w:rsidRPr="003B1CC5">
        <w:rPr>
          <w:b/>
        </w:rPr>
        <w:t>What</w:t>
      </w:r>
      <w:proofErr w:type="gramEnd"/>
      <w:r w:rsidRPr="003B1CC5">
        <w:rPr>
          <w:b/>
        </w:rPr>
        <w:t xml:space="preserve"> process was used to identify the evidence?</w:t>
      </w:r>
    </w:p>
    <w:p w:rsidR="00837121" w:rsidRDefault="00837121" w:rsidP="002E2177">
      <w:pPr>
        <w:ind w:left="0" w:firstLine="0"/>
      </w:pPr>
    </w:p>
    <w:p w:rsidR="001A008C" w:rsidRPr="006F250B" w:rsidRDefault="001A008C" w:rsidP="001A008C">
      <w:pPr>
        <w:ind w:left="0" w:firstLine="0"/>
        <w:rPr>
          <w:i/>
          <w:sz w:val="24"/>
        </w:rPr>
      </w:pPr>
      <w:r w:rsidRPr="006F250B">
        <w:rPr>
          <w:szCs w:val="20"/>
        </w:rPr>
        <w:t xml:space="preserve">Multiple lines of evidence in the literature suggest that in order to prevent repetitive intradialytic hypotension and subclinical myocardial stunning as well as potentially damage to other vascular organs such as the brain and the gut, slower rates of fluid removal during dialysis are advisable in order to prevent progressive vital organ dysfunction, ensure patient safety and prevent higher mortality. The </w:t>
      </w:r>
      <w:r w:rsidRPr="006F250B">
        <w:rPr>
          <w:szCs w:val="20"/>
        </w:rPr>
        <w:lastRenderedPageBreak/>
        <w:t xml:space="preserve">‘lines of evidence’ include: (i) Association of higher UFR to higher all cause and cardiovascular mortality, (ii) association of higher UFR to greater instability of dialysis sessions, (iii) the link between intradialytic hypotension and mortality, (iv) recent evidence implicating dialysis as resulting in micro-ischemic insults to organs such as the heart (e.g., demonstrable wall motion abnormalities during dialysis using PET scans) and (v) the independent association of higher </w:t>
      </w:r>
      <w:proofErr w:type="spellStart"/>
      <w:r w:rsidRPr="006F250B">
        <w:rPr>
          <w:szCs w:val="20"/>
        </w:rPr>
        <w:t>interdialytic</w:t>
      </w:r>
      <w:proofErr w:type="spellEnd"/>
      <w:r w:rsidRPr="006F250B">
        <w:rPr>
          <w:szCs w:val="20"/>
        </w:rPr>
        <w:t xml:space="preserve"> weight gain on the one hand and shorter duration of hemodialysis sessions with higher mortality, suggesting that rapid fluid removal is undesirable. This evidence is based on medium to large observational studies. There is no randomized trial evidence to date studying the effect of different UFR thresholds in clinical practice.</w:t>
      </w:r>
    </w:p>
    <w:p w:rsidR="001A008C" w:rsidRDefault="001A008C" w:rsidP="004D694A">
      <w:pPr>
        <w:ind w:left="0" w:firstLine="0"/>
      </w:pPr>
    </w:p>
    <w:p w:rsidR="004D694A" w:rsidRPr="006F250B" w:rsidRDefault="004D694A" w:rsidP="004D694A">
      <w:pPr>
        <w:ind w:left="0" w:firstLine="0"/>
      </w:pPr>
      <w:r w:rsidRPr="006F250B">
        <w:t>Several observational studies were reviewed after an extensive Medline literature search from year 2004 to 2013 and presented both during and after the Adequacy Technical Expert Panel (TEP) in April 2013. This measure was proposed in order to increase the safety of the dialysis procedure based on separate but related lines of evidence as alluded to in section 1a.8 above. First, recent medium to large observational studies suggest that higher UFR is associated with higher mortality [</w:t>
      </w:r>
      <w:proofErr w:type="spellStart"/>
      <w:r w:rsidRPr="006F250B">
        <w:t>Movilli</w:t>
      </w:r>
      <w:proofErr w:type="spellEnd"/>
      <w:r w:rsidRPr="006F250B">
        <w:t xml:space="preserve"> 2007, </w:t>
      </w:r>
      <w:proofErr w:type="spellStart"/>
      <w:r w:rsidRPr="006F250B">
        <w:t>Flythe</w:t>
      </w:r>
      <w:proofErr w:type="spellEnd"/>
      <w:r w:rsidRPr="006F250B">
        <w:t xml:space="preserve"> 2011, Saran 2006, </w:t>
      </w:r>
      <w:proofErr w:type="spellStart"/>
      <w:r w:rsidRPr="006F250B">
        <w:t>Flythe</w:t>
      </w:r>
      <w:proofErr w:type="spellEnd"/>
      <w:r w:rsidRPr="006F250B">
        <w:t xml:space="preserve"> 2013] as well as higher odds of ‘unstable’ dialysis session (Saran 2006). Second, during the dialysis procedure, instability in the form of symptomatic or </w:t>
      </w:r>
      <w:proofErr w:type="spellStart"/>
      <w:r w:rsidRPr="006F250B">
        <w:t>asysmptomatic</w:t>
      </w:r>
      <w:proofErr w:type="spellEnd"/>
      <w:r w:rsidRPr="006F250B">
        <w:t xml:space="preserve"> intradialytic hypotension occurs frequently affecting nearly half of all hemodialysis patients and is associated with higher mortality (Shoji 2004). Hemodialysis sessions also predispose to organ </w:t>
      </w:r>
      <w:proofErr w:type="spellStart"/>
      <w:r w:rsidRPr="006F250B">
        <w:t>hypoperfusion</w:t>
      </w:r>
      <w:proofErr w:type="spellEnd"/>
      <w:r w:rsidRPr="006F250B">
        <w:t xml:space="preserve"> and critical phenomena such as ventricular wall motion abnormalities indicative of ‘myocardial stunning’ demonstrated by PET scanning during dialysis [Burton 2009, McIntyre 2010]. Importantly, frequent hemodialysis schedules with lower UFR and lower volume of fluid removal have been shown to be associated with reduced levels of dialysis-induced cardiac injury (myocardial stunning) (Jefferies 2011). Among individuals who appear to ‘tolerate’ relatively large volume ultrafiltration over the relatively short periods of conventional thrice weekly dialysis, repetitive subclinical ischemic insult to the myocardium may occur during the hemodialysis procedure may cumulatively result in systolic or diastolic heart failure. </w:t>
      </w:r>
      <w:proofErr w:type="spellStart"/>
      <w:r w:rsidRPr="006F250B">
        <w:t>Flythe</w:t>
      </w:r>
      <w:proofErr w:type="spellEnd"/>
      <w:r w:rsidRPr="006F250B">
        <w:t xml:space="preserve"> et al examined UFR thresholds &lt;10, 10-13 and &gt;13 (</w:t>
      </w:r>
      <w:proofErr w:type="spellStart"/>
      <w:r w:rsidRPr="006F250B">
        <w:t>Flythe</w:t>
      </w:r>
      <w:proofErr w:type="spellEnd"/>
      <w:r w:rsidRPr="006F250B">
        <w:t xml:space="preserve"> 2011). Between UFR of 10-13, the differences were not statistically different although there was a demonstrably rising risk of cardiovascular mortality using a cubic spline function between UFR thresholds of 10 and 13ml/kg/hour, and continuously rising risk for UFR higher than 13ml/kg/hour. More recently (</w:t>
      </w:r>
      <w:proofErr w:type="spellStart"/>
      <w:r w:rsidRPr="006F250B">
        <w:t>Flythe</w:t>
      </w:r>
      <w:proofErr w:type="spellEnd"/>
      <w:r w:rsidRPr="006F250B">
        <w:t xml:space="preserve"> 2013), higher </w:t>
      </w:r>
      <w:proofErr w:type="spellStart"/>
      <w:r w:rsidRPr="006F250B">
        <w:t>interdialytic</w:t>
      </w:r>
      <w:proofErr w:type="spellEnd"/>
      <w:r w:rsidRPr="006F250B">
        <w:t xml:space="preserve"> weight gain and shorter length of hemodialysis sessions were each independently associated with higher mortality.</w:t>
      </w:r>
    </w:p>
    <w:p w:rsidR="004D694A" w:rsidRPr="006F250B" w:rsidRDefault="004D694A" w:rsidP="004D694A">
      <w:pPr>
        <w:ind w:left="0" w:firstLine="0"/>
      </w:pPr>
    </w:p>
    <w:p w:rsidR="004D694A" w:rsidRPr="006F250B" w:rsidRDefault="004D694A" w:rsidP="004D694A">
      <w:pPr>
        <w:ind w:left="0" w:firstLine="0"/>
      </w:pPr>
      <w:r w:rsidRPr="006F250B">
        <w:t xml:space="preserve">A majority of TEP members voted to include a measure of UFR based on the evidence reviewed. The specific thresholds for a UFR measure were however debated during the discussions by the CMS TEP based on available literature and in particular, the observational studies cited above (Saran 2006, </w:t>
      </w:r>
      <w:proofErr w:type="spellStart"/>
      <w:r w:rsidRPr="006F250B">
        <w:t>Movilli</w:t>
      </w:r>
      <w:proofErr w:type="spellEnd"/>
      <w:r w:rsidRPr="006F250B">
        <w:t xml:space="preserve"> 2007 and </w:t>
      </w:r>
      <w:proofErr w:type="spellStart"/>
      <w:r w:rsidRPr="006F250B">
        <w:t>Flythe</w:t>
      </w:r>
      <w:proofErr w:type="spellEnd"/>
      <w:r w:rsidRPr="006F250B">
        <w:t xml:space="preserve"> 2011). A relatively conservative threshold of 13ml/kg/min was chosen based on discussions over the thresholds examined in the study by </w:t>
      </w:r>
      <w:proofErr w:type="spellStart"/>
      <w:r w:rsidRPr="006F250B">
        <w:t>Flythe</w:t>
      </w:r>
      <w:proofErr w:type="spellEnd"/>
      <w:r w:rsidRPr="006F250B">
        <w:t>.</w:t>
      </w:r>
    </w:p>
    <w:p w:rsidR="004D694A" w:rsidRPr="004D694A" w:rsidRDefault="004D694A" w:rsidP="004D694A">
      <w:pPr>
        <w:ind w:left="0" w:firstLine="0"/>
        <w:rPr>
          <w:sz w:val="20"/>
        </w:rPr>
      </w:pPr>
    </w:p>
    <w:p w:rsidR="004D694A"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p w:rsidR="004D694A" w:rsidRDefault="004D694A" w:rsidP="004D694A"/>
    <w:p w:rsidR="004D694A" w:rsidRDefault="004D694A" w:rsidP="004D694A">
      <w:r w:rsidRPr="006F250B">
        <w:t xml:space="preserve">1. Burton J, Jefferies HJ, et al. Hemodialysis-Induced Cardiac Injury: Determinants and Associated Outcomes. </w:t>
      </w:r>
      <w:proofErr w:type="spellStart"/>
      <w:r w:rsidRPr="006F250B">
        <w:t>Clin</w:t>
      </w:r>
      <w:proofErr w:type="spellEnd"/>
      <w:r w:rsidRPr="006F250B">
        <w:t xml:space="preserve"> J Am </w:t>
      </w:r>
      <w:proofErr w:type="spellStart"/>
      <w:r w:rsidRPr="006F250B">
        <w:t>Soc</w:t>
      </w:r>
      <w:proofErr w:type="spellEnd"/>
      <w:r w:rsidRPr="006F250B">
        <w:t xml:space="preserve"> </w:t>
      </w:r>
      <w:proofErr w:type="spellStart"/>
      <w:r w:rsidRPr="006F250B">
        <w:t>Nephrol</w:t>
      </w:r>
      <w:proofErr w:type="spellEnd"/>
      <w:r w:rsidRPr="006F250B">
        <w:t xml:space="preserve">. </w:t>
      </w:r>
      <w:proofErr w:type="gramStart"/>
      <w:r w:rsidRPr="006F250B">
        <w:t>2009; 4: 914-920.</w:t>
      </w:r>
      <w:proofErr w:type="gramEnd"/>
    </w:p>
    <w:p w:rsidR="00D848D9" w:rsidRDefault="00D848D9" w:rsidP="00D848D9">
      <w:pPr>
        <w:ind w:firstLine="0"/>
      </w:pPr>
      <w:r>
        <w:t xml:space="preserve">Abstract: Background and objectives: Hemodialysis (HD)-induced myocardial stunning driven by ischemia is a recognized complication of HD, which can be ameliorated by HD techniques that improve hemodynamics. In </w:t>
      </w:r>
      <w:proofErr w:type="spellStart"/>
      <w:r>
        <w:t>nondialysis</w:t>
      </w:r>
      <w:proofErr w:type="spellEnd"/>
      <w:r>
        <w:t xml:space="preserve"> patients, repeated ischemia leads to chronic reduction in left ventricular (LV) function. HD may initiate and drive the same process. In this study, we examined the prevalence and associations of HD-induced repetitive myocardial injury and long-term effects on LV function and patient outcomes.</w:t>
      </w:r>
    </w:p>
    <w:p w:rsidR="00D848D9" w:rsidRDefault="00D848D9" w:rsidP="00D848D9">
      <w:pPr>
        <w:ind w:firstLine="0"/>
      </w:pPr>
    </w:p>
    <w:p w:rsidR="00D848D9" w:rsidRDefault="00D848D9" w:rsidP="00D848D9">
      <w:pPr>
        <w:ind w:firstLine="0"/>
      </w:pPr>
      <w:r>
        <w:t>Design, setting, participants, &amp; measurements: Seventy prevalent HD patients were assessed for evidence of subclinical myocardial injury at baseline using serial echocardiography and followed up after 12 mo. Intradialytic blood pressure, hematologic and biochemical samples, and patient demographics were also collected at both time points.</w:t>
      </w:r>
    </w:p>
    <w:p w:rsidR="00D848D9" w:rsidRDefault="00D848D9" w:rsidP="00D848D9">
      <w:pPr>
        <w:ind w:firstLine="0"/>
      </w:pPr>
    </w:p>
    <w:p w:rsidR="00D848D9" w:rsidRDefault="00D848D9" w:rsidP="00D848D9">
      <w:pPr>
        <w:ind w:firstLine="0"/>
      </w:pPr>
      <w:r>
        <w:t>Results: Sixty-four percent of patients had significant myocardial stunning during HD. Age, ultrafiltration volumes, intradialytic hypotension, and cardiac troponin-T (</w:t>
      </w:r>
      <w:proofErr w:type="spellStart"/>
      <w:r>
        <w:t>cTnT</w:t>
      </w:r>
      <w:proofErr w:type="spellEnd"/>
      <w:r>
        <w:t xml:space="preserve">) levels were independent determinants associated with its presence. Myocardial stunning was associated with increased relative mortality at 12 </w:t>
      </w:r>
      <w:proofErr w:type="spellStart"/>
      <w:r>
        <w:t>mo</w:t>
      </w:r>
      <w:proofErr w:type="spellEnd"/>
      <w:r>
        <w:t xml:space="preserve"> (P = 0.019). Cox regression analysis showed increased hazard of death in patients with myocardial stunning and elevated </w:t>
      </w:r>
      <w:proofErr w:type="spellStart"/>
      <w:r>
        <w:t>cTnT</w:t>
      </w:r>
      <w:proofErr w:type="spellEnd"/>
      <w:r>
        <w:t xml:space="preserve"> than in patients with elevated </w:t>
      </w:r>
      <w:proofErr w:type="spellStart"/>
      <w:r>
        <w:t>cTnT</w:t>
      </w:r>
      <w:proofErr w:type="spellEnd"/>
      <w:r>
        <w:t xml:space="preserve"> alone (P &lt; 0.02). Patients with myocardial stunning who survived 12 </w:t>
      </w:r>
      <w:proofErr w:type="spellStart"/>
      <w:proofErr w:type="gramStart"/>
      <w:r>
        <w:t>mo</w:t>
      </w:r>
      <w:proofErr w:type="spellEnd"/>
      <w:proofErr w:type="gramEnd"/>
      <w:r>
        <w:t xml:space="preserve"> had significantly lower LV ejection fractions at rest and on HD (P &lt; 0.001).</w:t>
      </w:r>
    </w:p>
    <w:p w:rsidR="00D848D9" w:rsidRDefault="00D848D9" w:rsidP="00D848D9">
      <w:pPr>
        <w:ind w:firstLine="0"/>
      </w:pPr>
    </w:p>
    <w:p w:rsidR="00D848D9" w:rsidRPr="006F250B" w:rsidRDefault="00D848D9" w:rsidP="00D848D9">
      <w:pPr>
        <w:ind w:firstLine="0"/>
      </w:pPr>
      <w:r>
        <w:t>Conclusions: HD-induced myocardial stunning is common, and may contribute to the development of heart failure and increased mortality in HD patients. Enhanced understanding of dialysis-induced cardiac injury may provide novel therapeutic targets to reduce currently excessive rates of cardiovascular morbidity and mortality.</w:t>
      </w:r>
    </w:p>
    <w:p w:rsidR="004D694A" w:rsidRPr="006F250B" w:rsidRDefault="004D694A" w:rsidP="004D694A"/>
    <w:p w:rsidR="00D848D9" w:rsidRDefault="004D694A" w:rsidP="00D848D9">
      <w:r w:rsidRPr="006F250B">
        <w:t xml:space="preserve">2. </w:t>
      </w:r>
      <w:proofErr w:type="spellStart"/>
      <w:r w:rsidRPr="006F250B">
        <w:t>Flythe</w:t>
      </w:r>
      <w:proofErr w:type="spellEnd"/>
      <w:r w:rsidRPr="006F250B">
        <w:t xml:space="preserve"> JE, Kimmel SE, </w:t>
      </w:r>
      <w:proofErr w:type="spellStart"/>
      <w:r w:rsidRPr="006F250B">
        <w:t>Brunelli</w:t>
      </w:r>
      <w:proofErr w:type="spellEnd"/>
      <w:r w:rsidRPr="006F250B">
        <w:t xml:space="preserve"> SM. Rapid fluid removal during dialysis is associated with cardiovascular morbidity and mortality. Kidney International (2011) Jan; 79(2):250-7. PMID: 20927040</w:t>
      </w:r>
    </w:p>
    <w:p w:rsidR="00D848D9" w:rsidRPr="006F250B" w:rsidRDefault="00D848D9" w:rsidP="00D848D9">
      <w:pPr>
        <w:ind w:firstLine="0"/>
      </w:pPr>
      <w:r>
        <w:t>Abstract: Patients receiving hemodialysis have high rates of cardiovascular morbidity and mortality that may be related to the hemodynamic effects of rapid ultrafiltration. Here we tested whether higher dialytic ultrafiltration rates are associated with greater all-cause and cardiovascular mortality, and hospitalization for cardiovascular disease. We used data from the Hemodialysis Study, an almost-7-year randomized clinical trial of 1846 patients receiving thrice-weekly chronic dialysis. The ultrafiltration rates were divided into three categories: up to 10 ml/h/kg, 10-13 ml/h/kg, and over 13 ml/h/kg. Compared to ultrafiltration rates in the lowest group, rates in the highest were significantly associated with increased all-cause and cardiovascular-related mortality with adjusted hazard ratios of 1.59 and 1.71, respectively. Overall, ultrafiltration rates between 10-13 ml/h/kg were not associated with all-cause or cardiovascular mortality; however, they were significantly associated among participants with congestive heart failure. Cubic spline interpolation suggested that the risk of all-cause and cardiovascular mortality began to increase at ultrafiltration rates over 10 ml/h/kg regardless of the status of congestive heart failure. Hence, higher ultrafiltration rates in hemodialysis patients are associated with a greater risk of all-cause and cardiovascular death.</w:t>
      </w:r>
    </w:p>
    <w:p w:rsidR="004D694A" w:rsidRPr="006F250B" w:rsidRDefault="004D694A" w:rsidP="004D694A"/>
    <w:p w:rsidR="004D694A" w:rsidRDefault="004D694A" w:rsidP="004D694A">
      <w:r w:rsidRPr="006F250B">
        <w:t xml:space="preserve">3. </w:t>
      </w:r>
      <w:proofErr w:type="spellStart"/>
      <w:r w:rsidRPr="006F250B">
        <w:t>Flythe</w:t>
      </w:r>
      <w:proofErr w:type="spellEnd"/>
      <w:r w:rsidRPr="006F250B">
        <w:t xml:space="preserve"> JE, </w:t>
      </w:r>
      <w:proofErr w:type="spellStart"/>
      <w:r w:rsidRPr="006F250B">
        <w:t>Curhan</w:t>
      </w:r>
      <w:proofErr w:type="spellEnd"/>
      <w:r w:rsidRPr="006F250B">
        <w:t xml:space="preserve"> GC, </w:t>
      </w:r>
      <w:proofErr w:type="spellStart"/>
      <w:r w:rsidRPr="006F250B">
        <w:t>Brunelli</w:t>
      </w:r>
      <w:proofErr w:type="spellEnd"/>
      <w:r w:rsidRPr="006F250B">
        <w:t xml:space="preserve"> SM. Disentangling the Ultrafiltration Rate–Mortality Association: The Respective Roles of Session Length and Weight Gain. </w:t>
      </w:r>
      <w:proofErr w:type="spellStart"/>
      <w:r w:rsidRPr="006F250B">
        <w:t>Clin</w:t>
      </w:r>
      <w:proofErr w:type="spellEnd"/>
      <w:r w:rsidRPr="006F250B">
        <w:t xml:space="preserve"> J Am </w:t>
      </w:r>
      <w:proofErr w:type="spellStart"/>
      <w:r w:rsidRPr="006F250B">
        <w:t>Soc</w:t>
      </w:r>
      <w:proofErr w:type="spellEnd"/>
      <w:r w:rsidRPr="006F250B">
        <w:t xml:space="preserve"> </w:t>
      </w:r>
      <w:proofErr w:type="spellStart"/>
      <w:r w:rsidRPr="006F250B">
        <w:t>Nephrol</w:t>
      </w:r>
      <w:proofErr w:type="spellEnd"/>
      <w:r w:rsidRPr="006F250B">
        <w:t>. 2013 Jul</w:t>
      </w:r>
      <w:proofErr w:type="gramStart"/>
      <w:r w:rsidRPr="006F250B">
        <w:t>;8</w:t>
      </w:r>
      <w:proofErr w:type="gramEnd"/>
      <w:r w:rsidRPr="006F250B">
        <w:t>(7):1151-61</w:t>
      </w:r>
    </w:p>
    <w:p w:rsidR="00D848D9" w:rsidRDefault="00D848D9" w:rsidP="00D848D9">
      <w:pPr>
        <w:ind w:firstLine="0"/>
      </w:pPr>
      <w:r>
        <w:t>BACKGROUND AND OBJECTIVES:</w:t>
      </w:r>
    </w:p>
    <w:p w:rsidR="00D848D9" w:rsidRDefault="00D848D9" w:rsidP="00D848D9">
      <w:pPr>
        <w:ind w:firstLine="0"/>
      </w:pPr>
      <w:r>
        <w:t xml:space="preserve">Rapid ultrafiltration rate is associated with increased mortality among hemodialysis patients. Ultrafiltration rates are determined by </w:t>
      </w:r>
      <w:proofErr w:type="spellStart"/>
      <w:r>
        <w:t>interdialytic</w:t>
      </w:r>
      <w:proofErr w:type="spellEnd"/>
      <w:r>
        <w:t xml:space="preserve"> weight gain and session length. Although both </w:t>
      </w:r>
      <w:proofErr w:type="spellStart"/>
      <w:r>
        <w:t>interdialytic</w:t>
      </w:r>
      <w:proofErr w:type="spellEnd"/>
      <w:r>
        <w:t xml:space="preserve"> weight gain and session length have been linked to mortality, the relationship of each to mortality, independent of the other, is not adequately defined. This study was designed to evaluate whether shorter session length independent of weight gain and larger weight gain independent of session length are associated with increased mortality.</w:t>
      </w:r>
    </w:p>
    <w:p w:rsidR="00D848D9" w:rsidRDefault="00D848D9" w:rsidP="00D848D9">
      <w:pPr>
        <w:ind w:firstLine="0"/>
      </w:pPr>
      <w:r>
        <w:t>DESIGN, SETTING, PARTICIPANTS, &amp; MEASUREMENTS:</w:t>
      </w:r>
    </w:p>
    <w:p w:rsidR="00D848D9" w:rsidRDefault="00D848D9" w:rsidP="00D848D9">
      <w:pPr>
        <w:ind w:firstLine="0"/>
      </w:pPr>
      <w:r>
        <w:t xml:space="preserve">Data were taken from a national cohort of 14,643 prevalent, thrice-weekly, in-center hemodialysis patients dialyzing from 2005 to 2009 (median survival time, 25 months) at a single dialysis </w:t>
      </w:r>
      <w:r>
        <w:lastRenderedPageBreak/>
        <w:t xml:space="preserve">organization. Patients with adequate urea clearance and delivered dialysis session ≥240 and &lt;240 minutes were pair-matched on </w:t>
      </w:r>
      <w:proofErr w:type="spellStart"/>
      <w:r>
        <w:t>interdialytic</w:t>
      </w:r>
      <w:proofErr w:type="spellEnd"/>
      <w:r>
        <w:t xml:space="preserve"> weight gain (n=1794), and patients with weight gain ≤3 and &gt;3 kg were pair-matched on session length (n=2114); mortality associations were estimated separately.</w:t>
      </w:r>
    </w:p>
    <w:p w:rsidR="00D848D9" w:rsidRDefault="00D848D9" w:rsidP="00D848D9">
      <w:pPr>
        <w:ind w:firstLine="0"/>
      </w:pPr>
      <w:r>
        <w:t>RESULTS:</w:t>
      </w:r>
    </w:p>
    <w:p w:rsidR="00D848D9" w:rsidRDefault="00D848D9" w:rsidP="00D848D9">
      <w:pPr>
        <w:ind w:firstLine="0"/>
      </w:pPr>
      <w:r>
        <w:t>Compared with delivered session length ≥240, session length &lt;240 minutes was associated with increased all-cause mortality (adjusted hazard ratio [95% confidence interval], 1.32 [1.03 to 1.69]). Compared with weight gain ≤3, weight gain &gt;3 kg was associated with increased mortality (1.29 [1.01 to 1.65]). The associations were consistent across strata of age, sex, weight, and weight gain and session length. Secondary analyses demonstrated dose-response relationships between both and mortality.</w:t>
      </w:r>
    </w:p>
    <w:p w:rsidR="00D848D9" w:rsidRDefault="00D848D9" w:rsidP="00D848D9">
      <w:pPr>
        <w:ind w:firstLine="0"/>
      </w:pPr>
      <w:r>
        <w:t>CONCLUSIONS:</w:t>
      </w:r>
    </w:p>
    <w:p w:rsidR="00D848D9" w:rsidRPr="006F250B" w:rsidRDefault="00D848D9" w:rsidP="00D848D9">
      <w:pPr>
        <w:ind w:firstLine="0"/>
      </w:pPr>
      <w:r>
        <w:t xml:space="preserve">Among patients with adequate urea clearance, shorter dialysis session length and greater </w:t>
      </w:r>
      <w:proofErr w:type="spellStart"/>
      <w:r>
        <w:t>interdialytic</w:t>
      </w:r>
      <w:proofErr w:type="spellEnd"/>
      <w:r>
        <w:t xml:space="preserve"> weight gain are associated with increased mortality; thus, both are viable targets for directed intervention.</w:t>
      </w:r>
    </w:p>
    <w:p w:rsidR="004D694A" w:rsidRPr="006F250B" w:rsidRDefault="004D694A" w:rsidP="004D694A"/>
    <w:p w:rsidR="004D694A" w:rsidRDefault="004D694A" w:rsidP="004D694A">
      <w:r w:rsidRPr="006F250B">
        <w:t>4. Jefferies HJ, Virk B, Schiller B, Moran J, McIntyre CW.</w:t>
      </w:r>
      <w:r w:rsidR="00D848D9">
        <w:t xml:space="preserve"> </w:t>
      </w:r>
      <w:r w:rsidR="00D848D9" w:rsidRPr="00D848D9">
        <w:t>Frequent hemodialysis schedules are associated with reduced levels of dialysis-induced cardiac injury (myocardial stunning).</w:t>
      </w:r>
      <w:r w:rsidRPr="006F250B">
        <w:t xml:space="preserve"> </w:t>
      </w:r>
      <w:proofErr w:type="spellStart"/>
      <w:r w:rsidRPr="006F250B">
        <w:t>Clin</w:t>
      </w:r>
      <w:proofErr w:type="spellEnd"/>
      <w:r w:rsidRPr="006F250B">
        <w:t xml:space="preserve"> J Am </w:t>
      </w:r>
      <w:proofErr w:type="spellStart"/>
      <w:r w:rsidRPr="006F250B">
        <w:t>Soc</w:t>
      </w:r>
      <w:proofErr w:type="spellEnd"/>
      <w:r w:rsidRPr="006F250B">
        <w:t xml:space="preserve"> </w:t>
      </w:r>
      <w:proofErr w:type="spellStart"/>
      <w:r w:rsidRPr="006F250B">
        <w:t>Nephrol</w:t>
      </w:r>
      <w:proofErr w:type="spellEnd"/>
      <w:r w:rsidRPr="006F250B">
        <w:t>. 2011 Jun</w:t>
      </w:r>
      <w:proofErr w:type="gramStart"/>
      <w:r w:rsidRPr="006F250B">
        <w:t>;6</w:t>
      </w:r>
      <w:proofErr w:type="gramEnd"/>
      <w:r w:rsidRPr="006F250B">
        <w:t>(6):1326-32</w:t>
      </w:r>
    </w:p>
    <w:p w:rsidR="00D848D9" w:rsidRDefault="00D848D9" w:rsidP="00D848D9">
      <w:pPr>
        <w:ind w:firstLine="0"/>
      </w:pPr>
      <w:r>
        <w:t>BACKGROUND AND OBJECTIVES:</w:t>
      </w:r>
    </w:p>
    <w:p w:rsidR="00D848D9" w:rsidRDefault="00D848D9" w:rsidP="00D848D9">
      <w:pPr>
        <w:ind w:firstLine="0"/>
      </w:pPr>
      <w:r>
        <w:t>Recurrent hemodialysis (HD)-induced ischemic cardiac injury (myocardial stunning) is common and associated with high ultrafiltration (UF) requirements, intradialytic hypotension, long-term loss of systolic function, increased likelihood of cardiovascular events, and death. More frequent HD regimens are associated with lower UF requirements and improved hemodynamic tolerability, improved cardiovascular outcomes, and reduced mortality compared with conventional thrice-weekly HD. This study investigated the hypothesis that modification of UF volume and rate with more frequent HD therapies would abrogate dialysis-induced myocardial stunning.</w:t>
      </w:r>
    </w:p>
    <w:p w:rsidR="00D848D9" w:rsidRDefault="00D848D9" w:rsidP="00D848D9">
      <w:pPr>
        <w:ind w:firstLine="0"/>
      </w:pPr>
      <w:r>
        <w:t>DESIGN, SETTINGS, PARTICIPANTS, &amp; MEASUREMENTS:</w:t>
      </w:r>
    </w:p>
    <w:p w:rsidR="00D848D9" w:rsidRDefault="00D848D9" w:rsidP="00D848D9">
      <w:pPr>
        <w:ind w:firstLine="0"/>
      </w:pPr>
      <w:r>
        <w:t>A cross-sectional study of 46 patients established on hemodialysis &gt;3 months compared four groups receiving the current range of quotidian therapies: conventional thrice-weekly HD (CHD3); more-frequent HD five to six times/week in a center (CSD) and at home (HSD); and home nocturnal HD (HN). Serial echocardiography quantitatively assessed regional systolic function to identify intradialytic left ventricular regional wall motion abnormalities (RWMAs). Cardiac troponin T (</w:t>
      </w:r>
      <w:proofErr w:type="spellStart"/>
      <w:r>
        <w:t>cTnT</w:t>
      </w:r>
      <w:proofErr w:type="spellEnd"/>
      <w:r>
        <w:t>), N-terminal prohormone brain natriuretic peptide (NT-</w:t>
      </w:r>
      <w:proofErr w:type="spellStart"/>
      <w:r>
        <w:t>proBNP</w:t>
      </w:r>
      <w:proofErr w:type="spellEnd"/>
      <w:r>
        <w:t>), and inflammatory markers were quantified.</w:t>
      </w:r>
    </w:p>
    <w:p w:rsidR="00D848D9" w:rsidRDefault="00D848D9" w:rsidP="00D848D9">
      <w:pPr>
        <w:ind w:firstLine="0"/>
      </w:pPr>
      <w:r>
        <w:t>RESULTS:</w:t>
      </w:r>
    </w:p>
    <w:p w:rsidR="00D848D9" w:rsidRDefault="00D848D9" w:rsidP="00D848D9">
      <w:pPr>
        <w:ind w:firstLine="0"/>
      </w:pPr>
      <w:r>
        <w:t>More frequent HD regimens were associated with lower UF volumes and rates compared with CHD3. Intradialytic fall in systolic BP was reduced in CSD and HSD groups and abolished in HN group. Mean RWMAs per patient reduced with increasing dialysis intensity (CHD3 &gt; CSD &gt; HSD &gt; HN). Home-based groups demonstrated lower high-sensitivity C-</w:t>
      </w:r>
      <w:proofErr w:type="spellStart"/>
      <w:r>
        <w:t>reative</w:t>
      </w:r>
      <w:proofErr w:type="spellEnd"/>
      <w:r>
        <w:t xml:space="preserve"> protein levels, with trends to lower </w:t>
      </w:r>
      <w:proofErr w:type="spellStart"/>
      <w:r>
        <w:t>cTnT</w:t>
      </w:r>
      <w:proofErr w:type="spellEnd"/>
      <w:r>
        <w:t xml:space="preserve"> and NT-</w:t>
      </w:r>
      <w:proofErr w:type="spellStart"/>
      <w:r>
        <w:t>proBNP</w:t>
      </w:r>
      <w:proofErr w:type="spellEnd"/>
      <w:r>
        <w:t xml:space="preserve"> levels in the more frequent groups.</w:t>
      </w:r>
    </w:p>
    <w:p w:rsidR="00D848D9" w:rsidRDefault="00D848D9" w:rsidP="00D848D9">
      <w:pPr>
        <w:ind w:firstLine="0"/>
      </w:pPr>
      <w:r>
        <w:t>CONCLUSIONS:</w:t>
      </w:r>
    </w:p>
    <w:p w:rsidR="00D848D9" w:rsidRPr="006F250B" w:rsidRDefault="00D848D9" w:rsidP="00D848D9">
      <w:pPr>
        <w:ind w:firstLine="0"/>
      </w:pPr>
      <w:r>
        <w:t>Frequent HD regimes are associated with less dialysis-induced myocardial stunning compared with conventional HD. This may contribute to improved outcomes associated with frequent HD therapies.</w:t>
      </w:r>
    </w:p>
    <w:p w:rsidR="004D694A" w:rsidRPr="006F250B" w:rsidRDefault="004D694A" w:rsidP="004D694A"/>
    <w:p w:rsidR="004D694A" w:rsidRDefault="004D694A" w:rsidP="004D694A">
      <w:r w:rsidRPr="006F250B">
        <w:t xml:space="preserve">5. </w:t>
      </w:r>
      <w:proofErr w:type="spellStart"/>
      <w:r w:rsidRPr="006F250B">
        <w:t>Movilli</w:t>
      </w:r>
      <w:proofErr w:type="spellEnd"/>
      <w:r w:rsidRPr="006F250B">
        <w:t xml:space="preserve">, </w:t>
      </w:r>
      <w:proofErr w:type="spellStart"/>
      <w:r w:rsidRPr="006F250B">
        <w:t>Ezio</w:t>
      </w:r>
      <w:proofErr w:type="spellEnd"/>
      <w:r w:rsidRPr="006F250B">
        <w:t xml:space="preserve">, et al. “Association between high ultrafiltration rates and mortality in </w:t>
      </w:r>
      <w:proofErr w:type="spellStart"/>
      <w:r w:rsidRPr="006F250B">
        <w:t>uraemic</w:t>
      </w:r>
      <w:proofErr w:type="spellEnd"/>
      <w:r w:rsidRPr="006F250B">
        <w:t xml:space="preserve"> patients on regular </w:t>
      </w:r>
      <w:proofErr w:type="spellStart"/>
      <w:r w:rsidRPr="006F250B">
        <w:t>haemodialysis</w:t>
      </w:r>
      <w:proofErr w:type="spellEnd"/>
      <w:r w:rsidRPr="006F250B">
        <w:t xml:space="preserve">. </w:t>
      </w:r>
      <w:proofErr w:type="gramStart"/>
      <w:r w:rsidRPr="006F250B">
        <w:t>A 5-year prospective observational multicenter study.”</w:t>
      </w:r>
      <w:proofErr w:type="gramEnd"/>
      <w:r w:rsidRPr="006F250B">
        <w:t xml:space="preserve"> Nephrology Dialysis Transplantation 22.12(2007): 3547-3552</w:t>
      </w:r>
    </w:p>
    <w:p w:rsidR="00D848D9" w:rsidRDefault="00D848D9" w:rsidP="00D848D9">
      <w:pPr>
        <w:ind w:firstLine="0"/>
      </w:pPr>
      <w:r>
        <w:lastRenderedPageBreak/>
        <w:t>BACKGROUND:</w:t>
      </w:r>
    </w:p>
    <w:p w:rsidR="00D848D9" w:rsidRDefault="00D848D9" w:rsidP="00D848D9">
      <w:pPr>
        <w:ind w:firstLine="0"/>
      </w:pPr>
      <w:r>
        <w:t xml:space="preserve">High ultrafiltration rate on </w:t>
      </w:r>
      <w:proofErr w:type="spellStart"/>
      <w:r>
        <w:t>haemodialysis</w:t>
      </w:r>
      <w:proofErr w:type="spellEnd"/>
      <w:r>
        <w:t xml:space="preserve"> (HD) stresses the cardiovascular system and could have a negative effect on survival.</w:t>
      </w:r>
    </w:p>
    <w:p w:rsidR="00D848D9" w:rsidRDefault="00D848D9" w:rsidP="00D848D9">
      <w:pPr>
        <w:ind w:firstLine="0"/>
      </w:pPr>
      <w:r>
        <w:t>METHODS:</w:t>
      </w:r>
    </w:p>
    <w:p w:rsidR="00D848D9" w:rsidRDefault="00D848D9" w:rsidP="00D848D9">
      <w:pPr>
        <w:ind w:firstLine="0"/>
      </w:pPr>
      <w:r>
        <w:t xml:space="preserve">The effect of ultrafiltration rate (UFR; ml/h/kg BW) on mortality was prospectively evaluated in a cohort of 287 prevalent </w:t>
      </w:r>
      <w:proofErr w:type="spellStart"/>
      <w:r>
        <w:t>uraemic</w:t>
      </w:r>
      <w:proofErr w:type="spellEnd"/>
      <w:r>
        <w:t xml:space="preserve"> patients in regular HD from 1 January 2000 to 31 December 2005.</w:t>
      </w:r>
    </w:p>
    <w:p w:rsidR="00D848D9" w:rsidRDefault="00D848D9" w:rsidP="00D848D9">
      <w:pPr>
        <w:ind w:firstLine="0"/>
      </w:pPr>
      <w:r>
        <w:t>PATIENTS:</w:t>
      </w:r>
    </w:p>
    <w:p w:rsidR="00D848D9" w:rsidRDefault="00D848D9" w:rsidP="00D848D9">
      <w:pPr>
        <w:ind w:firstLine="0"/>
      </w:pPr>
      <w:r>
        <w:t xml:space="preserve">165 men and 122 women, age 66 +/- 13 years, on regular HD for at least 6 months, median: 48 months (range 6-372 months). Mean UFR was 12.7 +/- 3.5 ml/h/kg BW, </w:t>
      </w:r>
      <w:proofErr w:type="spellStart"/>
      <w:r>
        <w:t>Kt</w:t>
      </w:r>
      <w:proofErr w:type="spellEnd"/>
      <w:r>
        <w:t xml:space="preserve">/V: 1.27 +/- 0.13, body weight (BW): 62 +/- 13 kg, </w:t>
      </w:r>
      <w:proofErr w:type="spellStart"/>
      <w:r>
        <w:t>PCRn</w:t>
      </w:r>
      <w:proofErr w:type="spellEnd"/>
      <w:r>
        <w:t xml:space="preserve">: 1.11 +/- 0.20 g/kg/day, duration of dialysis: median 240 min (range 180-300 min), mean arterial blood pressure (MAP) 99 +/- 9 mm/Hg. One hundred and forty nine patients (52%) died, mainly for cardiovascular reasons (69%). Multivariate Cox regression analysis was utilized to evaluate the effect on mortality of UFR, age, sex, dialytic vintage, cardiovascular disease (CVD), diabetes, dialysis modality, duration of HD, BW, </w:t>
      </w:r>
      <w:proofErr w:type="spellStart"/>
      <w:r>
        <w:t>interdialytic</w:t>
      </w:r>
      <w:proofErr w:type="spellEnd"/>
      <w:r>
        <w:t xml:space="preserve"> weight gain (IWG), body mass index (BMI), MAP, pulse pressure (PP), </w:t>
      </w:r>
      <w:proofErr w:type="spellStart"/>
      <w:r>
        <w:t>Kt</w:t>
      </w:r>
      <w:proofErr w:type="spellEnd"/>
      <w:r>
        <w:t xml:space="preserve">/V, </w:t>
      </w:r>
      <w:proofErr w:type="spellStart"/>
      <w:r>
        <w:t>PCRn</w:t>
      </w:r>
      <w:proofErr w:type="spellEnd"/>
      <w:r>
        <w:t>.</w:t>
      </w:r>
    </w:p>
    <w:p w:rsidR="00D848D9" w:rsidRDefault="00D848D9" w:rsidP="00D848D9">
      <w:pPr>
        <w:ind w:firstLine="0"/>
      </w:pPr>
      <w:r>
        <w:t>RESULTS:</w:t>
      </w:r>
    </w:p>
    <w:p w:rsidR="00D848D9" w:rsidRDefault="00D848D9" w:rsidP="00D848D9">
      <w:pPr>
        <w:ind w:firstLine="0"/>
      </w:pPr>
      <w:r>
        <w:t xml:space="preserve">Age (HR 1.06; CI 1.04-1.08; P &lt; 0.0001), </w:t>
      </w:r>
      <w:proofErr w:type="spellStart"/>
      <w:r>
        <w:t>PCRn</w:t>
      </w:r>
      <w:proofErr w:type="spellEnd"/>
      <w:r>
        <w:t xml:space="preserve"> (HR 0.17, CI 0.07-0.43; P &lt; 0.0001), diabetes (HR 1.81, CI 1.24-2.47; P = 0.007), CVD (HR 1.86; CI 1.32-2.62; P = 0.007) and UFR (HR 1.22; CI 1.16-1.28; P &lt; 0.0001) were identified as factors independently correlated to survival. We estimated the discrimination potential of UFR, evaluated at baseline, in predicting death at 5 years, calculating the relative receiver operating characteristic (ROC) curves and the cut-off that minimizes the absolute difference between sensitivity and specificity.</w:t>
      </w:r>
    </w:p>
    <w:p w:rsidR="00D848D9" w:rsidRDefault="00D848D9" w:rsidP="00D848D9">
      <w:pPr>
        <w:ind w:firstLine="0"/>
      </w:pPr>
      <w:r>
        <w:t>CONCLUSIONS:</w:t>
      </w:r>
    </w:p>
    <w:p w:rsidR="00D848D9" w:rsidRPr="006F250B" w:rsidRDefault="00D848D9" w:rsidP="00D848D9">
      <w:pPr>
        <w:ind w:firstLine="0"/>
      </w:pPr>
      <w:r>
        <w:t>High UFRs are independently associated with increased mortality risk in HD patients. Better survival was observed with UFR &lt; 12.37 ml/h/kg BW. For patients with higher UFRs, longer or more frequent dialysis sessions should be considered in order to prevent the deleterious consequences of excessive UFR.</w:t>
      </w:r>
    </w:p>
    <w:p w:rsidR="004D694A" w:rsidRPr="006F250B" w:rsidRDefault="004D694A" w:rsidP="004D694A"/>
    <w:p w:rsidR="004D694A" w:rsidRDefault="004D694A" w:rsidP="004D694A">
      <w:r w:rsidRPr="006F250B">
        <w:t>6. McIntyre CW. “</w:t>
      </w:r>
      <w:proofErr w:type="spellStart"/>
      <w:r w:rsidRPr="006F250B">
        <w:t>Haemodialysis</w:t>
      </w:r>
      <w:proofErr w:type="spellEnd"/>
      <w:r w:rsidRPr="006F250B">
        <w:t xml:space="preserve">-induced myocardial stunning in chronic kidney disease—a new aspect of cardiovascular disease.” </w:t>
      </w:r>
      <w:proofErr w:type="gramStart"/>
      <w:r w:rsidRPr="006F250B">
        <w:t xml:space="preserve">Blood </w:t>
      </w:r>
      <w:proofErr w:type="spellStart"/>
      <w:r w:rsidRPr="006F250B">
        <w:t>Purif</w:t>
      </w:r>
      <w:proofErr w:type="spellEnd"/>
      <w:r w:rsidRPr="006F250B">
        <w:t>.</w:t>
      </w:r>
      <w:proofErr w:type="gramEnd"/>
      <w:r w:rsidRPr="006F250B">
        <w:t xml:space="preserve"> 2010</w:t>
      </w:r>
      <w:proofErr w:type="gramStart"/>
      <w:r w:rsidRPr="006F250B">
        <w:t>;29:105</w:t>
      </w:r>
      <w:proofErr w:type="gramEnd"/>
      <w:r w:rsidRPr="006F250B">
        <w:t>–10.</w:t>
      </w:r>
    </w:p>
    <w:p w:rsidR="00D848D9" w:rsidRPr="006F250B" w:rsidRDefault="00D848D9" w:rsidP="00D848D9">
      <w:pPr>
        <w:ind w:firstLine="0"/>
      </w:pPr>
      <w:r>
        <w:t xml:space="preserve">Abstract: </w:t>
      </w:r>
      <w:r w:rsidRPr="00D848D9">
        <w:t xml:space="preserve">Chronic </w:t>
      </w:r>
      <w:proofErr w:type="spellStart"/>
      <w:r w:rsidRPr="00D848D9">
        <w:t>haemodialysis</w:t>
      </w:r>
      <w:proofErr w:type="spellEnd"/>
      <w:r w:rsidRPr="00D848D9">
        <w:t xml:space="preserve"> (HD) patients are already primed by a large number of structural and functional peripheral vascular and cardiac abnormalities to experience demand myocardial </w:t>
      </w:r>
      <w:proofErr w:type="spellStart"/>
      <w:r w:rsidRPr="00D848D9">
        <w:t>ischaemia</w:t>
      </w:r>
      <w:proofErr w:type="spellEnd"/>
      <w:r w:rsidRPr="00D848D9">
        <w:t xml:space="preserve">. Transient myocardial </w:t>
      </w:r>
      <w:proofErr w:type="spellStart"/>
      <w:r w:rsidRPr="00D848D9">
        <w:t>ischaemia</w:t>
      </w:r>
      <w:proofErr w:type="spellEnd"/>
      <w:r w:rsidRPr="00D848D9">
        <w:t xml:space="preserve"> may lead to left ventricular (LV) dysfunction that can persist after the return of normal perfusion. This prolonged dysfunction is known as myocardial stunning. Repetitive episodes of </w:t>
      </w:r>
      <w:proofErr w:type="spellStart"/>
      <w:r w:rsidRPr="00D848D9">
        <w:t>ischaemia</w:t>
      </w:r>
      <w:proofErr w:type="spellEnd"/>
      <w:r w:rsidRPr="00D848D9">
        <w:t xml:space="preserve"> can be cumulative and have been shown to lead to prolonged LV dysfunction (in patients with </w:t>
      </w:r>
      <w:proofErr w:type="spellStart"/>
      <w:r w:rsidRPr="00D848D9">
        <w:t>ischaemic</w:t>
      </w:r>
      <w:proofErr w:type="spellEnd"/>
      <w:r w:rsidRPr="00D848D9">
        <w:t xml:space="preserve"> heart disease). Conventional HD itself is a sufficient cardiovascular functional stressor to precipitate such recurrent </w:t>
      </w:r>
      <w:proofErr w:type="spellStart"/>
      <w:r w:rsidRPr="00D848D9">
        <w:t>ischaemic</w:t>
      </w:r>
      <w:proofErr w:type="spellEnd"/>
      <w:r w:rsidRPr="00D848D9">
        <w:t xml:space="preserve"> insults, leading to myocardial functional and structural changes, eventually resulting in fixed systolic dysfunction and heart failure (conferring a dismal prognosis for patients undergoing dialysis). Furthermore these same </w:t>
      </w:r>
      <w:proofErr w:type="spellStart"/>
      <w:r w:rsidRPr="00D848D9">
        <w:t>haemodynamic</w:t>
      </w:r>
      <w:proofErr w:type="spellEnd"/>
      <w:r w:rsidRPr="00D848D9">
        <w:t xml:space="preserve"> insults may also adversely affect other vascular beds in other vulnerable organ systems, driving an even wider range of pathophysiological processes. A variety of therapeutic </w:t>
      </w:r>
      <w:proofErr w:type="spellStart"/>
      <w:r w:rsidRPr="00D848D9">
        <w:t>manoeuvres</w:t>
      </w:r>
      <w:proofErr w:type="spellEnd"/>
      <w:r w:rsidRPr="00D848D9">
        <w:t xml:space="preserve"> aimed at improving the </w:t>
      </w:r>
      <w:proofErr w:type="spellStart"/>
      <w:r w:rsidRPr="00D848D9">
        <w:t>haemodynamic</w:t>
      </w:r>
      <w:proofErr w:type="spellEnd"/>
      <w:r w:rsidRPr="00D848D9">
        <w:t xml:space="preserve"> tolerability of treatment have been shown to reduce acute dialysis-induced myocardial </w:t>
      </w:r>
      <w:proofErr w:type="spellStart"/>
      <w:r w:rsidRPr="00D848D9">
        <w:t>ischaemia</w:t>
      </w:r>
      <w:proofErr w:type="spellEnd"/>
      <w:r w:rsidRPr="00D848D9">
        <w:t>. This article aims to give an appreciation of the possibility that modification of the dialysis treatment to improve tolerability of therapy may have the potential to provide us with additional therapeutic targets, to reduce currently excessive rates of cardiovascular morbidity and mortality.</w:t>
      </w:r>
    </w:p>
    <w:p w:rsidR="004D694A" w:rsidRPr="006F250B" w:rsidRDefault="004D694A" w:rsidP="004D694A"/>
    <w:p w:rsidR="004D694A" w:rsidRDefault="004D694A" w:rsidP="004D694A">
      <w:r w:rsidRPr="006F250B">
        <w:lastRenderedPageBreak/>
        <w:t xml:space="preserve">7. Saran R, Bragg-Gresham JL, Levin NW, </w:t>
      </w:r>
      <w:proofErr w:type="spellStart"/>
      <w:r w:rsidRPr="006F250B">
        <w:t>Twardowski</w:t>
      </w:r>
      <w:proofErr w:type="spellEnd"/>
      <w:r w:rsidRPr="006F250B">
        <w:t xml:space="preserve"> ZJ, </w:t>
      </w:r>
      <w:proofErr w:type="spellStart"/>
      <w:r w:rsidRPr="006F250B">
        <w:t>Wizemann</w:t>
      </w:r>
      <w:proofErr w:type="spellEnd"/>
      <w:r w:rsidRPr="006F250B">
        <w:t xml:space="preserve"> V, Saito A, </w:t>
      </w:r>
      <w:proofErr w:type="spellStart"/>
      <w:r w:rsidRPr="006F250B">
        <w:t>Kimata</w:t>
      </w:r>
      <w:proofErr w:type="spellEnd"/>
      <w:r w:rsidRPr="006F250B">
        <w:t xml:space="preserve"> N, Gillespie BW, </w:t>
      </w:r>
      <w:proofErr w:type="spellStart"/>
      <w:r w:rsidRPr="006F250B">
        <w:t>Combe</w:t>
      </w:r>
      <w:proofErr w:type="spellEnd"/>
      <w:r w:rsidRPr="006F250B">
        <w:t xml:space="preserve"> C, </w:t>
      </w:r>
      <w:proofErr w:type="spellStart"/>
      <w:r w:rsidRPr="006F250B">
        <w:t>Bommer</w:t>
      </w:r>
      <w:proofErr w:type="spellEnd"/>
      <w:r w:rsidRPr="006F250B">
        <w:t xml:space="preserve"> J, </w:t>
      </w:r>
      <w:proofErr w:type="spellStart"/>
      <w:r w:rsidRPr="006F250B">
        <w:t>Akiba</w:t>
      </w:r>
      <w:proofErr w:type="spellEnd"/>
      <w:r w:rsidRPr="006F250B">
        <w:t xml:space="preserve"> T, </w:t>
      </w:r>
      <w:proofErr w:type="spellStart"/>
      <w:r w:rsidRPr="006F250B">
        <w:t>Mapes</w:t>
      </w:r>
      <w:proofErr w:type="spellEnd"/>
      <w:r w:rsidRPr="006F250B">
        <w:t xml:space="preserve"> DL, Young EW, Port FK.: “Longer treatment time and slower ultrafiltration in hemodialysis: associations with reduced mortality in the DOPPS.” </w:t>
      </w:r>
      <w:proofErr w:type="gramStart"/>
      <w:r w:rsidRPr="006F250B">
        <w:t>Kidney International (2006) 69: 1222–28.</w:t>
      </w:r>
      <w:proofErr w:type="gramEnd"/>
    </w:p>
    <w:p w:rsidR="00D848D9" w:rsidRPr="006F250B" w:rsidRDefault="00D848D9" w:rsidP="00D848D9">
      <w:pPr>
        <w:ind w:firstLine="0"/>
      </w:pPr>
      <w:r>
        <w:t>Abstract: Longer treatment time (TT) and slower ultrafiltration rate (UFR) are considered advantageous for hemodialysis (HD) patients. The study included 22,000 HD patients from seven countries in the Dialysis Outcomes and Practice Patterns Study (DOPPS). Logistic regression was used to study predictors of TT &gt; 240 min and UFR &gt; 10 ml/h/kg bodyweight. Cox regression was used for survival analyses. Statistical adjustments were made for patient demographics, comorbidities, dose of dialysis (</w:t>
      </w:r>
      <w:proofErr w:type="spellStart"/>
      <w:r>
        <w:t>Kt</w:t>
      </w:r>
      <w:proofErr w:type="spellEnd"/>
      <w:r>
        <w:t xml:space="preserve">/V), and body size. Europe and Japan had significantly longer (P &lt; 0.0001) average TT than the US (232 and 244 min vs 211 in DOPPS I; 235 and 240 min vs 221 in DOPPS II). </w:t>
      </w:r>
      <w:proofErr w:type="spellStart"/>
      <w:r>
        <w:t>Kt</w:t>
      </w:r>
      <w:proofErr w:type="spellEnd"/>
      <w:r>
        <w:t xml:space="preserve">/V increased concomitantly with TT in all three regions with the largest absolute difference observed in Japan. TT &gt; 240 min was independently associated with significantly lower relative risk (RR) of mortality (RR = 0.81; P = 0.0005). Every 30 min longer on HD was associated with a 7% lower RR of mortality (RR = 0.93; P &lt; 0.0001). The RR reduction with longer TT was greatest in Japan. A synergistic interaction occurred between </w:t>
      </w:r>
      <w:proofErr w:type="spellStart"/>
      <w:r>
        <w:t>Kt</w:t>
      </w:r>
      <w:proofErr w:type="spellEnd"/>
      <w:r>
        <w:t xml:space="preserve">/V and TT (P = 0.007) toward mortality reduction. UFR &gt; 10 ml/h/kg was associated with higher odds of intradialytic hypotension (odds ratio = 1.30; P = 0.045) and a higher risk of mortality (RR = 1.09; P = 0.02). Longer TT and higher </w:t>
      </w:r>
      <w:proofErr w:type="spellStart"/>
      <w:r>
        <w:t>Kt</w:t>
      </w:r>
      <w:proofErr w:type="spellEnd"/>
      <w:r>
        <w:t>/V were independently as well as synergistically associated with lower mortality. Rapid UFR during HD was also associated with higher mortality risk. These results warrant a randomized clinical trial of longer dialysis sessions in thrice-weekly HD.</w:t>
      </w:r>
    </w:p>
    <w:p w:rsidR="004D694A" w:rsidRPr="006F250B" w:rsidRDefault="004D694A" w:rsidP="004D694A"/>
    <w:p w:rsidR="00837121" w:rsidRDefault="004D694A" w:rsidP="004D694A">
      <w:r w:rsidRPr="006F250B">
        <w:t xml:space="preserve">8. Shoji T, </w:t>
      </w:r>
      <w:proofErr w:type="spellStart"/>
      <w:r w:rsidRPr="006F250B">
        <w:t>Tsubakihara</w:t>
      </w:r>
      <w:proofErr w:type="spellEnd"/>
      <w:r w:rsidRPr="006F250B">
        <w:t xml:space="preserve"> Y, </w:t>
      </w:r>
      <w:proofErr w:type="spellStart"/>
      <w:r w:rsidRPr="006F250B">
        <w:t>Fujii</w:t>
      </w:r>
      <w:proofErr w:type="spellEnd"/>
      <w:r w:rsidRPr="006F250B">
        <w:t xml:space="preserve"> M, Imai E. Hemodialysis-associated hypotension as an independent risk factor for two-year mortality in hemodialysis patients. </w:t>
      </w:r>
      <w:proofErr w:type="gramStart"/>
      <w:r w:rsidRPr="006F250B">
        <w:t>Kidney International.</w:t>
      </w:r>
      <w:proofErr w:type="gramEnd"/>
      <w:r w:rsidRPr="006F250B">
        <w:t xml:space="preserve"> 2004</w:t>
      </w:r>
      <w:proofErr w:type="gramStart"/>
      <w:r w:rsidRPr="006F250B">
        <w:t>;66</w:t>
      </w:r>
      <w:proofErr w:type="gramEnd"/>
      <w:r w:rsidRPr="006F250B">
        <w:t>(3):1212-20</w:t>
      </w:r>
    </w:p>
    <w:p w:rsidR="00D848D9" w:rsidRDefault="00D848D9" w:rsidP="00D848D9">
      <w:pPr>
        <w:ind w:firstLine="0"/>
      </w:pPr>
      <w:r>
        <w:t>BACKGROUND:</w:t>
      </w:r>
    </w:p>
    <w:p w:rsidR="00D848D9" w:rsidRDefault="00D848D9" w:rsidP="00D848D9">
      <w:pPr>
        <w:ind w:firstLine="0"/>
      </w:pPr>
      <w:r>
        <w:t xml:space="preserve">The relationship between blood pressure (BP) and mortality in hemodialysis patients has remained controversial. Some studies suggested that a lower pre- or </w:t>
      </w:r>
      <w:proofErr w:type="spellStart"/>
      <w:r>
        <w:t>postdialysis</w:t>
      </w:r>
      <w:proofErr w:type="spellEnd"/>
      <w:r>
        <w:t xml:space="preserve"> BP was associated with excess mortality, while others showed poorer outcome in patients with uncontrolled hypertension. We conducted a multicenter prospective cohort study to evaluate the impact of hemodialysis-associated hypotension on mortality.</w:t>
      </w:r>
    </w:p>
    <w:p w:rsidR="00D848D9" w:rsidRDefault="00D848D9" w:rsidP="00D848D9">
      <w:pPr>
        <w:ind w:firstLine="0"/>
      </w:pPr>
      <w:r>
        <w:t>METHODS:</w:t>
      </w:r>
    </w:p>
    <w:p w:rsidR="00D848D9" w:rsidRDefault="00D848D9" w:rsidP="00D848D9">
      <w:pPr>
        <w:ind w:firstLine="0"/>
      </w:pPr>
      <w:r>
        <w:t xml:space="preserve">We recruited 1244 patients (685 males; mean age, 60 +/- 13 years) who underwent hemodialysis in 28 units during the two-year study period beginning in December 1999. Pre-, intra-, and </w:t>
      </w:r>
      <w:proofErr w:type="spellStart"/>
      <w:r>
        <w:t>postdialysis</w:t>
      </w:r>
      <w:proofErr w:type="spellEnd"/>
      <w:r>
        <w:t xml:space="preserve"> BP, and BP upon standing soon after hemodialysis, were measured in all patients at entry. Logistic regression analysis was used to assess the effect on mortality of pre-, intra-, and </w:t>
      </w:r>
      <w:proofErr w:type="spellStart"/>
      <w:r>
        <w:t>postdialysis</w:t>
      </w:r>
      <w:proofErr w:type="spellEnd"/>
      <w:r>
        <w:t xml:space="preserve"> BP, a fall in BP during hemodialysis, and a fall in BP upon standing soon after hemodialysis.</w:t>
      </w:r>
    </w:p>
    <w:p w:rsidR="00D848D9" w:rsidRDefault="00D848D9" w:rsidP="00D848D9">
      <w:pPr>
        <w:ind w:firstLine="0"/>
      </w:pPr>
      <w:r>
        <w:t>RESULTS:</w:t>
      </w:r>
    </w:p>
    <w:p w:rsidR="00D848D9" w:rsidRDefault="00D848D9" w:rsidP="00D848D9">
      <w:pPr>
        <w:ind w:firstLine="0"/>
      </w:pPr>
      <w:r>
        <w:t xml:space="preserve">During the study period, 149 patients died. Logistic models identified the lowest </w:t>
      </w:r>
      <w:proofErr w:type="spellStart"/>
      <w:r>
        <w:t>intradialysis</w:t>
      </w:r>
      <w:proofErr w:type="spellEnd"/>
      <w:r>
        <w:t xml:space="preserve"> systolic blood pressure (SBP) and degree of fall in SBP upon standing soon after hemodialysis as significant factors affecting mortality, but not pre- or </w:t>
      </w:r>
      <w:proofErr w:type="spellStart"/>
      <w:r>
        <w:t>postdialysis</w:t>
      </w:r>
      <w:proofErr w:type="spellEnd"/>
      <w:r>
        <w:t xml:space="preserve"> SBP and diastolic BP. The adjusted odds ratio for death was 0.79 (95% CI 0.64-0.98) when the lowest </w:t>
      </w:r>
      <w:proofErr w:type="spellStart"/>
      <w:r>
        <w:t>intradialysis</w:t>
      </w:r>
      <w:proofErr w:type="spellEnd"/>
      <w:r>
        <w:t xml:space="preserve"> SBP was analyzed in increments of 20 mm Hg, and was 0.82 (95% CI 0.67-0.98) when the fall in SBP upon standing soon after hemodialysis was analyzed in increments of 10 mm Hg.</w:t>
      </w:r>
    </w:p>
    <w:p w:rsidR="00D848D9" w:rsidRDefault="00D848D9" w:rsidP="00D848D9">
      <w:pPr>
        <w:ind w:firstLine="0"/>
      </w:pPr>
      <w:r>
        <w:t>CONCLUSION:</w:t>
      </w:r>
      <w:bookmarkStart w:id="11" w:name="_GoBack"/>
      <w:bookmarkEnd w:id="11"/>
    </w:p>
    <w:p w:rsidR="00D848D9" w:rsidRPr="006F250B" w:rsidRDefault="00D848D9" w:rsidP="00D848D9">
      <w:pPr>
        <w:ind w:firstLine="0"/>
      </w:pPr>
      <w:r>
        <w:t xml:space="preserve">These results suggest that </w:t>
      </w:r>
      <w:proofErr w:type="spellStart"/>
      <w:r>
        <w:t>intradialysis</w:t>
      </w:r>
      <w:proofErr w:type="spellEnd"/>
      <w:r>
        <w:t xml:space="preserve"> hypotension and orthostatic hypotension after hemodialysis are significant and independent factors affecting mortality in hemodialysis patients.</w:t>
      </w:r>
    </w:p>
    <w:sectPr w:rsidR="00D848D9" w:rsidRPr="006F250B">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87" w:rsidRDefault="00440687" w:rsidP="007E37A5">
      <w:r>
        <w:separator/>
      </w:r>
    </w:p>
  </w:endnote>
  <w:endnote w:type="continuationSeparator" w:id="0">
    <w:p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w:t>
    </w:r>
    <w:proofErr w:type="gramStart"/>
    <w:r w:rsidRPr="00395263">
      <w:t xml:space="preserve">6.5 </w:t>
    </w:r>
    <w:r w:rsidR="00B52E0F">
      <w:t xml:space="preserve"> </w:t>
    </w:r>
    <w:r w:rsidR="00DE1F5D">
      <w:t>08</w:t>
    </w:r>
    <w:proofErr w:type="gramEnd"/>
    <w:r w:rsidR="00DE1F5D">
      <w:t>/20/13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E62203">
      <w:rPr>
        <w:noProof/>
      </w:rPr>
      <w:t>9</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87" w:rsidRDefault="00440687" w:rsidP="007E37A5">
      <w:r>
        <w:separator/>
      </w:r>
    </w:p>
  </w:footnote>
  <w:footnote w:type="continuationSeparator" w:id="0">
    <w:p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07951"/>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008C"/>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03B9"/>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E039E"/>
    <w:rsid w:val="004006CA"/>
    <w:rsid w:val="00422917"/>
    <w:rsid w:val="004274FE"/>
    <w:rsid w:val="00440687"/>
    <w:rsid w:val="0044131D"/>
    <w:rsid w:val="00441ADA"/>
    <w:rsid w:val="00457E46"/>
    <w:rsid w:val="00496AF8"/>
    <w:rsid w:val="004A575D"/>
    <w:rsid w:val="004B65C6"/>
    <w:rsid w:val="004D1DC7"/>
    <w:rsid w:val="004D694A"/>
    <w:rsid w:val="004F7D7E"/>
    <w:rsid w:val="00500B0C"/>
    <w:rsid w:val="00514E36"/>
    <w:rsid w:val="00537150"/>
    <w:rsid w:val="00540984"/>
    <w:rsid w:val="00543851"/>
    <w:rsid w:val="005514D0"/>
    <w:rsid w:val="0055559D"/>
    <w:rsid w:val="005569AE"/>
    <w:rsid w:val="005857F8"/>
    <w:rsid w:val="005B0D18"/>
    <w:rsid w:val="005B12C3"/>
    <w:rsid w:val="005B409D"/>
    <w:rsid w:val="005D0FDB"/>
    <w:rsid w:val="005D25E9"/>
    <w:rsid w:val="005D6D59"/>
    <w:rsid w:val="00617390"/>
    <w:rsid w:val="00623420"/>
    <w:rsid w:val="00634768"/>
    <w:rsid w:val="0063596F"/>
    <w:rsid w:val="006709EB"/>
    <w:rsid w:val="00672824"/>
    <w:rsid w:val="0068184A"/>
    <w:rsid w:val="006B5C51"/>
    <w:rsid w:val="006C7F30"/>
    <w:rsid w:val="006E6FDD"/>
    <w:rsid w:val="006F250B"/>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34B1"/>
    <w:rsid w:val="00805940"/>
    <w:rsid w:val="00837121"/>
    <w:rsid w:val="008459BE"/>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D2B"/>
    <w:rsid w:val="00A960B9"/>
    <w:rsid w:val="00AA5587"/>
    <w:rsid w:val="00AC1E53"/>
    <w:rsid w:val="00AD79C8"/>
    <w:rsid w:val="00AE6CE0"/>
    <w:rsid w:val="00B058A6"/>
    <w:rsid w:val="00B117D0"/>
    <w:rsid w:val="00B13998"/>
    <w:rsid w:val="00B15721"/>
    <w:rsid w:val="00B439DD"/>
    <w:rsid w:val="00B52E0F"/>
    <w:rsid w:val="00B74629"/>
    <w:rsid w:val="00B91F58"/>
    <w:rsid w:val="00B96A95"/>
    <w:rsid w:val="00BA579E"/>
    <w:rsid w:val="00BE2295"/>
    <w:rsid w:val="00BE6373"/>
    <w:rsid w:val="00BF533A"/>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848D9"/>
    <w:rsid w:val="00DA7FA2"/>
    <w:rsid w:val="00DB70FA"/>
    <w:rsid w:val="00DC2D8D"/>
    <w:rsid w:val="00DE1F5D"/>
    <w:rsid w:val="00DE50D8"/>
    <w:rsid w:val="00DF278A"/>
    <w:rsid w:val="00E1664B"/>
    <w:rsid w:val="00E30D12"/>
    <w:rsid w:val="00E3394E"/>
    <w:rsid w:val="00E35241"/>
    <w:rsid w:val="00E41417"/>
    <w:rsid w:val="00E536D3"/>
    <w:rsid w:val="00E57BE2"/>
    <w:rsid w:val="00E62203"/>
    <w:rsid w:val="00E62A95"/>
    <w:rsid w:val="00E746A2"/>
    <w:rsid w:val="00E90D06"/>
    <w:rsid w:val="00E97E59"/>
    <w:rsid w:val="00EA79C9"/>
    <w:rsid w:val="00EB0A02"/>
    <w:rsid w:val="00EB66AC"/>
    <w:rsid w:val="00EC2247"/>
    <w:rsid w:val="00EE1F87"/>
    <w:rsid w:val="00EE3931"/>
    <w:rsid w:val="00EE5AF6"/>
    <w:rsid w:val="00EF2CEF"/>
    <w:rsid w:val="00F1092D"/>
    <w:rsid w:val="00F42C20"/>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1">
    <w:name w:val="heading 1"/>
    <w:basedOn w:val="Normal"/>
    <w:next w:val="Normal"/>
    <w:link w:val="Heading1Char"/>
    <w:uiPriority w:val="9"/>
    <w:qFormat/>
    <w:rsid w:val="00D848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paragraph" w:styleId="Heading4">
    <w:name w:val="heading 4"/>
    <w:basedOn w:val="Normal"/>
    <w:next w:val="Normal"/>
    <w:link w:val="Heading4Char"/>
    <w:uiPriority w:val="9"/>
    <w:semiHidden/>
    <w:unhideWhenUsed/>
    <w:qFormat/>
    <w:rsid w:val="00D848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table" w:customStyle="1" w:styleId="TableGrid1">
    <w:name w:val="Table Grid1"/>
    <w:basedOn w:val="TableNormal"/>
    <w:next w:val="TableGrid"/>
    <w:uiPriority w:val="59"/>
    <w:rsid w:val="002F03B9"/>
    <w:pPr>
      <w:ind w:left="0" w:firstLin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D848D9"/>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D848D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1">
    <w:name w:val="heading 1"/>
    <w:basedOn w:val="Normal"/>
    <w:next w:val="Normal"/>
    <w:link w:val="Heading1Char"/>
    <w:uiPriority w:val="9"/>
    <w:qFormat/>
    <w:rsid w:val="00D848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paragraph" w:styleId="Heading4">
    <w:name w:val="heading 4"/>
    <w:basedOn w:val="Normal"/>
    <w:next w:val="Normal"/>
    <w:link w:val="Heading4Char"/>
    <w:uiPriority w:val="9"/>
    <w:semiHidden/>
    <w:unhideWhenUsed/>
    <w:qFormat/>
    <w:rsid w:val="00D848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table" w:customStyle="1" w:styleId="TableGrid1">
    <w:name w:val="Table Grid1"/>
    <w:basedOn w:val="TableNormal"/>
    <w:next w:val="TableGrid"/>
    <w:uiPriority w:val="59"/>
    <w:rsid w:val="002F03B9"/>
    <w:pPr>
      <w:ind w:left="0" w:firstLin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D848D9"/>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D848D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379361">
      <w:bodyDiv w:val="1"/>
      <w:marLeft w:val="0"/>
      <w:marRight w:val="0"/>
      <w:marTop w:val="0"/>
      <w:marBottom w:val="0"/>
      <w:divBdr>
        <w:top w:val="none" w:sz="0" w:space="0" w:color="auto"/>
        <w:left w:val="none" w:sz="0" w:space="0" w:color="auto"/>
        <w:bottom w:val="none" w:sz="0" w:space="0" w:color="auto"/>
        <w:right w:val="none" w:sz="0" w:space="0" w:color="auto"/>
      </w:divBdr>
      <w:divsChild>
        <w:div w:id="1464810077">
          <w:marLeft w:val="0"/>
          <w:marRight w:val="0"/>
          <w:marTop w:val="0"/>
          <w:marBottom w:val="0"/>
          <w:divBdr>
            <w:top w:val="none" w:sz="0" w:space="0" w:color="auto"/>
            <w:left w:val="none" w:sz="0" w:space="0" w:color="auto"/>
            <w:bottom w:val="none" w:sz="0" w:space="0" w:color="auto"/>
            <w:right w:val="none" w:sz="0" w:space="0" w:color="auto"/>
          </w:divBdr>
        </w:div>
      </w:divsChild>
    </w:div>
    <w:div w:id="680543495">
      <w:bodyDiv w:val="1"/>
      <w:marLeft w:val="0"/>
      <w:marRight w:val="0"/>
      <w:marTop w:val="0"/>
      <w:marBottom w:val="0"/>
      <w:divBdr>
        <w:top w:val="none" w:sz="0" w:space="0" w:color="auto"/>
        <w:left w:val="none" w:sz="0" w:space="0" w:color="auto"/>
        <w:bottom w:val="none" w:sz="0" w:space="0" w:color="auto"/>
        <w:right w:val="none" w:sz="0" w:space="0" w:color="auto"/>
      </w:divBdr>
      <w:divsChild>
        <w:div w:id="139464986">
          <w:marLeft w:val="0"/>
          <w:marRight w:val="0"/>
          <w:marTop w:val="0"/>
          <w:marBottom w:val="0"/>
          <w:divBdr>
            <w:top w:val="none" w:sz="0" w:space="0" w:color="auto"/>
            <w:left w:val="none" w:sz="0" w:space="0" w:color="auto"/>
            <w:bottom w:val="none" w:sz="0" w:space="0" w:color="auto"/>
            <w:right w:val="none" w:sz="0" w:space="0" w:color="auto"/>
          </w:divBdr>
        </w:div>
      </w:divsChild>
    </w:div>
    <w:div w:id="1595867880">
      <w:bodyDiv w:val="1"/>
      <w:marLeft w:val="0"/>
      <w:marRight w:val="0"/>
      <w:marTop w:val="0"/>
      <w:marBottom w:val="0"/>
      <w:divBdr>
        <w:top w:val="none" w:sz="0" w:space="0" w:color="auto"/>
        <w:left w:val="none" w:sz="0" w:space="0" w:color="auto"/>
        <w:bottom w:val="none" w:sz="0" w:space="0" w:color="auto"/>
        <w:right w:val="none" w:sz="0" w:space="0" w:color="auto"/>
      </w:divBdr>
      <w:divsChild>
        <w:div w:id="1228611972">
          <w:marLeft w:val="0"/>
          <w:marRight w:val="0"/>
          <w:marTop w:val="0"/>
          <w:marBottom w:val="0"/>
          <w:divBdr>
            <w:top w:val="none" w:sz="0" w:space="0" w:color="auto"/>
            <w:left w:val="none" w:sz="0" w:space="0" w:color="auto"/>
            <w:bottom w:val="none" w:sz="0" w:space="0" w:color="auto"/>
            <w:right w:val="none" w:sz="0" w:space="0" w:color="auto"/>
          </w:divBdr>
        </w:div>
      </w:divsChild>
    </w:div>
    <w:div w:id="1697148259">
      <w:bodyDiv w:val="1"/>
      <w:marLeft w:val="0"/>
      <w:marRight w:val="0"/>
      <w:marTop w:val="0"/>
      <w:marBottom w:val="0"/>
      <w:divBdr>
        <w:top w:val="none" w:sz="0" w:space="0" w:color="auto"/>
        <w:left w:val="none" w:sz="0" w:space="0" w:color="auto"/>
        <w:bottom w:val="none" w:sz="0" w:space="0" w:color="auto"/>
        <w:right w:val="none" w:sz="0" w:space="0" w:color="auto"/>
      </w:divBdr>
      <w:divsChild>
        <w:div w:id="1214469272">
          <w:marLeft w:val="0"/>
          <w:marRight w:val="0"/>
          <w:marTop w:val="0"/>
          <w:marBottom w:val="0"/>
          <w:divBdr>
            <w:top w:val="none" w:sz="0" w:space="0" w:color="auto"/>
            <w:left w:val="none" w:sz="0" w:space="0" w:color="auto"/>
            <w:bottom w:val="none" w:sz="0" w:space="0" w:color="auto"/>
            <w:right w:val="none" w:sz="0" w:space="0" w:color="auto"/>
          </w:divBdr>
        </w:div>
      </w:divsChild>
    </w:div>
    <w:div w:id="1767916598">
      <w:bodyDiv w:val="1"/>
      <w:marLeft w:val="0"/>
      <w:marRight w:val="0"/>
      <w:marTop w:val="0"/>
      <w:marBottom w:val="0"/>
      <w:divBdr>
        <w:top w:val="none" w:sz="0" w:space="0" w:color="auto"/>
        <w:left w:val="none" w:sz="0" w:space="0" w:color="auto"/>
        <w:bottom w:val="none" w:sz="0" w:space="0" w:color="auto"/>
        <w:right w:val="none" w:sz="0" w:space="0" w:color="auto"/>
      </w:divBdr>
      <w:divsChild>
        <w:div w:id="1846549992">
          <w:marLeft w:val="0"/>
          <w:marRight w:val="0"/>
          <w:marTop w:val="0"/>
          <w:marBottom w:val="0"/>
          <w:divBdr>
            <w:top w:val="none" w:sz="0" w:space="0" w:color="auto"/>
            <w:left w:val="none" w:sz="0" w:space="0" w:color="auto"/>
            <w:bottom w:val="none" w:sz="0" w:space="0" w:color="auto"/>
            <w:right w:val="none" w:sz="0" w:space="0" w:color="auto"/>
          </w:divBdr>
        </w:div>
      </w:divsChild>
    </w:div>
    <w:div w:id="2012638265">
      <w:bodyDiv w:val="1"/>
      <w:marLeft w:val="0"/>
      <w:marRight w:val="0"/>
      <w:marTop w:val="0"/>
      <w:marBottom w:val="0"/>
      <w:divBdr>
        <w:top w:val="none" w:sz="0" w:space="0" w:color="auto"/>
        <w:left w:val="none" w:sz="0" w:space="0" w:color="auto"/>
        <w:bottom w:val="none" w:sz="0" w:space="0" w:color="auto"/>
        <w:right w:val="none" w:sz="0" w:space="0" w:color="auto"/>
      </w:divBdr>
      <w:divsChild>
        <w:div w:id="174079267">
          <w:marLeft w:val="0"/>
          <w:marRight w:val="0"/>
          <w:marTop w:val="0"/>
          <w:marBottom w:val="0"/>
          <w:divBdr>
            <w:top w:val="none" w:sz="0" w:space="0" w:color="auto"/>
            <w:left w:val="none" w:sz="0" w:space="0" w:color="auto"/>
            <w:bottom w:val="none" w:sz="0" w:space="0" w:color="auto"/>
            <w:right w:val="none" w:sz="0" w:space="0" w:color="auto"/>
          </w:divBdr>
        </w:div>
      </w:divsChild>
    </w:div>
    <w:div w:id="208163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spreventiveservicestaskforce.org/uspstf/grades.htm" TargetMode="External"/><Relationship Id="rId18" Type="http://schemas.openxmlformats.org/officeDocument/2006/relationships/hyperlink" Target="http://www.renal.org/Clinical/GuidelinesSection/Haemodialysis.aspx"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aqaalliance.org/files/PrinciplesofEfficiencyMeasurementApril2006.doc" TargetMode="External"/><Relationship Id="rId2" Type="http://schemas.openxmlformats.org/officeDocument/2006/relationships/customXml" Target="../customXml/item2.xml"/><Relationship Id="rId16" Type="http://schemas.openxmlformats.org/officeDocument/2006/relationships/hyperlink" Target="http://www.qualityforum.org/Publications/2010/01/Measurement_Framework__Evaluating_Efficiency_Across_Patient-Focused_Episodes_of_Care.asp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adeworkinggroup.org/publications/index.ht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spreventiveservicestaskforce.org/methods.htm"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056CB"/>
    <w:rsid w:val="00455EB5"/>
    <w:rsid w:val="00461C1C"/>
    <w:rsid w:val="004E2027"/>
    <w:rsid w:val="005F21F3"/>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4E434-7F59-478F-9889-8C8438FFF984}">
  <ds:schemaRefs>
    <ds:schemaRef ds:uri="http://purl.org/dc/dcmitype/"/>
    <ds:schemaRef ds:uri="http://purl.org/dc/elements/1.1/"/>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9D3D600B-17C9-4FBB-9DAE-E657E23ED3D1}">
  <ds:schemaRefs>
    <ds:schemaRef ds:uri="http://schemas.microsoft.com/sharepoint/v3/contenttype/forms"/>
  </ds:schemaRefs>
</ds:datastoreItem>
</file>

<file path=customXml/itemProps3.xml><?xml version="1.0" encoding="utf-8"?>
<ds:datastoreItem xmlns:ds="http://schemas.openxmlformats.org/officeDocument/2006/customXml" ds:itemID="{0506DB60-83B1-4490-A295-4D855218F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9724356-BF8A-4765-98EC-D8B8CD07B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5127</Words>
  <Characters>29224</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Joseph Vassaloti</cp:lastModifiedBy>
  <cp:revision>3</cp:revision>
  <dcterms:created xsi:type="dcterms:W3CDTF">2015-07-16T20:59:00Z</dcterms:created>
  <dcterms:modified xsi:type="dcterms:W3CDTF">2015-07-20T15:35:00Z</dcterms:modified>
</cp:coreProperties>
</file>