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CB60"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11A4F161" w14:textId="77777777" w:rsidR="00496AF8" w:rsidRPr="00496AF8" w:rsidRDefault="00496AF8" w:rsidP="002E2177">
      <w:pPr>
        <w:ind w:left="0" w:firstLine="0"/>
        <w:rPr>
          <w:noProof/>
        </w:rPr>
      </w:pPr>
    </w:p>
    <w:p w14:paraId="7FCCBEFF"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1402326752"/>
            </w:sdtPr>
            <w:sdtEndPr>
              <w:rPr>
                <w:rStyle w:val="DefaultParagraphFont"/>
                <w:rFonts w:cstheme="minorHAnsi"/>
                <w:b/>
                <w:noProof/>
                <w:color w:val="auto"/>
              </w:rPr>
            </w:sdtEndPr>
            <w:sdtContent>
              <w:r w:rsidR="00BD4AD8">
                <w:rPr>
                  <w:rStyle w:val="Style1"/>
                </w:rPr>
                <w:t>Not applicable; new measure</w:t>
              </w:r>
            </w:sdtContent>
          </w:sdt>
        </w:sdtContent>
      </w:sdt>
    </w:p>
    <w:p w14:paraId="6CC835A5"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725402560"/>
            </w:sdtPr>
            <w:sdtEndPr>
              <w:rPr>
                <w:rStyle w:val="DefaultParagraphFont"/>
                <w:noProof/>
                <w:color w:val="auto"/>
              </w:rPr>
            </w:sdtEndPr>
            <w:sdtContent>
              <w:r w:rsidR="00BD4AD8" w:rsidRPr="003165B5">
                <w:rPr>
                  <w:b/>
                  <w:color w:val="0000FF"/>
                </w:rPr>
                <w:t>Post-Dialysis Weight Above or Below Target Weight</w:t>
              </w:r>
              <w:r w:rsidR="00BD4AD8" w:rsidRPr="003165B5">
                <w:rPr>
                  <w:b/>
                </w:rPr>
                <w:t xml:space="preserve"> </w:t>
              </w:r>
            </w:sdtContent>
          </w:sdt>
        </w:sdtContent>
      </w:sdt>
    </w:p>
    <w:p w14:paraId="57BEE24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BD4AD8" w:rsidRPr="003165B5">
            <w:rPr>
              <w:rStyle w:val="Style1"/>
            </w:rPr>
            <w:t>Not applicable</w:t>
          </w:r>
        </w:sdtContent>
      </w:sdt>
    </w:p>
    <w:p w14:paraId="50FB3720" w14:textId="77777777" w:rsidR="00114848" w:rsidRPr="003B1CC5" w:rsidRDefault="00114848" w:rsidP="002E2177">
      <w:pPr>
        <w:ind w:left="0" w:firstLine="0"/>
        <w:rPr>
          <w:b/>
          <w:noProof/>
        </w:rPr>
      </w:pPr>
    </w:p>
    <w:p w14:paraId="507E9A18"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6T00:00:00Z">
            <w:dateFormat w:val="M/d/yyyy"/>
            <w:lid w:val="en-US"/>
            <w:storeMappedDataAs w:val="dateTime"/>
            <w:calendar w:val="gregorian"/>
          </w:date>
        </w:sdtPr>
        <w:sdtEndPr>
          <w:rPr>
            <w:rStyle w:val="DefaultParagraphFont"/>
            <w:noProof/>
            <w:color w:val="auto"/>
            <w:u w:val="none"/>
          </w:rPr>
        </w:sdtEndPr>
        <w:sdtContent>
          <w:r w:rsidR="00595F6C">
            <w:rPr>
              <w:rStyle w:val="Style2"/>
            </w:rPr>
            <w:t>2/26/2015</w:t>
          </w:r>
        </w:sdtContent>
      </w:sdt>
    </w:p>
    <w:p w14:paraId="23EA71E6"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138"/>
      </w:tblGrid>
      <w:tr w:rsidR="00496AF8" w:rsidRPr="003B1CC5" w14:paraId="61944347" w14:textId="77777777" w:rsidTr="00176E60">
        <w:trPr>
          <w:jc w:val="center"/>
        </w:trPr>
        <w:tc>
          <w:tcPr>
            <w:tcW w:w="9576" w:type="dxa"/>
          </w:tcPr>
          <w:p w14:paraId="74203C99"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3C1B4B1"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093DAE9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1E5E900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2CC700A1"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96FF5E8"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0739A1D2"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901B547"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0FE5D682"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138"/>
      </w:tblGrid>
      <w:tr w:rsidR="00176E60" w:rsidRPr="003B1CC5" w14:paraId="144FBC37" w14:textId="77777777" w:rsidTr="00176E60">
        <w:trPr>
          <w:jc w:val="center"/>
        </w:trPr>
        <w:tc>
          <w:tcPr>
            <w:tcW w:w="9576" w:type="dxa"/>
          </w:tcPr>
          <w:p w14:paraId="7F62F94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13027157" w14:textId="77777777" w:rsidR="008659ED" w:rsidRPr="003B1CC5" w:rsidRDefault="008659ED" w:rsidP="008659ED">
            <w:pPr>
              <w:ind w:left="90" w:hanging="90"/>
              <w:rPr>
                <w:sz w:val="20"/>
                <w:szCs w:val="20"/>
              </w:rPr>
            </w:pPr>
            <w:bookmarkStart w:id="1" w:name="Note2"/>
            <w:bookmarkEnd w:id="1"/>
          </w:p>
          <w:p w14:paraId="5FC2C7FB"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E7EDCEC"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73EE236C"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1D1D056"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9322E8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2F2511"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0CADCFFA"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03105249" w14:textId="77777777" w:rsidR="00CB1E41" w:rsidRPr="003B1CC5" w:rsidRDefault="00CB1E41" w:rsidP="008659ED">
            <w:pPr>
              <w:autoSpaceDE w:val="0"/>
              <w:autoSpaceDN w:val="0"/>
              <w:adjustRightInd w:val="0"/>
              <w:rPr>
                <w:rFonts w:eastAsia="Calibri" w:cs="Calibri"/>
                <w:b/>
                <w:bCs/>
                <w:iCs/>
                <w:sz w:val="18"/>
              </w:rPr>
            </w:pPr>
          </w:p>
          <w:p w14:paraId="2431714B"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7D41BA0"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F347748"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5AD0DACC"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966B58E"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 xml:space="preserve">Measurement Framework: </w:t>
              </w:r>
              <w:r w:rsidRPr="003B1CC5">
                <w:rPr>
                  <w:rFonts w:eastAsia="Calibri" w:cs="Calibri"/>
                  <w:color w:val="0000FF"/>
                  <w:sz w:val="20"/>
                  <w:szCs w:val="20"/>
                  <w:u w:val="single"/>
                </w:rPr>
                <w:lastRenderedPageBreak/>
                <w:t>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1F4433A"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22C3D938"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4E710851" w14:textId="77777777" w:rsidR="00496AF8" w:rsidRPr="003B1CC5" w:rsidRDefault="006B344D" w:rsidP="005857F8">
      <w:pPr>
        <w:ind w:left="720" w:hanging="432"/>
        <w:rPr>
          <w:rStyle w:val="Style2"/>
          <w:rFonts w:cstheme="minorHAnsi"/>
        </w:rPr>
      </w:pPr>
      <w:sdt>
        <w:sdtPr>
          <w:rPr>
            <w:bCs/>
            <w:color w:val="0000FF"/>
            <w:u w:val="single"/>
          </w:rPr>
          <w:id w:val="1077707841"/>
          <w14:checkbox>
            <w14:checked w14:val="0"/>
            <w14:checkedState w14:val="2612" w14:font="ＭＳ ゴシック"/>
            <w14:uncheckedState w14:val="2610" w14:font="ＭＳ ゴシック"/>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158F67F" w14:textId="77777777" w:rsidR="00236F87" w:rsidRPr="003B1CC5" w:rsidRDefault="006B344D" w:rsidP="005857F8">
      <w:pPr>
        <w:ind w:left="720" w:hanging="432"/>
        <w:rPr>
          <w:b/>
          <w:bCs/>
        </w:rPr>
      </w:pPr>
      <w:sdt>
        <w:sdtPr>
          <w:rPr>
            <w:bCs/>
            <w:color w:val="0000FF"/>
          </w:rPr>
          <w:id w:val="-1541041819"/>
          <w14:checkbox>
            <w14:checked w14:val="0"/>
            <w14:checkedState w14:val="2612" w14:font="ＭＳ ゴシック"/>
            <w14:uncheckedState w14:val="2610" w14:font="ＭＳ ゴシック"/>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2CF555A2"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5AE2E61E" w14:textId="77777777" w:rsidR="00496AF8" w:rsidRPr="003B1CC5" w:rsidRDefault="006B344D" w:rsidP="005857F8">
      <w:pPr>
        <w:ind w:left="720" w:hanging="432"/>
        <w:rPr>
          <w:bCs/>
        </w:rPr>
      </w:pPr>
      <w:sdt>
        <w:sdtPr>
          <w:rPr>
            <w:bCs/>
            <w:color w:val="0000FF"/>
          </w:rPr>
          <w:id w:val="130951877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4DA2E490" w14:textId="77777777" w:rsidR="00496AF8" w:rsidRPr="003B1CC5" w:rsidRDefault="006B344D" w:rsidP="00015986">
      <w:pPr>
        <w:ind w:left="432" w:hanging="432"/>
        <w:rPr>
          <w:bCs/>
        </w:rPr>
      </w:pPr>
      <w:sdt>
        <w:sdtPr>
          <w:rPr>
            <w:bCs/>
            <w:color w:val="0000FF"/>
          </w:rPr>
          <w:id w:val="-1535727686"/>
          <w14:checkbox>
            <w14:checked w14:val="1"/>
            <w14:checkedState w14:val="2612" w14:font="ＭＳ ゴシック"/>
            <w14:uncheckedState w14:val="2610" w14:font="ＭＳ ゴシック"/>
          </w14:checkbox>
        </w:sdtPr>
        <w:sdtEndPr/>
        <w:sdtContent>
          <w:r w:rsidR="00595F6C">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sdt>
            <w:sdtPr>
              <w:rPr>
                <w:rStyle w:val="Style2"/>
                <w:rFonts w:cstheme="minorHAnsi"/>
              </w:rPr>
              <w:id w:val="-715351248"/>
            </w:sdtPr>
            <w:sdtEndPr>
              <w:rPr>
                <w:rStyle w:val="DefaultParagraphFont"/>
                <w:rFonts w:cstheme="minorBidi"/>
                <w:bCs/>
                <w:color w:val="auto"/>
                <w:u w:val="none"/>
              </w:rPr>
            </w:sdtEndPr>
            <w:sdtContent>
              <w:r w:rsidR="00595F6C" w:rsidRPr="003165B5">
                <w:rPr>
                  <w:color w:val="0000FF"/>
                </w:rPr>
                <w:t xml:space="preserve">Average post-dialysis weight </w:t>
              </w:r>
              <w:r w:rsidR="00595F6C" w:rsidRPr="003165B5">
                <w:rPr>
                  <w:color w:val="0000FF"/>
                  <w:u w:val="single"/>
                </w:rPr>
                <w:t>&gt;</w:t>
              </w:r>
              <w:r w:rsidR="00595F6C" w:rsidRPr="003165B5">
                <w:rPr>
                  <w:color w:val="0000FF"/>
                </w:rPr>
                <w:t>1 kg above or below the prescribed target weight.</w:t>
              </w:r>
            </w:sdtContent>
          </w:sdt>
        </w:sdtContent>
      </w:sdt>
    </w:p>
    <w:p w14:paraId="7D275614" w14:textId="77777777" w:rsidR="00496AF8" w:rsidRPr="003B1CC5" w:rsidRDefault="006B344D" w:rsidP="00015986">
      <w:pPr>
        <w:ind w:left="432" w:hanging="432"/>
        <w:rPr>
          <w:bCs/>
        </w:rPr>
      </w:pPr>
      <w:sdt>
        <w:sdtPr>
          <w:rPr>
            <w:bCs/>
            <w:color w:val="0000FF"/>
          </w:rPr>
          <w:id w:val="1676770628"/>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91E4170" w14:textId="77777777" w:rsidR="00496AF8" w:rsidRPr="003B1CC5" w:rsidRDefault="006B344D" w:rsidP="00015986">
      <w:pPr>
        <w:ind w:left="432" w:hanging="432"/>
        <w:rPr>
          <w:bCs/>
        </w:rPr>
      </w:pPr>
      <w:sdt>
        <w:sdtPr>
          <w:rPr>
            <w:bCs/>
            <w:color w:val="0000FF"/>
          </w:rPr>
          <w:id w:val="171940562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48C14F69" w14:textId="77777777" w:rsidR="00496AF8" w:rsidRPr="003B1CC5" w:rsidRDefault="00496AF8" w:rsidP="002E2177">
      <w:pPr>
        <w:ind w:left="0" w:firstLine="0"/>
        <w:rPr>
          <w:bCs/>
        </w:rPr>
      </w:pPr>
    </w:p>
    <w:p w14:paraId="3B10544C" w14:textId="77777777" w:rsidR="00850C35" w:rsidRPr="003B1CC5" w:rsidRDefault="00925F11" w:rsidP="002E2177">
      <w:pPr>
        <w:ind w:left="0" w:firstLine="0"/>
        <w:rPr>
          <w:b/>
          <w:bCs/>
        </w:rPr>
      </w:pPr>
      <w:r w:rsidRPr="003B1CC5">
        <w:rPr>
          <w:b/>
          <w:iCs/>
          <w:caps/>
        </w:rPr>
        <w:t>_________________________</w:t>
      </w:r>
    </w:p>
    <w:p w14:paraId="7C7EC9B0" w14:textId="77777777" w:rsidR="00496AF8" w:rsidRPr="00595F6C" w:rsidRDefault="00496AF8" w:rsidP="002E2177">
      <w:pPr>
        <w:ind w:left="0" w:firstLine="0"/>
        <w:rPr>
          <w:bCs/>
          <w:i/>
          <w:color w:val="A6A6A6" w:themeColor="background1" w:themeShade="A6"/>
        </w:rPr>
      </w:pPr>
      <w:r w:rsidRPr="00595F6C">
        <w:rPr>
          <w:b/>
          <w:bCs/>
          <w:color w:val="A6A6A6" w:themeColor="background1" w:themeShade="A6"/>
        </w:rPr>
        <w:t>HEALTH OUTCOME</w:t>
      </w:r>
      <w:r w:rsidR="00236F87" w:rsidRPr="00595F6C">
        <w:rPr>
          <w:b/>
          <w:bCs/>
          <w:color w:val="A6A6A6" w:themeColor="background1" w:themeShade="A6"/>
        </w:rPr>
        <w:t>/PRO</w:t>
      </w:r>
      <w:r w:rsidRPr="00595F6C">
        <w:rPr>
          <w:b/>
          <w:bCs/>
          <w:color w:val="A6A6A6" w:themeColor="background1" w:themeShade="A6"/>
        </w:rPr>
        <w:t xml:space="preserve"> </w:t>
      </w:r>
      <w:r w:rsidR="005857F8" w:rsidRPr="00595F6C">
        <w:rPr>
          <w:b/>
          <w:bCs/>
          <w:color w:val="A6A6A6" w:themeColor="background1" w:themeShade="A6"/>
        </w:rPr>
        <w:t xml:space="preserve">PERFORMANCE </w:t>
      </w:r>
      <w:proofErr w:type="gramStart"/>
      <w:r w:rsidRPr="00595F6C">
        <w:rPr>
          <w:b/>
          <w:bCs/>
          <w:color w:val="A6A6A6" w:themeColor="background1" w:themeShade="A6"/>
        </w:rPr>
        <w:t xml:space="preserve">MEASURE </w:t>
      </w:r>
      <w:r w:rsidRPr="00595F6C">
        <w:rPr>
          <w:bCs/>
          <w:color w:val="A6A6A6" w:themeColor="background1" w:themeShade="A6"/>
        </w:rPr>
        <w:t xml:space="preserve"> </w:t>
      </w:r>
      <w:r w:rsidRPr="00595F6C">
        <w:rPr>
          <w:bCs/>
          <w:i/>
          <w:color w:val="A6A6A6" w:themeColor="background1" w:themeShade="A6"/>
          <w:highlight w:val="green"/>
        </w:rPr>
        <w:t>If</w:t>
      </w:r>
      <w:proofErr w:type="gramEnd"/>
      <w:r w:rsidRPr="00595F6C">
        <w:rPr>
          <w:bCs/>
          <w:i/>
          <w:color w:val="A6A6A6" w:themeColor="background1" w:themeShade="A6"/>
          <w:highlight w:val="green"/>
        </w:rPr>
        <w:t xml:space="preserve"> not </w:t>
      </w:r>
      <w:r w:rsidR="00132070" w:rsidRPr="00595F6C">
        <w:rPr>
          <w:bCs/>
          <w:i/>
          <w:color w:val="A6A6A6" w:themeColor="background1" w:themeShade="A6"/>
          <w:highlight w:val="green"/>
        </w:rPr>
        <w:t>a health outcome</w:t>
      </w:r>
      <w:r w:rsidR="00AC1E53" w:rsidRPr="00595F6C">
        <w:rPr>
          <w:bCs/>
          <w:i/>
          <w:color w:val="A6A6A6" w:themeColor="background1" w:themeShade="A6"/>
          <w:highlight w:val="green"/>
        </w:rPr>
        <w:t xml:space="preserve"> or PRO</w:t>
      </w:r>
      <w:r w:rsidR="00132070" w:rsidRPr="00595F6C">
        <w:rPr>
          <w:bCs/>
          <w:i/>
          <w:color w:val="A6A6A6" w:themeColor="background1" w:themeShade="A6"/>
          <w:highlight w:val="green"/>
        </w:rPr>
        <w:t xml:space="preserve">, skip to </w:t>
      </w:r>
      <w:hyperlink w:anchor="Section1a3" w:history="1">
        <w:r w:rsidR="00132070" w:rsidRPr="00595F6C">
          <w:rPr>
            <w:rStyle w:val="Hyperlink"/>
            <w:bCs/>
            <w:i/>
            <w:color w:val="A6A6A6" w:themeColor="background1" w:themeShade="A6"/>
            <w:highlight w:val="green"/>
          </w:rPr>
          <w:t>1</w:t>
        </w:r>
        <w:r w:rsidR="00837121" w:rsidRPr="00595F6C">
          <w:rPr>
            <w:rStyle w:val="Hyperlink"/>
            <w:bCs/>
            <w:i/>
            <w:color w:val="A6A6A6" w:themeColor="background1" w:themeShade="A6"/>
            <w:highlight w:val="green"/>
          </w:rPr>
          <w:t>a</w:t>
        </w:r>
        <w:r w:rsidR="00132070" w:rsidRPr="00595F6C">
          <w:rPr>
            <w:rStyle w:val="Hyperlink"/>
            <w:bCs/>
            <w:i/>
            <w:color w:val="A6A6A6" w:themeColor="background1" w:themeShade="A6"/>
            <w:highlight w:val="green"/>
          </w:rPr>
          <w:t>.3</w:t>
        </w:r>
      </w:hyperlink>
    </w:p>
    <w:p w14:paraId="270C5C3A" w14:textId="77777777" w:rsidR="002B06BD" w:rsidRPr="00595F6C" w:rsidRDefault="002B06BD" w:rsidP="002B06BD">
      <w:pPr>
        <w:ind w:left="432" w:hanging="432"/>
        <w:rPr>
          <w:iCs/>
          <w:color w:val="A6A6A6" w:themeColor="background1" w:themeShade="A6"/>
        </w:rPr>
      </w:pPr>
      <w:r w:rsidRPr="00595F6C">
        <w:rPr>
          <w:b/>
          <w:bCs/>
          <w:color w:val="A6A6A6" w:themeColor="background1" w:themeShade="A6"/>
        </w:rPr>
        <w:t>1a.2.</w:t>
      </w:r>
      <w:r w:rsidRPr="00595F6C">
        <w:rPr>
          <w:bCs/>
          <w:color w:val="A6A6A6" w:themeColor="background1" w:themeShade="A6"/>
        </w:rPr>
        <w:t xml:space="preserve"> </w:t>
      </w:r>
      <w:proofErr w:type="gramStart"/>
      <w:r w:rsidRPr="00595F6C">
        <w:rPr>
          <w:b/>
          <w:iCs/>
          <w:color w:val="A6A6A6" w:themeColor="background1" w:themeShade="A6"/>
        </w:rPr>
        <w:t>Briefly</w:t>
      </w:r>
      <w:proofErr w:type="gramEnd"/>
      <w:r w:rsidRPr="00595F6C">
        <w:rPr>
          <w:b/>
          <w:iCs/>
          <w:color w:val="A6A6A6" w:themeColor="background1" w:themeShade="A6"/>
        </w:rPr>
        <w:t xml:space="preserve"> state or diagram the </w:t>
      </w:r>
      <w:r w:rsidR="00236F87" w:rsidRPr="00595F6C">
        <w:rPr>
          <w:b/>
          <w:iCs/>
          <w:color w:val="A6A6A6" w:themeColor="background1" w:themeShade="A6"/>
        </w:rPr>
        <w:t xml:space="preserve">path </w:t>
      </w:r>
      <w:r w:rsidRPr="00595F6C">
        <w:rPr>
          <w:b/>
          <w:iCs/>
          <w:color w:val="A6A6A6" w:themeColor="background1" w:themeShade="A6"/>
        </w:rPr>
        <w:t xml:space="preserve">between the health outcome </w:t>
      </w:r>
      <w:r w:rsidR="00AA5587" w:rsidRPr="00595F6C">
        <w:rPr>
          <w:b/>
          <w:iCs/>
          <w:color w:val="A6A6A6" w:themeColor="background1" w:themeShade="A6"/>
        </w:rPr>
        <w:t>(</w:t>
      </w:r>
      <w:r w:rsidRPr="00595F6C">
        <w:rPr>
          <w:b/>
          <w:iCs/>
          <w:color w:val="A6A6A6" w:themeColor="background1" w:themeShade="A6"/>
        </w:rPr>
        <w:t>or PRO</w:t>
      </w:r>
      <w:r w:rsidR="00AA5587" w:rsidRPr="00595F6C">
        <w:rPr>
          <w:b/>
          <w:iCs/>
          <w:color w:val="A6A6A6" w:themeColor="background1" w:themeShade="A6"/>
        </w:rPr>
        <w:t>)</w:t>
      </w:r>
      <w:r w:rsidRPr="00595F6C">
        <w:rPr>
          <w:b/>
          <w:iCs/>
          <w:color w:val="A6A6A6" w:themeColor="background1" w:themeShade="A6"/>
        </w:rPr>
        <w:t xml:space="preserve"> and </w:t>
      </w:r>
      <w:r w:rsidR="00CB06C9" w:rsidRPr="00595F6C">
        <w:rPr>
          <w:b/>
          <w:iCs/>
          <w:color w:val="A6A6A6" w:themeColor="background1" w:themeShade="A6"/>
        </w:rPr>
        <w:t>the</w:t>
      </w:r>
      <w:r w:rsidRPr="00595F6C">
        <w:rPr>
          <w:b/>
          <w:iCs/>
          <w:color w:val="A6A6A6" w:themeColor="background1" w:themeShade="A6"/>
        </w:rPr>
        <w:t xml:space="preserve"> healthcare structure</w:t>
      </w:r>
      <w:r w:rsidR="00CB06C9" w:rsidRPr="00595F6C">
        <w:rPr>
          <w:b/>
          <w:iCs/>
          <w:color w:val="A6A6A6" w:themeColor="background1" w:themeShade="A6"/>
        </w:rPr>
        <w:t>s</w:t>
      </w:r>
      <w:r w:rsidRPr="00595F6C">
        <w:rPr>
          <w:b/>
          <w:iCs/>
          <w:color w:val="A6A6A6" w:themeColor="background1" w:themeShade="A6"/>
        </w:rPr>
        <w:t>, process</w:t>
      </w:r>
      <w:r w:rsidR="00CB06C9" w:rsidRPr="00595F6C">
        <w:rPr>
          <w:b/>
          <w:iCs/>
          <w:color w:val="A6A6A6" w:themeColor="background1" w:themeShade="A6"/>
        </w:rPr>
        <w:t>es</w:t>
      </w:r>
      <w:r w:rsidRPr="00595F6C">
        <w:rPr>
          <w:b/>
          <w:iCs/>
          <w:color w:val="A6A6A6" w:themeColor="background1" w:themeShade="A6"/>
        </w:rPr>
        <w:t>, intervention</w:t>
      </w:r>
      <w:r w:rsidR="00CB06C9" w:rsidRPr="00595F6C">
        <w:rPr>
          <w:b/>
          <w:iCs/>
          <w:color w:val="A6A6A6" w:themeColor="background1" w:themeShade="A6"/>
        </w:rPr>
        <w:t>s</w:t>
      </w:r>
      <w:r w:rsidRPr="00595F6C">
        <w:rPr>
          <w:b/>
          <w:iCs/>
          <w:color w:val="A6A6A6" w:themeColor="background1" w:themeShade="A6"/>
        </w:rPr>
        <w:t>, or service</w:t>
      </w:r>
      <w:r w:rsidR="00CB06C9" w:rsidRPr="00595F6C">
        <w:rPr>
          <w:b/>
          <w:iCs/>
          <w:color w:val="A6A6A6" w:themeColor="background1" w:themeShade="A6"/>
        </w:rPr>
        <w:t>s that influence it</w:t>
      </w:r>
      <w:r w:rsidR="00024526" w:rsidRPr="00595F6C">
        <w:rPr>
          <w:b/>
          <w:iCs/>
          <w:color w:val="A6A6A6" w:themeColor="background1" w:themeShade="A6"/>
        </w:rPr>
        <w:t>.</w:t>
      </w:r>
    </w:p>
    <w:p w14:paraId="203AD724" w14:textId="77777777" w:rsidR="002B06BD" w:rsidRPr="00595F6C" w:rsidRDefault="002B06BD" w:rsidP="002E2177">
      <w:pPr>
        <w:ind w:left="432" w:hanging="432"/>
        <w:rPr>
          <w:color w:val="A6A6A6" w:themeColor="background1" w:themeShade="A6"/>
        </w:rPr>
      </w:pPr>
    </w:p>
    <w:p w14:paraId="0C5C5127" w14:textId="77777777" w:rsidR="00496AF8" w:rsidRPr="00595F6C" w:rsidRDefault="00B058A6" w:rsidP="002E2177">
      <w:pPr>
        <w:ind w:left="432" w:hanging="432"/>
        <w:rPr>
          <w:iCs/>
          <w:color w:val="A6A6A6" w:themeColor="background1" w:themeShade="A6"/>
        </w:rPr>
      </w:pPr>
      <w:r w:rsidRPr="00595F6C">
        <w:rPr>
          <w:b/>
          <w:color w:val="A6A6A6" w:themeColor="background1" w:themeShade="A6"/>
        </w:rPr>
        <w:t>1</w:t>
      </w:r>
      <w:r w:rsidR="00773485" w:rsidRPr="00595F6C">
        <w:rPr>
          <w:b/>
          <w:color w:val="A6A6A6" w:themeColor="background1" w:themeShade="A6"/>
        </w:rPr>
        <w:t>a</w:t>
      </w:r>
      <w:r w:rsidRPr="00595F6C">
        <w:rPr>
          <w:b/>
          <w:color w:val="A6A6A6" w:themeColor="background1" w:themeShade="A6"/>
        </w:rPr>
        <w:t>.2</w:t>
      </w:r>
      <w:r w:rsidR="00496AF8" w:rsidRPr="00595F6C">
        <w:rPr>
          <w:b/>
          <w:color w:val="A6A6A6" w:themeColor="background1" w:themeShade="A6"/>
        </w:rPr>
        <w:t>.</w:t>
      </w:r>
      <w:r w:rsidR="00E41417" w:rsidRPr="00595F6C">
        <w:rPr>
          <w:b/>
          <w:color w:val="A6A6A6" w:themeColor="background1" w:themeShade="A6"/>
        </w:rPr>
        <w:t>1.</w:t>
      </w:r>
      <w:r w:rsidR="00E41417" w:rsidRPr="00595F6C">
        <w:rPr>
          <w:iCs/>
          <w:color w:val="A6A6A6" w:themeColor="background1" w:themeShade="A6"/>
        </w:rPr>
        <w:t xml:space="preserve"> </w:t>
      </w:r>
      <w:r w:rsidR="00496AF8" w:rsidRPr="00595F6C">
        <w:rPr>
          <w:b/>
          <w:iCs/>
          <w:color w:val="A6A6A6" w:themeColor="background1" w:themeShade="A6"/>
        </w:rPr>
        <w:t xml:space="preserve">State the rationale </w:t>
      </w:r>
      <w:r w:rsidR="001D5B5D" w:rsidRPr="00595F6C">
        <w:rPr>
          <w:b/>
          <w:iCs/>
          <w:color w:val="A6A6A6" w:themeColor="background1" w:themeShade="A6"/>
        </w:rPr>
        <w:t xml:space="preserve">supporting </w:t>
      </w:r>
      <w:r w:rsidR="008B51D9" w:rsidRPr="00595F6C">
        <w:rPr>
          <w:b/>
          <w:iCs/>
          <w:color w:val="A6A6A6" w:themeColor="background1" w:themeShade="A6"/>
        </w:rPr>
        <w:t xml:space="preserve">the </w:t>
      </w:r>
      <w:r w:rsidR="005D25E9" w:rsidRPr="00595F6C">
        <w:rPr>
          <w:b/>
          <w:iCs/>
          <w:color w:val="A6A6A6" w:themeColor="background1" w:themeShade="A6"/>
        </w:rPr>
        <w:t xml:space="preserve">relationship </w:t>
      </w:r>
      <w:r w:rsidR="00AC1E53" w:rsidRPr="00595F6C">
        <w:rPr>
          <w:b/>
          <w:iCs/>
          <w:color w:val="A6A6A6" w:themeColor="background1" w:themeShade="A6"/>
        </w:rPr>
        <w:t>between</w:t>
      </w:r>
      <w:r w:rsidR="005D25E9" w:rsidRPr="00595F6C">
        <w:rPr>
          <w:b/>
          <w:iCs/>
          <w:color w:val="A6A6A6" w:themeColor="background1" w:themeShade="A6"/>
        </w:rPr>
        <w:t xml:space="preserve"> the </w:t>
      </w:r>
      <w:r w:rsidR="008B51D9" w:rsidRPr="00595F6C">
        <w:rPr>
          <w:b/>
          <w:iCs/>
          <w:color w:val="A6A6A6" w:themeColor="background1" w:themeShade="A6"/>
        </w:rPr>
        <w:t>health outcome</w:t>
      </w:r>
      <w:r w:rsidR="005857F8" w:rsidRPr="00595F6C">
        <w:rPr>
          <w:b/>
          <w:iCs/>
          <w:color w:val="A6A6A6" w:themeColor="background1" w:themeShade="A6"/>
        </w:rPr>
        <w:t xml:space="preserve"> </w:t>
      </w:r>
      <w:r w:rsidR="00AA5587" w:rsidRPr="00595F6C">
        <w:rPr>
          <w:b/>
          <w:iCs/>
          <w:color w:val="A6A6A6" w:themeColor="background1" w:themeShade="A6"/>
        </w:rPr>
        <w:t>(</w:t>
      </w:r>
      <w:r w:rsidR="005857F8" w:rsidRPr="00595F6C">
        <w:rPr>
          <w:b/>
          <w:iCs/>
          <w:color w:val="A6A6A6" w:themeColor="background1" w:themeShade="A6"/>
        </w:rPr>
        <w:t>or PRO</w:t>
      </w:r>
      <w:r w:rsidR="00AA5587" w:rsidRPr="00595F6C">
        <w:rPr>
          <w:b/>
          <w:iCs/>
          <w:color w:val="A6A6A6" w:themeColor="background1" w:themeShade="A6"/>
        </w:rPr>
        <w:t>)</w:t>
      </w:r>
      <w:r w:rsidR="008B51D9" w:rsidRPr="00595F6C">
        <w:rPr>
          <w:b/>
          <w:iCs/>
          <w:color w:val="A6A6A6" w:themeColor="background1" w:themeShade="A6"/>
        </w:rPr>
        <w:t xml:space="preserve"> </w:t>
      </w:r>
      <w:r w:rsidR="005D25E9" w:rsidRPr="00595F6C">
        <w:rPr>
          <w:b/>
          <w:iCs/>
          <w:color w:val="A6A6A6" w:themeColor="background1" w:themeShade="A6"/>
        </w:rPr>
        <w:t>to</w:t>
      </w:r>
      <w:r w:rsidR="00236F87" w:rsidRPr="00595F6C">
        <w:rPr>
          <w:b/>
          <w:iCs/>
          <w:color w:val="A6A6A6" w:themeColor="background1" w:themeShade="A6"/>
        </w:rPr>
        <w:t xml:space="preserve"> </w:t>
      </w:r>
      <w:r w:rsidR="00496AF8" w:rsidRPr="00595F6C">
        <w:rPr>
          <w:b/>
          <w:iCs/>
          <w:color w:val="A6A6A6" w:themeColor="background1" w:themeShade="A6"/>
        </w:rPr>
        <w:t>at least one</w:t>
      </w:r>
      <w:r w:rsidR="009B5BEA" w:rsidRPr="00595F6C">
        <w:rPr>
          <w:b/>
          <w:iCs/>
          <w:color w:val="A6A6A6" w:themeColor="background1" w:themeShade="A6"/>
        </w:rPr>
        <w:t xml:space="preserve"> </w:t>
      </w:r>
      <w:r w:rsidR="00496AF8" w:rsidRPr="00595F6C">
        <w:rPr>
          <w:b/>
          <w:iCs/>
          <w:color w:val="A6A6A6" w:themeColor="background1" w:themeShade="A6"/>
        </w:rPr>
        <w:t>healthcare structure, process, intervention, or service</w:t>
      </w:r>
      <w:r w:rsidR="00AC1E53" w:rsidRPr="00595F6C">
        <w:rPr>
          <w:b/>
          <w:iCs/>
          <w:color w:val="A6A6A6" w:themeColor="background1" w:themeShade="A6"/>
        </w:rPr>
        <w:t xml:space="preserve"> (</w:t>
      </w:r>
      <w:r w:rsidR="00AC1E53" w:rsidRPr="00595F6C">
        <w:rPr>
          <w:b/>
          <w:i/>
          <w:iCs/>
          <w:color w:val="A6A6A6" w:themeColor="background1" w:themeShade="A6"/>
        </w:rPr>
        <w:t>i.e., influence on outcome/PRO</w:t>
      </w:r>
      <w:r w:rsidR="00AC1E53" w:rsidRPr="00595F6C">
        <w:rPr>
          <w:b/>
          <w:iCs/>
          <w:color w:val="A6A6A6" w:themeColor="background1" w:themeShade="A6"/>
        </w:rPr>
        <w:t>)</w:t>
      </w:r>
      <w:r w:rsidR="005D25E9" w:rsidRPr="00595F6C">
        <w:rPr>
          <w:b/>
          <w:iCs/>
          <w:color w:val="A6A6A6" w:themeColor="background1" w:themeShade="A6"/>
        </w:rPr>
        <w:t>.</w:t>
      </w:r>
    </w:p>
    <w:p w14:paraId="4CA20D2C" w14:textId="77777777" w:rsidR="00D14F0B" w:rsidRPr="00595F6C" w:rsidRDefault="00D14F0B" w:rsidP="002E2177">
      <w:pPr>
        <w:ind w:left="0" w:firstLine="0"/>
        <w:rPr>
          <w:iCs/>
          <w:color w:val="A6A6A6" w:themeColor="background1" w:themeShade="A6"/>
        </w:rPr>
      </w:pPr>
    </w:p>
    <w:p w14:paraId="7FE0402D" w14:textId="77777777" w:rsidR="00496AF8" w:rsidRPr="00595F6C" w:rsidRDefault="00496AF8" w:rsidP="002E2177">
      <w:pPr>
        <w:ind w:left="0" w:firstLine="0"/>
        <w:rPr>
          <w:i/>
          <w:iCs/>
          <w:color w:val="A6A6A6" w:themeColor="background1" w:themeShade="A6"/>
        </w:rPr>
      </w:pPr>
      <w:r w:rsidRPr="00595F6C">
        <w:rPr>
          <w:i/>
          <w:iCs/>
          <w:color w:val="A6A6A6" w:themeColor="background1" w:themeShade="A6"/>
          <w:highlight w:val="green"/>
          <w:u w:val="single"/>
        </w:rPr>
        <w:t>Note</w:t>
      </w:r>
      <w:r w:rsidR="009B5BEA" w:rsidRPr="00595F6C">
        <w:rPr>
          <w:i/>
          <w:iCs/>
          <w:color w:val="A6A6A6" w:themeColor="background1" w:themeShade="A6"/>
          <w:highlight w:val="green"/>
        </w:rPr>
        <w:t>:  F</w:t>
      </w:r>
      <w:r w:rsidRPr="00595F6C">
        <w:rPr>
          <w:i/>
          <w:iCs/>
          <w:color w:val="A6A6A6" w:themeColor="background1" w:themeShade="A6"/>
          <w:highlight w:val="green"/>
        </w:rPr>
        <w:t>or health outcome</w:t>
      </w:r>
      <w:r w:rsidR="00236F87" w:rsidRPr="00595F6C">
        <w:rPr>
          <w:i/>
          <w:iCs/>
          <w:color w:val="A6A6A6" w:themeColor="background1" w:themeShade="A6"/>
          <w:highlight w:val="green"/>
        </w:rPr>
        <w:t>/PRO</w:t>
      </w:r>
      <w:r w:rsidRPr="00595F6C">
        <w:rPr>
          <w:i/>
          <w:iCs/>
          <w:color w:val="A6A6A6" w:themeColor="background1" w:themeShade="A6"/>
          <w:highlight w:val="green"/>
        </w:rPr>
        <w:t xml:space="preserve"> </w:t>
      </w:r>
      <w:r w:rsidR="005857F8" w:rsidRPr="00595F6C">
        <w:rPr>
          <w:i/>
          <w:iCs/>
          <w:color w:val="A6A6A6" w:themeColor="background1" w:themeShade="A6"/>
          <w:highlight w:val="green"/>
        </w:rPr>
        <w:t xml:space="preserve">performance </w:t>
      </w:r>
      <w:r w:rsidRPr="00595F6C">
        <w:rPr>
          <w:i/>
          <w:iCs/>
          <w:color w:val="A6A6A6" w:themeColor="background1" w:themeShade="A6"/>
          <w:highlight w:val="green"/>
        </w:rPr>
        <w:t>measures, no further information is require</w:t>
      </w:r>
      <w:r w:rsidR="005857F8" w:rsidRPr="00595F6C">
        <w:rPr>
          <w:i/>
          <w:iCs/>
          <w:color w:val="A6A6A6" w:themeColor="background1" w:themeShade="A6"/>
          <w:highlight w:val="green"/>
        </w:rPr>
        <w:t xml:space="preserve">d; however, you may provide evidence for any of the structures, processes, interventions, or service identified above. </w:t>
      </w:r>
    </w:p>
    <w:p w14:paraId="590AED77" w14:textId="77777777" w:rsidR="002B06BD" w:rsidRPr="003B1CC5" w:rsidRDefault="00925F11" w:rsidP="002E2177">
      <w:pPr>
        <w:ind w:left="0" w:firstLine="0"/>
        <w:rPr>
          <w:b/>
          <w:iCs/>
          <w:caps/>
        </w:rPr>
      </w:pPr>
      <w:r w:rsidRPr="003B1CC5">
        <w:rPr>
          <w:b/>
          <w:iCs/>
          <w:caps/>
        </w:rPr>
        <w:t>_________________________</w:t>
      </w:r>
    </w:p>
    <w:p w14:paraId="1344D675"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52E41361" w14:textId="77777777" w:rsidR="00496AF8"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12C85804" w14:textId="77777777" w:rsidR="00595F6C" w:rsidRPr="003B1CC5" w:rsidRDefault="00595F6C" w:rsidP="002E2177">
      <w:pPr>
        <w:ind w:left="0" w:firstLine="0"/>
        <w:rPr>
          <w:i/>
          <w:iCs/>
        </w:rPr>
      </w:pPr>
    </w:p>
    <w:p w14:paraId="2AE55AE2" w14:textId="77777777" w:rsidR="00595F6C" w:rsidRPr="003165B5" w:rsidRDefault="00595F6C" w:rsidP="00D31857">
      <w:pPr>
        <w:autoSpaceDE w:val="0"/>
        <w:autoSpaceDN w:val="0"/>
        <w:adjustRightInd w:val="0"/>
        <w:spacing w:after="240"/>
        <w:rPr>
          <w:rFonts w:cs="Trebuchet MS"/>
          <w:color w:val="0000FF"/>
        </w:rPr>
      </w:pPr>
      <w:r w:rsidRPr="003165B5">
        <w:rPr>
          <w:rFonts w:cs="Trebuchet MS"/>
          <w:color w:val="0000FF"/>
        </w:rPr>
        <w:t xml:space="preserve">Increased focus on the identification and correction of post-dialysis and target weight discrepancies will </w:t>
      </w:r>
      <w:r w:rsidRPr="003165B5">
        <w:rPr>
          <w:rFonts w:eastAsia="Times New Roman" w:cs="Times New Roman"/>
          <w:color w:val="0000FF"/>
        </w:rPr>
        <w:t xml:space="preserve">help attenuate large fluctuations in fluid balance and blood pressure that contribute to volume overload syndromes, hypertension, and cardiac hypertrophy and will </w:t>
      </w:r>
      <w:r w:rsidRPr="003165B5">
        <w:rPr>
          <w:rFonts w:cs="Trebuchet MS"/>
          <w:color w:val="0000FF"/>
        </w:rPr>
        <w:t>decrease associated hospitalizations</w:t>
      </w:r>
      <w:r>
        <w:rPr>
          <w:rFonts w:cs="Trebuchet MS"/>
          <w:color w:val="0000FF"/>
        </w:rPr>
        <w:t>, readmissions,</w:t>
      </w:r>
      <w:r w:rsidRPr="003165B5">
        <w:rPr>
          <w:rFonts w:cs="Trebuchet MS"/>
          <w:color w:val="0000FF"/>
        </w:rPr>
        <w:t xml:space="preserve"> and mortality.</w:t>
      </w:r>
    </w:p>
    <w:p w14:paraId="3BDC6A3E" w14:textId="77777777" w:rsidR="007C1887" w:rsidRPr="003B1CC5" w:rsidRDefault="007C1887" w:rsidP="002E2177">
      <w:pPr>
        <w:ind w:left="0" w:firstLine="0"/>
      </w:pPr>
    </w:p>
    <w:p w14:paraId="11E493B5"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09034FAA" w14:textId="77777777" w:rsidR="00FD4D82" w:rsidRPr="003B1CC5" w:rsidRDefault="006B344D" w:rsidP="002E2177">
      <w:pPr>
        <w:ind w:left="0" w:firstLine="0"/>
      </w:pPr>
      <w:sdt>
        <w:sdtPr>
          <w:rPr>
            <w:bCs/>
            <w:color w:val="0000FF"/>
          </w:rPr>
          <w:id w:val="-468508862"/>
          <w14:checkbox>
            <w14:checked w14:val="1"/>
            <w14:checkedState w14:val="2612" w14:font="ＭＳ ゴシック"/>
            <w14:uncheckedState w14:val="2610" w14:font="ＭＳ ゴシック"/>
          </w14:checkbox>
        </w:sdtPr>
        <w:sdtEndPr/>
        <w:sdtContent>
          <w:r w:rsidR="00595F6C">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F13D61E" w14:textId="77777777" w:rsidR="00FD4D82" w:rsidRPr="003B1CC5" w:rsidRDefault="006B344D" w:rsidP="002E2177">
      <w:pPr>
        <w:ind w:left="0" w:firstLine="0"/>
        <w:rPr>
          <w:b/>
          <w:i/>
        </w:rPr>
      </w:pPr>
      <w:sdt>
        <w:sdtPr>
          <w:rPr>
            <w:bCs/>
            <w:color w:val="0000FF"/>
          </w:rPr>
          <w:id w:val="-411317169"/>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170A20EE" w14:textId="77777777" w:rsidR="007573F0" w:rsidRPr="003B1CC5" w:rsidRDefault="006B344D" w:rsidP="002E2177">
      <w:pPr>
        <w:ind w:left="0" w:firstLine="0"/>
      </w:pPr>
      <w:sdt>
        <w:sdtPr>
          <w:rPr>
            <w:bCs/>
            <w:color w:val="0000FF"/>
          </w:rPr>
          <w:id w:val="1199589694"/>
          <w14:checkbox>
            <w14:checked w14:val="0"/>
            <w14:checkedState w14:val="2612" w14:font="ＭＳ ゴシック"/>
            <w14:uncheckedState w14:val="2610" w14:font="ＭＳ ゴシック"/>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7A9E10BE" w14:textId="77777777" w:rsidR="00FD4D82" w:rsidRPr="003B1CC5" w:rsidRDefault="006B344D" w:rsidP="002E2177">
      <w:pPr>
        <w:ind w:left="0" w:firstLine="0"/>
      </w:pPr>
      <w:sdt>
        <w:sdtPr>
          <w:rPr>
            <w:bCs/>
            <w:color w:val="0000FF"/>
          </w:rPr>
          <w:id w:val="302275832"/>
          <w14:checkbox>
            <w14:checked w14:val="1"/>
            <w14:checkedState w14:val="2612" w14:font="ＭＳ ゴシック"/>
            <w14:uncheckedState w14:val="2610" w14:font="ＭＳ ゴシック"/>
          </w14:checkbox>
        </w:sdtPr>
        <w:sdtEndPr/>
        <w:sdtContent>
          <w:r w:rsidR="00595F6C">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1CF53167" w14:textId="77777777" w:rsidR="00FD4D82" w:rsidRPr="003B1CC5" w:rsidRDefault="00FD4D82" w:rsidP="002E2177">
      <w:pPr>
        <w:ind w:left="0" w:firstLine="0"/>
      </w:pPr>
    </w:p>
    <w:p w14:paraId="0574F0F2"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724C340D"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7075C324"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0CC35FC" w14:textId="77777777" w:rsidR="007E37A5" w:rsidRPr="003B1CC5" w:rsidRDefault="008B51D9" w:rsidP="002E2177">
      <w:pPr>
        <w:ind w:left="0" w:firstLine="0"/>
      </w:pPr>
      <w:r w:rsidRPr="003B1CC5">
        <w:rPr>
          <w:b/>
          <w:color w:val="0000FF"/>
        </w:rPr>
        <w:lastRenderedPageBreak/>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53FF2C4" w14:textId="77777777" w:rsidR="00D53405" w:rsidRDefault="00D53405" w:rsidP="002E2177">
      <w:pPr>
        <w:ind w:left="0" w:firstLine="0"/>
        <w:rPr>
          <w:rFonts w:cs="Arial"/>
          <w:sz w:val="20"/>
          <w:szCs w:val="20"/>
        </w:rPr>
      </w:pPr>
    </w:p>
    <w:p w14:paraId="61512A89" w14:textId="77777777" w:rsidR="00595F6C" w:rsidRPr="00595F6C" w:rsidRDefault="00D31857" w:rsidP="00D31857">
      <w:pPr>
        <w:autoSpaceDE w:val="0"/>
        <w:autoSpaceDN w:val="0"/>
        <w:adjustRightInd w:val="0"/>
        <w:rPr>
          <w:rFonts w:cs="Trebuchet MS"/>
          <w:b/>
          <w:color w:val="0000FF"/>
        </w:rPr>
      </w:pPr>
      <w:proofErr w:type="gramStart"/>
      <w:r w:rsidRPr="00D31857">
        <w:rPr>
          <w:rStyle w:val="Emphasis"/>
          <w:rFonts w:eastAsia="Times New Roman" w:cs="Times New Roman"/>
          <w:b/>
          <w:i w:val="0"/>
          <w:color w:val="0000FF"/>
        </w:rPr>
        <w:t xml:space="preserve">The </w:t>
      </w:r>
      <w:r w:rsidR="00595F6C" w:rsidRPr="00D31857">
        <w:rPr>
          <w:rStyle w:val="Emphasis"/>
          <w:rFonts w:eastAsia="Times New Roman" w:cs="Times New Roman"/>
          <w:b/>
          <w:i w:val="0"/>
          <w:color w:val="0000FF"/>
        </w:rPr>
        <w:t xml:space="preserve">Kidney Disease Outcomes Quality Initiative </w:t>
      </w:r>
      <w:r w:rsidR="00595F6C" w:rsidRPr="00D31857">
        <w:rPr>
          <w:rStyle w:val="Emphasis"/>
          <w:rFonts w:eastAsia="Times New Roman" w:cs="Times New Roman"/>
          <w:b/>
          <w:color w:val="0000FF"/>
        </w:rPr>
        <w:t>(</w:t>
      </w:r>
      <w:r w:rsidR="00595F6C" w:rsidRPr="00D31857">
        <w:rPr>
          <w:rFonts w:cs="Trebuchet MS"/>
          <w:b/>
          <w:color w:val="0000FF"/>
        </w:rPr>
        <w:t>KDOQI).</w:t>
      </w:r>
      <w:proofErr w:type="gramEnd"/>
      <w:r w:rsidR="00595F6C" w:rsidRPr="00595F6C">
        <w:rPr>
          <w:rFonts w:cs="Trebuchet MS"/>
          <w:b/>
          <w:color w:val="0000FF"/>
        </w:rPr>
        <w:t xml:space="preserve">  Clinical practice guidelines for hemodialysis adequacy:  </w:t>
      </w:r>
      <w:r w:rsidR="00595F6C" w:rsidRPr="00595F6C">
        <w:rPr>
          <w:rStyle w:val="Strong"/>
          <w:rFonts w:eastAsia="Times New Roman" w:cs="Times New Roman"/>
          <w:iCs/>
          <w:color w:val="0000FF"/>
        </w:rPr>
        <w:t xml:space="preserve">Achievement of optimal “dry” weight (CPG 5.1).  </w:t>
      </w:r>
      <w:r w:rsidR="00595F6C" w:rsidRPr="00595F6C">
        <w:rPr>
          <w:rFonts w:cs="Trebuchet MS"/>
          <w:b/>
          <w:color w:val="0000FF"/>
        </w:rPr>
        <w:t xml:space="preserve"> </w:t>
      </w:r>
      <w:proofErr w:type="gramStart"/>
      <w:r w:rsidR="00595F6C" w:rsidRPr="00595F6C">
        <w:rPr>
          <w:rFonts w:cs="Trebuchet MS"/>
          <w:b/>
          <w:color w:val="0000FF"/>
        </w:rPr>
        <w:t>Am</w:t>
      </w:r>
      <w:proofErr w:type="gramEnd"/>
      <w:r w:rsidR="00595F6C" w:rsidRPr="00595F6C">
        <w:rPr>
          <w:rFonts w:cs="Trebuchet MS"/>
          <w:b/>
          <w:i/>
          <w:color w:val="0000FF"/>
        </w:rPr>
        <w:t xml:space="preserve"> J Kidney Dis.</w:t>
      </w:r>
      <w:r w:rsidR="00595F6C" w:rsidRPr="00595F6C">
        <w:rPr>
          <w:rFonts w:cs="Trebuchet MS"/>
          <w:b/>
          <w:color w:val="0000FF"/>
        </w:rPr>
        <w:t xml:space="preserve">  2006; Jul</w:t>
      </w:r>
      <w:proofErr w:type="gramStart"/>
      <w:r w:rsidR="00595F6C" w:rsidRPr="00595F6C">
        <w:rPr>
          <w:rFonts w:cs="Trebuchet MS"/>
          <w:b/>
          <w:color w:val="0000FF"/>
        </w:rPr>
        <w:t>;48</w:t>
      </w:r>
      <w:proofErr w:type="gramEnd"/>
      <w:r w:rsidR="00595F6C" w:rsidRPr="00595F6C">
        <w:rPr>
          <w:rFonts w:cs="Trebuchet MS"/>
          <w:b/>
          <w:color w:val="0000FF"/>
        </w:rPr>
        <w:t xml:space="preserve"> (1 </w:t>
      </w:r>
      <w:proofErr w:type="spellStart"/>
      <w:r w:rsidR="00595F6C" w:rsidRPr="00595F6C">
        <w:rPr>
          <w:rFonts w:cs="Trebuchet MS"/>
          <w:b/>
          <w:color w:val="0000FF"/>
        </w:rPr>
        <w:t>Suppl</w:t>
      </w:r>
      <w:proofErr w:type="spellEnd"/>
      <w:r w:rsidR="00595F6C" w:rsidRPr="00595F6C">
        <w:rPr>
          <w:rFonts w:cs="Trebuchet MS"/>
          <w:b/>
          <w:color w:val="0000FF"/>
        </w:rPr>
        <w:t xml:space="preserve"> 1): S13-97.</w:t>
      </w:r>
    </w:p>
    <w:p w14:paraId="01D9A1BD" w14:textId="77777777" w:rsidR="00595F6C" w:rsidRPr="003165B5" w:rsidRDefault="00595F6C" w:rsidP="00595F6C">
      <w:pPr>
        <w:autoSpaceDE w:val="0"/>
        <w:autoSpaceDN w:val="0"/>
        <w:adjustRightInd w:val="0"/>
        <w:rPr>
          <w:rFonts w:cs="Trebuchet MS"/>
          <w:b/>
          <w:color w:val="0029FA"/>
        </w:rPr>
      </w:pPr>
    </w:p>
    <w:p w14:paraId="151E8C94" w14:textId="77777777" w:rsidR="00595F6C" w:rsidRDefault="00595F6C" w:rsidP="00595F6C">
      <w:pPr>
        <w:autoSpaceDE w:val="0"/>
        <w:autoSpaceDN w:val="0"/>
        <w:adjustRightInd w:val="0"/>
        <w:spacing w:after="120"/>
      </w:pPr>
      <w:r w:rsidRPr="003165B5">
        <w:rPr>
          <w:rFonts w:cs="Trebuchet MS"/>
          <w:color w:val="0029FA"/>
        </w:rPr>
        <w:t>URL:  http://www2.kidney.org/professionals/KDOQI/guideline_upHD_PD_VA/</w:t>
      </w:r>
      <w:r w:rsidRPr="003165B5">
        <w:rPr>
          <w:color w:val="0000FF"/>
        </w:rPr>
        <w:t>1a.4.2.</w:t>
      </w:r>
      <w:r w:rsidRPr="003165B5">
        <w:t xml:space="preserve"> </w:t>
      </w:r>
    </w:p>
    <w:p w14:paraId="5003D718" w14:textId="77777777" w:rsidR="00595F6C" w:rsidRPr="003B1CC5" w:rsidRDefault="00595F6C" w:rsidP="002E2177">
      <w:pPr>
        <w:ind w:left="0" w:firstLine="0"/>
        <w:rPr>
          <w:rFonts w:cs="Arial"/>
          <w:sz w:val="20"/>
          <w:szCs w:val="20"/>
        </w:rPr>
      </w:pPr>
    </w:p>
    <w:p w14:paraId="3E5F8F95" w14:textId="77777777" w:rsidR="006F4B7F" w:rsidRPr="003B1CC5" w:rsidRDefault="006F4B7F" w:rsidP="002E2177">
      <w:pPr>
        <w:ind w:left="0" w:firstLine="0"/>
        <w:rPr>
          <w:color w:val="0000FF"/>
        </w:rPr>
      </w:pPr>
    </w:p>
    <w:p w14:paraId="73141520"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647B7032" w14:textId="77777777" w:rsidR="00496AF8" w:rsidRDefault="00496AF8" w:rsidP="002E2177">
      <w:pPr>
        <w:ind w:left="0" w:firstLine="0"/>
      </w:pPr>
    </w:p>
    <w:p w14:paraId="6E8C2CDE" w14:textId="77777777" w:rsidR="00D31857" w:rsidRPr="00743507" w:rsidRDefault="00D31857" w:rsidP="00D31857">
      <w:pPr>
        <w:spacing w:after="120"/>
        <w:rPr>
          <w:rFonts w:eastAsia="Times New Roman" w:cs="Times New Roman"/>
          <w:color w:val="0000FF"/>
          <w:highlight w:val="yellow"/>
        </w:rPr>
      </w:pPr>
      <w:r w:rsidRPr="00297319">
        <w:rPr>
          <w:rFonts w:cs="Futura"/>
          <w:b/>
          <w:color w:val="0000FF"/>
        </w:rPr>
        <w:t xml:space="preserve">The ultrafiltration component of the HD prescription should be optimized with a goal to render the patient </w:t>
      </w:r>
      <w:proofErr w:type="spellStart"/>
      <w:r w:rsidRPr="00297319">
        <w:rPr>
          <w:rFonts w:cs="Futura"/>
          <w:b/>
          <w:color w:val="0000FF"/>
        </w:rPr>
        <w:t>euvolemic</w:t>
      </w:r>
      <w:proofErr w:type="spellEnd"/>
      <w:r w:rsidRPr="00297319">
        <w:rPr>
          <w:rFonts w:cs="Futura"/>
          <w:b/>
          <w:color w:val="0000FF"/>
        </w:rPr>
        <w:t xml:space="preserve"> and normotensive.  This includes counseling the patient on sodium and fluid restriction, adequate ultrafiltration, and the use of diuretics in patients with </w:t>
      </w:r>
      <w:r w:rsidRPr="00A72D05">
        <w:rPr>
          <w:rFonts w:cs="Futura"/>
          <w:b/>
          <w:color w:val="0000FF"/>
        </w:rPr>
        <w:t>RKF.</w:t>
      </w:r>
      <w:r w:rsidRPr="00A72D05">
        <w:rPr>
          <w:rFonts w:cs="Futura"/>
          <w:color w:val="0000FF"/>
        </w:rPr>
        <w:t xml:space="preserve"> </w:t>
      </w:r>
      <w:r w:rsidRPr="00A72D05">
        <w:rPr>
          <w:rStyle w:val="Strong"/>
          <w:rFonts w:eastAsia="Times New Roman" w:cs="Times New Roman"/>
          <w:i/>
          <w:iCs/>
        </w:rPr>
        <w:t xml:space="preserve"> </w:t>
      </w:r>
    </w:p>
    <w:p w14:paraId="12A22069" w14:textId="77777777" w:rsidR="00D31857" w:rsidRPr="003165B5" w:rsidRDefault="00D31857" w:rsidP="00D31857">
      <w:pPr>
        <w:spacing w:after="120"/>
        <w:rPr>
          <w:rFonts w:eastAsia="Times New Roman" w:cs="Times New Roman"/>
          <w:color w:val="0000FF"/>
        </w:rPr>
      </w:pPr>
      <w:r>
        <w:rPr>
          <w:rFonts w:eastAsia="Times New Roman" w:cs="Times New Roman"/>
          <w:color w:val="0000FF"/>
        </w:rPr>
        <w:t>The KDOQI panel noted that a</w:t>
      </w:r>
      <w:r w:rsidRPr="003165B5">
        <w:rPr>
          <w:rFonts w:eastAsia="Times New Roman" w:cs="Times New Roman"/>
          <w:color w:val="0000FF"/>
        </w:rPr>
        <w:t xml:space="preserve"> patient's true dry weight, </w:t>
      </w:r>
      <w:proofErr w:type="gramStart"/>
      <w:r w:rsidRPr="003165B5">
        <w:rPr>
          <w:rFonts w:eastAsia="Times New Roman" w:cs="Times New Roman"/>
          <w:color w:val="0000FF"/>
        </w:rPr>
        <w:t>defined</w:t>
      </w:r>
      <w:proofErr w:type="gramEnd"/>
      <w:r w:rsidRPr="003165B5">
        <w:rPr>
          <w:rFonts w:eastAsia="Times New Roman" w:cs="Times New Roman"/>
          <w:color w:val="0000FF"/>
        </w:rPr>
        <w:t xml:space="preserve"> as the weight when fluid volume is optimal, can be determined accurately, but the method is not readily available in clinical settings (e.g., use of multiple-frequency </w:t>
      </w:r>
      <w:proofErr w:type="spellStart"/>
      <w:r w:rsidRPr="003165B5">
        <w:rPr>
          <w:rFonts w:eastAsia="Times New Roman" w:cs="Times New Roman"/>
          <w:color w:val="0000FF"/>
        </w:rPr>
        <w:t>bioimpedance</w:t>
      </w:r>
      <w:proofErr w:type="spellEnd"/>
      <w:r w:rsidRPr="003165B5">
        <w:rPr>
          <w:rFonts w:eastAsia="Times New Roman" w:cs="Times New Roman"/>
          <w:color w:val="0000FF"/>
        </w:rPr>
        <w:t xml:space="preserve"> spectroscopy).</w:t>
      </w:r>
      <w:r w:rsidRPr="003165B5">
        <w:rPr>
          <w:rFonts w:eastAsia="Times New Roman" w:cs="Times New Roman"/>
          <w:color w:val="0000FF"/>
          <w:vertAlign w:val="superscript"/>
        </w:rPr>
        <w:t xml:space="preserve"> </w:t>
      </w:r>
      <w:r w:rsidRPr="003165B5">
        <w:rPr>
          <w:rFonts w:eastAsia="Times New Roman" w:cs="Times New Roman"/>
          <w:color w:val="0000FF"/>
        </w:rPr>
        <w:t xml:space="preserve"> Instead, dry weight usually is determined clinically by evaluating level of blood pressure, evidence of fluid overload, and the patient's tolerance of ultrafiltration aimed to arrive at the estimated target weight.</w:t>
      </w:r>
      <w:r w:rsidRPr="003165B5">
        <w:rPr>
          <w:rFonts w:eastAsia="Times New Roman" w:cs="Times New Roman"/>
          <w:color w:val="0000FF"/>
          <w:vertAlign w:val="superscript"/>
        </w:rPr>
        <w:t xml:space="preserve"> </w:t>
      </w:r>
      <w:r w:rsidRPr="003165B5">
        <w:rPr>
          <w:rFonts w:eastAsia="Times New Roman" w:cs="Times New Roman"/>
          <w:color w:val="0000FF"/>
        </w:rPr>
        <w:t xml:space="preserve"> It should be noted that a patient </w:t>
      </w:r>
      <w:proofErr w:type="gramStart"/>
      <w:r w:rsidRPr="003165B5">
        <w:rPr>
          <w:rFonts w:eastAsia="Times New Roman" w:cs="Times New Roman"/>
          <w:color w:val="0000FF"/>
        </w:rPr>
        <w:t>can</w:t>
      </w:r>
      <w:proofErr w:type="gramEnd"/>
      <w:r w:rsidRPr="003165B5">
        <w:rPr>
          <w:rFonts w:eastAsia="Times New Roman" w:cs="Times New Roman"/>
          <w:color w:val="0000FF"/>
        </w:rPr>
        <w:t xml:space="preserve"> have fluid excess in the absence of gross clinical evidence of volume expansion, a phenomenon termed “silent </w:t>
      </w:r>
      <w:proofErr w:type="spellStart"/>
      <w:r w:rsidRPr="003165B5">
        <w:rPr>
          <w:rFonts w:eastAsia="Times New Roman" w:cs="Times New Roman"/>
          <w:color w:val="0000FF"/>
        </w:rPr>
        <w:t>overhydration</w:t>
      </w:r>
      <w:proofErr w:type="spellEnd"/>
      <w:r w:rsidRPr="003165B5">
        <w:rPr>
          <w:rFonts w:eastAsia="Times New Roman" w:cs="Times New Roman"/>
          <w:color w:val="0000FF"/>
        </w:rPr>
        <w:t>.”</w:t>
      </w:r>
      <w:r w:rsidRPr="003165B5">
        <w:rPr>
          <w:rFonts w:eastAsia="Times New Roman" w:cs="Times New Roman"/>
          <w:color w:val="0000FF"/>
          <w:vertAlign w:val="superscript"/>
        </w:rPr>
        <w:t xml:space="preserve"> </w:t>
      </w:r>
      <w:r w:rsidRPr="003165B5">
        <w:rPr>
          <w:rFonts w:eastAsia="Times New Roman" w:cs="Times New Roman"/>
          <w:color w:val="0000FF"/>
        </w:rPr>
        <w:t xml:space="preserve"> During dialysis, as the patient's dry weight is approached, the rate at which the vascular compartment refills from fluid in the adjacent tissue spaces is reduced.</w:t>
      </w:r>
      <w:r w:rsidRPr="003165B5">
        <w:rPr>
          <w:rFonts w:eastAsia="Times New Roman" w:cs="Times New Roman"/>
          <w:color w:val="0000FF"/>
          <w:vertAlign w:val="superscript"/>
        </w:rPr>
        <w:t xml:space="preserve"> </w:t>
      </w:r>
      <w:r w:rsidRPr="003165B5">
        <w:rPr>
          <w:rFonts w:eastAsia="Times New Roman" w:cs="Times New Roman"/>
          <w:color w:val="0000FF"/>
        </w:rPr>
        <w:t xml:space="preserve"> If UFR is reduced toward the end of dialysis, the reduced compensatory refilling process may be adequate to support the patient's depleted blood volume, thereby avoiding hypotension and muscle cramping.  When the blood volume is refilled and blood pressure improves, more rapid ultrafiltration can be resumed.  For a fluid-overloaded dialysis patient, this step-by-step process of identifying, or “probing,” for the true dry weight through ultrafiltration—but without inducing hypotension—should be accomplished gradually over a number of dialysis treatments (usually over 4 to 12 weeks, but it may require as long as 6 to 12 months) until evidence of fluid overload is in abeyance.  </w:t>
      </w:r>
    </w:p>
    <w:p w14:paraId="70C21503" w14:textId="77777777" w:rsidR="00D31857" w:rsidRPr="003165B5" w:rsidRDefault="00D31857" w:rsidP="00D31857">
      <w:pPr>
        <w:spacing w:after="120"/>
        <w:rPr>
          <w:rFonts w:eastAsia="Times New Roman" w:cs="Times New Roman"/>
          <w:color w:val="0000FF"/>
        </w:rPr>
      </w:pPr>
      <w:r w:rsidRPr="003165B5">
        <w:rPr>
          <w:rFonts w:eastAsia="Times New Roman" w:cs="Times New Roman"/>
          <w:color w:val="0000FF"/>
        </w:rPr>
        <w:t xml:space="preserve">To improve fluid removal during dialysis and reduce morbidity, monitoring blood volume during HD has been recommended.  However, use of monitoring devices has met with varying degrees of success; some investigators have obtained satisfactory results, whereas other </w:t>
      </w:r>
      <w:proofErr w:type="gramStart"/>
      <w:r w:rsidRPr="003165B5">
        <w:rPr>
          <w:rFonts w:eastAsia="Times New Roman" w:cs="Times New Roman"/>
          <w:color w:val="0000FF"/>
        </w:rPr>
        <w:t>have</w:t>
      </w:r>
      <w:proofErr w:type="gramEnd"/>
      <w:r w:rsidRPr="003165B5">
        <w:rPr>
          <w:rFonts w:eastAsia="Times New Roman" w:cs="Times New Roman"/>
          <w:color w:val="0000FF"/>
        </w:rPr>
        <w:t xml:space="preserve"> had disappointing results.</w:t>
      </w:r>
      <w:r w:rsidRPr="003165B5">
        <w:rPr>
          <w:rFonts w:eastAsia="Times New Roman" w:cs="Times New Roman"/>
          <w:color w:val="0000FF"/>
          <w:vertAlign w:val="superscript"/>
        </w:rPr>
        <w:t xml:space="preserve"> </w:t>
      </w:r>
      <w:r w:rsidRPr="003165B5">
        <w:rPr>
          <w:rFonts w:eastAsia="Times New Roman" w:cs="Times New Roman"/>
          <w:color w:val="0000FF"/>
        </w:rPr>
        <w:t xml:space="preserve">  Further studies are required to clarify this important issue.</w:t>
      </w:r>
    </w:p>
    <w:p w14:paraId="60AD0F1F" w14:textId="77777777" w:rsidR="00D31857" w:rsidRPr="003165B5" w:rsidRDefault="00D31857" w:rsidP="00D31857">
      <w:pPr>
        <w:rPr>
          <w:rFonts w:eastAsia="Times New Roman" w:cs="Times New Roman"/>
          <w:color w:val="0000FF"/>
          <w:vertAlign w:val="superscript"/>
        </w:rPr>
      </w:pPr>
      <w:r w:rsidRPr="003165B5">
        <w:rPr>
          <w:rFonts w:eastAsia="Times New Roman" w:cs="Times New Roman"/>
          <w:color w:val="0000FF"/>
        </w:rPr>
        <w:t>Hypotension during dialysis has many adverse effects and potential life-threatening consequences.  By impairing tissue perfusion, low blood pressures can compromise dialysis adequacy.</w:t>
      </w:r>
      <w:r w:rsidRPr="003165B5">
        <w:rPr>
          <w:rFonts w:eastAsia="Times New Roman" w:cs="Times New Roman"/>
          <w:color w:val="0000FF"/>
          <w:vertAlign w:val="superscript"/>
        </w:rPr>
        <w:t xml:space="preserve"> </w:t>
      </w:r>
      <w:r w:rsidRPr="003165B5">
        <w:rPr>
          <w:rFonts w:eastAsia="Times New Roman" w:cs="Times New Roman"/>
          <w:color w:val="0000FF"/>
        </w:rPr>
        <w:t xml:space="preserve"> Hypotension induced by overzealous ultrafiltration also may contribute to loss of RKF and, in predisposed patients, coronary and/or cerebral ischemia.</w:t>
      </w:r>
      <w:r w:rsidRPr="003165B5">
        <w:rPr>
          <w:rFonts w:eastAsia="Times New Roman" w:cs="Times New Roman"/>
          <w:color w:val="0000FF"/>
          <w:vertAlign w:val="superscript"/>
        </w:rPr>
        <w:t xml:space="preserve"> </w:t>
      </w:r>
      <w:r w:rsidRPr="003165B5">
        <w:rPr>
          <w:rFonts w:eastAsia="Times New Roman" w:cs="Times New Roman"/>
          <w:color w:val="0000FF"/>
        </w:rPr>
        <w:t xml:space="preserve"> To avoid hypotension, dry weight should be systematically reevaluated after each dialysis treatment.  It was suggested that a dialysis log summarizing the relevant information, such as body weights, blood pressures, and </w:t>
      </w:r>
      <w:proofErr w:type="spellStart"/>
      <w:r w:rsidRPr="003165B5">
        <w:rPr>
          <w:rFonts w:eastAsia="Times New Roman" w:cs="Times New Roman"/>
          <w:color w:val="0000FF"/>
        </w:rPr>
        <w:t>intradialytic</w:t>
      </w:r>
      <w:proofErr w:type="spellEnd"/>
      <w:r w:rsidRPr="003165B5">
        <w:rPr>
          <w:rFonts w:eastAsia="Times New Roman" w:cs="Times New Roman"/>
          <w:color w:val="0000FF"/>
        </w:rPr>
        <w:t xml:space="preserve"> incidents, is essential to provide a longitudinal dynamic view of ECF volume and blood pressure changes.</w:t>
      </w:r>
      <w:r w:rsidRPr="003165B5">
        <w:rPr>
          <w:rFonts w:eastAsia="Times New Roman" w:cs="Times New Roman"/>
          <w:color w:val="0000FF"/>
          <w:vertAlign w:val="superscript"/>
        </w:rPr>
        <w:t xml:space="preserve"> </w:t>
      </w:r>
      <w:r w:rsidRPr="003165B5">
        <w:rPr>
          <w:rFonts w:eastAsia="Times New Roman" w:cs="Times New Roman"/>
          <w:color w:val="0000FF"/>
        </w:rPr>
        <w:t xml:space="preserve"> Dry weight may change, for example, when a newly dialyzed patient becomes less uremic, regains appetite, and gains muscle and </w:t>
      </w:r>
      <w:proofErr w:type="spellStart"/>
      <w:r w:rsidRPr="003165B5">
        <w:rPr>
          <w:rFonts w:eastAsia="Times New Roman" w:cs="Times New Roman"/>
          <w:color w:val="0000FF"/>
        </w:rPr>
        <w:t>nonfluid</w:t>
      </w:r>
      <w:proofErr w:type="spellEnd"/>
      <w:r w:rsidRPr="003165B5">
        <w:rPr>
          <w:rFonts w:eastAsia="Times New Roman" w:cs="Times New Roman"/>
          <w:color w:val="0000FF"/>
        </w:rPr>
        <w:t xml:space="preserve"> weight (reflected by an increase in serum </w:t>
      </w:r>
      <w:proofErr w:type="spellStart"/>
      <w:r w:rsidRPr="003165B5">
        <w:rPr>
          <w:rFonts w:eastAsia="Times New Roman" w:cs="Times New Roman"/>
          <w:color w:val="0000FF"/>
        </w:rPr>
        <w:t>creatinine</w:t>
      </w:r>
      <w:proofErr w:type="spellEnd"/>
      <w:r w:rsidRPr="003165B5">
        <w:rPr>
          <w:rFonts w:eastAsia="Times New Roman" w:cs="Times New Roman"/>
          <w:color w:val="0000FF"/>
        </w:rPr>
        <w:t xml:space="preserve"> level), or when a patient has an </w:t>
      </w:r>
      <w:proofErr w:type="spellStart"/>
      <w:r w:rsidRPr="003165B5">
        <w:rPr>
          <w:rFonts w:eastAsia="Times New Roman" w:cs="Times New Roman"/>
          <w:color w:val="0000FF"/>
        </w:rPr>
        <w:t>intercurrent</w:t>
      </w:r>
      <w:proofErr w:type="spellEnd"/>
      <w:r w:rsidRPr="003165B5">
        <w:rPr>
          <w:rFonts w:eastAsia="Times New Roman" w:cs="Times New Roman"/>
          <w:color w:val="0000FF"/>
        </w:rPr>
        <w:t xml:space="preserve"> illness and loses muscle and tissue weight.</w:t>
      </w:r>
    </w:p>
    <w:p w14:paraId="6A29FBFD" w14:textId="77777777" w:rsidR="00D31857" w:rsidRPr="003B1CC5" w:rsidRDefault="00D31857" w:rsidP="002E2177">
      <w:pPr>
        <w:ind w:left="0" w:firstLine="0"/>
      </w:pPr>
    </w:p>
    <w:p w14:paraId="67B5100B" w14:textId="77777777" w:rsidR="00496AF8" w:rsidRPr="003B1CC5" w:rsidRDefault="00496AF8" w:rsidP="002E2177">
      <w:pPr>
        <w:ind w:left="0" w:firstLine="0"/>
      </w:pPr>
    </w:p>
    <w:p w14:paraId="28356EDB"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24EAA0E0" w14:textId="77777777" w:rsidR="008A45F3" w:rsidRDefault="008A45F3" w:rsidP="00265702">
      <w:pPr>
        <w:ind w:left="0" w:firstLine="0"/>
      </w:pPr>
    </w:p>
    <w:p w14:paraId="582A78A1" w14:textId="77777777" w:rsidR="00D31857" w:rsidRDefault="00D31857" w:rsidP="00D31857">
      <w:r w:rsidRPr="003165B5">
        <w:rPr>
          <w:rFonts w:cs="Trebuchet MS"/>
          <w:color w:val="0029FA"/>
        </w:rPr>
        <w:t>Evidence Level A (defined as “High quality; confident that the true effect lies close to that of the estimate of the effect.”)</w:t>
      </w:r>
    </w:p>
    <w:p w14:paraId="7062AEB9" w14:textId="77777777" w:rsidR="00D31857" w:rsidRPr="003B1CC5" w:rsidRDefault="00D31857" w:rsidP="00D31857"/>
    <w:p w14:paraId="14D5E12D" w14:textId="77777777" w:rsidR="008A45F3" w:rsidRPr="003B1CC5" w:rsidRDefault="008A45F3" w:rsidP="00265702">
      <w:pPr>
        <w:ind w:left="0" w:firstLine="0"/>
      </w:pPr>
    </w:p>
    <w:p w14:paraId="6C2C397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77A553F5" w14:textId="77777777" w:rsidR="00A12762" w:rsidRDefault="00A12762" w:rsidP="00265702">
      <w:pPr>
        <w:ind w:left="0" w:firstLine="0"/>
        <w:rPr>
          <w:b/>
        </w:rPr>
      </w:pPr>
    </w:p>
    <w:p w14:paraId="1C92D405" w14:textId="77777777" w:rsidR="00D31857" w:rsidRPr="003165B5" w:rsidRDefault="00D31857" w:rsidP="00D31857">
      <w:pPr>
        <w:spacing w:after="120"/>
        <w:rPr>
          <w:b/>
          <w:color w:val="0000FF"/>
        </w:rPr>
      </w:pPr>
      <w:r w:rsidRPr="003165B5">
        <w:rPr>
          <w:color w:val="0000FF"/>
        </w:rPr>
        <w:t xml:space="preserve">KDOQI </w:t>
      </w:r>
      <w:r w:rsidRPr="003165B5">
        <w:rPr>
          <w:rFonts w:cs="Helvetica"/>
          <w:color w:val="0000FF"/>
        </w:rPr>
        <w:t>grades for quality of evidence in guidelines:</w:t>
      </w:r>
    </w:p>
    <w:p w14:paraId="47DC7A97" w14:textId="77777777" w:rsidR="00D31857" w:rsidRPr="00C57B57" w:rsidRDefault="00D31857" w:rsidP="00D31857">
      <w:pPr>
        <w:rPr>
          <w:b/>
          <w:highlight w:val="lightGray"/>
        </w:rPr>
      </w:pPr>
      <w:r>
        <w:rPr>
          <w:b/>
          <w:noProof/>
        </w:rPr>
        <w:drawing>
          <wp:inline distT="0" distB="0" distL="0" distR="0" wp14:anchorId="10F54E17" wp14:editId="2DC18101">
            <wp:extent cx="5935345" cy="1109345"/>
            <wp:effectExtent l="0" t="0" r="8255" b="8255"/>
            <wp:docPr id="1" name="Picture 1" descr="Macintosh HD:Users:lisamcgonigal:Desktop:KDOQI_EvidenceGrading copy.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samcgonigal:Desktop:KDOQI_EvidenceGrading copy.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5345" cy="1109345"/>
                    </a:xfrm>
                    <a:prstGeom prst="rect">
                      <a:avLst/>
                    </a:prstGeom>
                    <a:noFill/>
                    <a:ln>
                      <a:noFill/>
                    </a:ln>
                  </pic:spPr>
                </pic:pic>
              </a:graphicData>
            </a:graphic>
          </wp:inline>
        </w:drawing>
      </w:r>
    </w:p>
    <w:p w14:paraId="7057C43A" w14:textId="77777777" w:rsidR="00D31857" w:rsidRPr="003B1CC5" w:rsidRDefault="00D31857" w:rsidP="00265702">
      <w:pPr>
        <w:ind w:left="0" w:firstLine="0"/>
        <w:rPr>
          <w:b/>
        </w:rPr>
      </w:pPr>
    </w:p>
    <w:p w14:paraId="720FC8F2" w14:textId="77777777" w:rsidR="00850C35" w:rsidRPr="003B1CC5" w:rsidRDefault="00850C35" w:rsidP="00265702">
      <w:pPr>
        <w:ind w:left="0" w:firstLine="0"/>
        <w:rPr>
          <w:b/>
        </w:rPr>
      </w:pPr>
    </w:p>
    <w:p w14:paraId="629CF10F"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39D8C41C" w14:textId="77777777" w:rsidR="00736AEC" w:rsidRDefault="00736AEC" w:rsidP="002E2177">
      <w:pPr>
        <w:ind w:left="432" w:hanging="432"/>
        <w:rPr>
          <w:color w:val="0000FF"/>
        </w:rPr>
      </w:pPr>
    </w:p>
    <w:p w14:paraId="4BE84315" w14:textId="77777777" w:rsidR="00D31857" w:rsidRPr="003165B5" w:rsidRDefault="00D31857" w:rsidP="00D31857">
      <w:pPr>
        <w:ind w:left="432" w:hanging="432"/>
        <w:rPr>
          <w:color w:val="0000FF"/>
        </w:rPr>
      </w:pPr>
      <w:r w:rsidRPr="003165B5">
        <w:rPr>
          <w:color w:val="0000FF"/>
        </w:rPr>
        <w:t>Not applicable.</w:t>
      </w:r>
    </w:p>
    <w:p w14:paraId="28625F76" w14:textId="77777777" w:rsidR="00D31857" w:rsidRDefault="00D31857" w:rsidP="002E2177">
      <w:pPr>
        <w:ind w:left="432" w:hanging="432"/>
        <w:rPr>
          <w:color w:val="0000FF"/>
        </w:rPr>
      </w:pPr>
    </w:p>
    <w:p w14:paraId="60F4FBBF" w14:textId="77777777" w:rsidR="00D31857" w:rsidRPr="003B1CC5" w:rsidRDefault="00D31857" w:rsidP="002E2177">
      <w:pPr>
        <w:ind w:left="432" w:hanging="432"/>
        <w:rPr>
          <w:color w:val="0000FF"/>
        </w:rPr>
      </w:pPr>
    </w:p>
    <w:p w14:paraId="316AABF9" w14:textId="77777777" w:rsidR="00736AEC"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proofErr w:type="gramStart"/>
      <w:r w:rsidR="00162036" w:rsidRPr="003B1CC5">
        <w:rPr>
          <w:b/>
        </w:rPr>
        <w:t>If</w:t>
      </w:r>
      <w:proofErr w:type="gramEnd"/>
      <w:r w:rsidR="00162036" w:rsidRPr="003B1CC5">
        <w:rPr>
          <w:b/>
        </w:rPr>
        <w:t xml:space="preserve">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64544446" w14:textId="77777777" w:rsidR="00D31857" w:rsidRDefault="00D31857" w:rsidP="002E2177">
      <w:pPr>
        <w:ind w:left="432" w:hanging="432"/>
        <w:rPr>
          <w:b/>
        </w:rPr>
      </w:pPr>
    </w:p>
    <w:p w14:paraId="0FCC22F3" w14:textId="77777777" w:rsidR="00D31857" w:rsidRPr="003165B5" w:rsidRDefault="00D31857" w:rsidP="00D31857">
      <w:pPr>
        <w:ind w:left="432" w:hanging="432"/>
        <w:rPr>
          <w:color w:val="0000FF"/>
        </w:rPr>
      </w:pPr>
      <w:r w:rsidRPr="003165B5">
        <w:rPr>
          <w:color w:val="0000FF"/>
        </w:rPr>
        <w:t>Not applicable; the KDOQI guideline was based on workgroup consensus/expert opinion.</w:t>
      </w:r>
    </w:p>
    <w:p w14:paraId="25657EE0" w14:textId="77777777" w:rsidR="00D31857" w:rsidRPr="003B1CC5" w:rsidRDefault="00D31857" w:rsidP="002E2177">
      <w:pPr>
        <w:ind w:left="432" w:hanging="432"/>
        <w:rPr>
          <w:b/>
        </w:rPr>
      </w:pPr>
    </w:p>
    <w:p w14:paraId="41C10C80" w14:textId="77777777" w:rsidR="00FC32D3" w:rsidRPr="003B1CC5" w:rsidRDefault="006B344D" w:rsidP="00FC32D3">
      <w:pPr>
        <w:ind w:left="720" w:hanging="432"/>
        <w:rPr>
          <w:b/>
        </w:rPr>
      </w:pPr>
      <w:sdt>
        <w:sdtPr>
          <w:rPr>
            <w:bCs/>
            <w:color w:val="0000FF"/>
          </w:rPr>
          <w:id w:val="-1346319738"/>
          <w14:checkbox>
            <w14:checked w14:val="0"/>
            <w14:checkedState w14:val="2612" w14:font="ＭＳ ゴシック"/>
            <w14:uncheckedState w14:val="2610" w14:font="ＭＳ ゴシック"/>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6095C06" w14:textId="77777777" w:rsidR="00736AEC" w:rsidRPr="003B1CC5" w:rsidRDefault="006B344D" w:rsidP="0098657F">
      <w:pPr>
        <w:ind w:left="1008" w:hanging="720"/>
      </w:pPr>
      <w:sdt>
        <w:sdtPr>
          <w:rPr>
            <w:bCs/>
            <w:color w:val="0000FF"/>
          </w:rPr>
          <w:id w:val="777454248"/>
          <w14:checkbox>
            <w14:checked w14:val="0"/>
            <w14:checkedState w14:val="2612" w14:font="ＭＳ ゴシック"/>
            <w14:uncheckedState w14:val="2610" w14:font="ＭＳ ゴシック"/>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501C1DA2" w14:textId="77777777" w:rsidR="00736AEC" w:rsidRPr="003B1CC5" w:rsidRDefault="00736AEC" w:rsidP="00736AEC">
      <w:pPr>
        <w:rPr>
          <w:b/>
        </w:rPr>
      </w:pPr>
    </w:p>
    <w:p w14:paraId="61A9A651" w14:textId="77777777" w:rsidR="00EE5AF6" w:rsidRPr="003B1CC5" w:rsidRDefault="00925F11" w:rsidP="00307FA5">
      <w:pPr>
        <w:ind w:left="0" w:firstLine="0"/>
        <w:rPr>
          <w:color w:val="0000FF"/>
        </w:rPr>
      </w:pPr>
      <w:r w:rsidRPr="003B1CC5">
        <w:rPr>
          <w:b/>
          <w:iCs/>
          <w:caps/>
        </w:rPr>
        <w:t>_________________________</w:t>
      </w:r>
    </w:p>
    <w:p w14:paraId="445E62CB" w14:textId="77777777" w:rsidR="00EE5AF6" w:rsidRPr="00D31857" w:rsidRDefault="00EE5AF6" w:rsidP="00307FA5">
      <w:pPr>
        <w:ind w:left="0" w:firstLine="0"/>
        <w:rPr>
          <w:color w:val="A6A6A6" w:themeColor="background1" w:themeShade="A6"/>
        </w:rPr>
      </w:pPr>
      <w:bookmarkStart w:id="8" w:name="Section1a5"/>
      <w:bookmarkEnd w:id="8"/>
      <w:r w:rsidRPr="00D31857">
        <w:rPr>
          <w:b/>
          <w:color w:val="A6A6A6" w:themeColor="background1" w:themeShade="A6"/>
        </w:rPr>
        <w:t>1</w:t>
      </w:r>
      <w:r w:rsidR="00773485" w:rsidRPr="00D31857">
        <w:rPr>
          <w:b/>
          <w:color w:val="A6A6A6" w:themeColor="background1" w:themeShade="A6"/>
        </w:rPr>
        <w:t>a</w:t>
      </w:r>
      <w:r w:rsidRPr="00D31857">
        <w:rPr>
          <w:b/>
          <w:color w:val="A6A6A6" w:themeColor="background1" w:themeShade="A6"/>
        </w:rPr>
        <w:t>.5</w:t>
      </w:r>
      <w:r w:rsidR="00201FF9" w:rsidRPr="00D31857">
        <w:rPr>
          <w:b/>
          <w:color w:val="A6A6A6" w:themeColor="background1" w:themeShade="A6"/>
        </w:rPr>
        <w:t>.</w:t>
      </w:r>
      <w:r w:rsidRPr="00D31857">
        <w:rPr>
          <w:color w:val="A6A6A6" w:themeColor="background1" w:themeShade="A6"/>
        </w:rPr>
        <w:t xml:space="preserve"> </w:t>
      </w:r>
      <w:r w:rsidRPr="00D31857">
        <w:rPr>
          <w:b/>
          <w:color w:val="A6A6A6" w:themeColor="background1" w:themeShade="A6"/>
        </w:rPr>
        <w:t>U</w:t>
      </w:r>
      <w:r w:rsidR="0094689F" w:rsidRPr="00D31857">
        <w:rPr>
          <w:b/>
          <w:color w:val="A6A6A6" w:themeColor="background1" w:themeShade="A6"/>
        </w:rPr>
        <w:t>NITED STATES</w:t>
      </w:r>
      <w:r w:rsidRPr="00D31857">
        <w:rPr>
          <w:b/>
          <w:color w:val="A6A6A6" w:themeColor="background1" w:themeShade="A6"/>
        </w:rPr>
        <w:t xml:space="preserve"> PREVENTIVE SERVICES TASK FORCE RECOMMENDATION</w:t>
      </w:r>
    </w:p>
    <w:p w14:paraId="7400D8C4" w14:textId="77777777" w:rsidR="00307FA5" w:rsidRPr="00D31857" w:rsidRDefault="00307FA5" w:rsidP="00307FA5">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Pr="00D31857">
        <w:rPr>
          <w:b/>
          <w:color w:val="A6A6A6" w:themeColor="background1" w:themeShade="A6"/>
        </w:rPr>
        <w:t>.5.1.</w:t>
      </w:r>
      <w:r w:rsidRPr="00D31857">
        <w:rPr>
          <w:color w:val="A6A6A6" w:themeColor="background1" w:themeShade="A6"/>
        </w:rPr>
        <w:t xml:space="preserve"> </w:t>
      </w:r>
      <w:r w:rsidR="00E746A2" w:rsidRPr="00D31857">
        <w:rPr>
          <w:b/>
          <w:color w:val="A6A6A6" w:themeColor="background1" w:themeShade="A6"/>
        </w:rPr>
        <w:t>Recommendation</w:t>
      </w:r>
      <w:r w:rsidRPr="00D31857">
        <w:rPr>
          <w:b/>
          <w:color w:val="A6A6A6" w:themeColor="background1" w:themeShade="A6"/>
        </w:rPr>
        <w:t xml:space="preserve"> citation</w:t>
      </w:r>
      <w:r w:rsidRPr="00D31857">
        <w:rPr>
          <w:color w:val="A6A6A6" w:themeColor="background1" w:themeShade="A6"/>
        </w:rPr>
        <w:t xml:space="preserve"> (</w:t>
      </w:r>
      <w:r w:rsidRPr="00D31857">
        <w:rPr>
          <w:i/>
          <w:color w:val="A6A6A6" w:themeColor="background1" w:themeShade="A6"/>
        </w:rPr>
        <w:t>including date</w:t>
      </w:r>
      <w:r w:rsidRPr="00D31857">
        <w:rPr>
          <w:color w:val="A6A6A6" w:themeColor="background1" w:themeShade="A6"/>
        </w:rPr>
        <w:t>)</w:t>
      </w:r>
      <w:r w:rsidR="00EA79C9" w:rsidRPr="00D31857">
        <w:rPr>
          <w:color w:val="A6A6A6" w:themeColor="background1" w:themeShade="A6"/>
        </w:rPr>
        <w:t xml:space="preserve"> and </w:t>
      </w:r>
      <w:r w:rsidR="00EA79C9" w:rsidRPr="00D31857">
        <w:rPr>
          <w:b/>
          <w:color w:val="A6A6A6" w:themeColor="background1" w:themeShade="A6"/>
        </w:rPr>
        <w:t>URL for recommendation</w:t>
      </w:r>
      <w:r w:rsidR="00EA79C9" w:rsidRPr="00D31857">
        <w:rPr>
          <w:color w:val="A6A6A6" w:themeColor="background1" w:themeShade="A6"/>
        </w:rPr>
        <w:t xml:space="preserve"> (</w:t>
      </w:r>
      <w:r w:rsidR="00EA79C9" w:rsidRPr="00D31857">
        <w:rPr>
          <w:i/>
          <w:color w:val="A6A6A6" w:themeColor="background1" w:themeShade="A6"/>
        </w:rPr>
        <w:t>if available online</w:t>
      </w:r>
      <w:r w:rsidR="00EA79C9" w:rsidRPr="00D31857">
        <w:rPr>
          <w:color w:val="A6A6A6" w:themeColor="background1" w:themeShade="A6"/>
        </w:rPr>
        <w:t xml:space="preserve">): </w:t>
      </w:r>
      <w:r w:rsidRPr="00D31857">
        <w:rPr>
          <w:color w:val="A6A6A6" w:themeColor="background1" w:themeShade="A6"/>
        </w:rPr>
        <w:t xml:space="preserve"> </w:t>
      </w:r>
    </w:p>
    <w:p w14:paraId="5F88BAEE" w14:textId="77777777" w:rsidR="00307FA5" w:rsidRPr="00D31857" w:rsidRDefault="00307FA5" w:rsidP="00307FA5">
      <w:pPr>
        <w:ind w:left="0" w:firstLine="0"/>
        <w:rPr>
          <w:rFonts w:cs="Arial"/>
          <w:color w:val="A6A6A6" w:themeColor="background1" w:themeShade="A6"/>
          <w:sz w:val="20"/>
          <w:szCs w:val="20"/>
        </w:rPr>
      </w:pPr>
    </w:p>
    <w:p w14:paraId="1B7833AD" w14:textId="77777777" w:rsidR="00307FA5" w:rsidRPr="00D31857" w:rsidRDefault="00307FA5" w:rsidP="00307FA5">
      <w:pPr>
        <w:ind w:left="0" w:firstLine="0"/>
        <w:rPr>
          <w:color w:val="A6A6A6" w:themeColor="background1" w:themeShade="A6"/>
        </w:rPr>
      </w:pPr>
    </w:p>
    <w:p w14:paraId="6D6326F2" w14:textId="77777777" w:rsidR="00307FA5" w:rsidRPr="00D31857" w:rsidRDefault="00307FA5" w:rsidP="00307FA5">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00EA79C9" w:rsidRPr="00D31857">
        <w:rPr>
          <w:b/>
          <w:color w:val="A6A6A6" w:themeColor="background1" w:themeShade="A6"/>
        </w:rPr>
        <w:t>.5.2</w:t>
      </w:r>
      <w:r w:rsidRPr="00D31857">
        <w:rPr>
          <w:b/>
          <w:color w:val="A6A6A6" w:themeColor="background1" w:themeShade="A6"/>
        </w:rPr>
        <w:t>.</w:t>
      </w:r>
      <w:r w:rsidRPr="00D31857">
        <w:rPr>
          <w:color w:val="A6A6A6" w:themeColor="background1" w:themeShade="A6"/>
        </w:rPr>
        <w:t xml:space="preserve"> </w:t>
      </w:r>
      <w:r w:rsidRPr="00D31857">
        <w:rPr>
          <w:b/>
          <w:color w:val="A6A6A6" w:themeColor="background1" w:themeShade="A6"/>
        </w:rPr>
        <w:t xml:space="preserve">Identify </w:t>
      </w:r>
      <w:r w:rsidR="00EE5AF6" w:rsidRPr="00D31857">
        <w:rPr>
          <w:b/>
          <w:color w:val="A6A6A6" w:themeColor="background1" w:themeShade="A6"/>
        </w:rPr>
        <w:t>recommendation</w:t>
      </w:r>
      <w:r w:rsidRPr="00D31857">
        <w:rPr>
          <w:b/>
          <w:color w:val="A6A6A6" w:themeColor="background1" w:themeShade="A6"/>
        </w:rPr>
        <w:t xml:space="preserve"> number and/or page number</w:t>
      </w:r>
      <w:r w:rsidRPr="00D31857">
        <w:rPr>
          <w:color w:val="A6A6A6" w:themeColor="background1" w:themeShade="A6"/>
        </w:rPr>
        <w:t xml:space="preserve"> </w:t>
      </w:r>
      <w:r w:rsidR="00EA79C9" w:rsidRPr="00D31857">
        <w:rPr>
          <w:color w:val="A6A6A6" w:themeColor="background1" w:themeShade="A6"/>
        </w:rPr>
        <w:t xml:space="preserve">and </w:t>
      </w:r>
      <w:r w:rsidR="00C54E40" w:rsidRPr="00D31857">
        <w:rPr>
          <w:b/>
          <w:color w:val="A6A6A6" w:themeColor="background1" w:themeShade="A6"/>
        </w:rPr>
        <w:t>q</w:t>
      </w:r>
      <w:r w:rsidR="00EA79C9" w:rsidRPr="00D31857">
        <w:rPr>
          <w:b/>
          <w:color w:val="A6A6A6" w:themeColor="background1" w:themeShade="A6"/>
        </w:rPr>
        <w:t>uote verbatim, the specific recommendation</w:t>
      </w:r>
      <w:r w:rsidR="00C54E40" w:rsidRPr="00D31857">
        <w:rPr>
          <w:color w:val="A6A6A6" w:themeColor="background1" w:themeShade="A6"/>
        </w:rPr>
        <w:t>.</w:t>
      </w:r>
    </w:p>
    <w:p w14:paraId="0FDA0D79" w14:textId="77777777" w:rsidR="00307FA5" w:rsidRPr="00D31857" w:rsidRDefault="00307FA5" w:rsidP="00307FA5">
      <w:pPr>
        <w:ind w:left="0" w:firstLine="0"/>
        <w:rPr>
          <w:color w:val="A6A6A6" w:themeColor="background1" w:themeShade="A6"/>
        </w:rPr>
      </w:pPr>
    </w:p>
    <w:p w14:paraId="3B43A2AA" w14:textId="77777777" w:rsidR="00307FA5" w:rsidRPr="00D31857" w:rsidRDefault="00307FA5" w:rsidP="00307FA5">
      <w:pPr>
        <w:ind w:left="0" w:firstLine="0"/>
        <w:rPr>
          <w:color w:val="A6A6A6" w:themeColor="background1" w:themeShade="A6"/>
        </w:rPr>
      </w:pPr>
    </w:p>
    <w:p w14:paraId="2CC42714" w14:textId="77777777" w:rsidR="008A45F3" w:rsidRPr="00D31857" w:rsidRDefault="00307FA5" w:rsidP="00307FA5">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00EA79C9" w:rsidRPr="00D31857">
        <w:rPr>
          <w:b/>
          <w:color w:val="A6A6A6" w:themeColor="background1" w:themeShade="A6"/>
        </w:rPr>
        <w:t>.5.3</w:t>
      </w:r>
      <w:r w:rsidRPr="00D31857">
        <w:rPr>
          <w:b/>
          <w:color w:val="A6A6A6" w:themeColor="background1" w:themeShade="A6"/>
        </w:rPr>
        <w:t>.</w:t>
      </w:r>
      <w:r w:rsidRPr="00D31857">
        <w:rPr>
          <w:bCs/>
          <w:color w:val="A6A6A6" w:themeColor="background1" w:themeShade="A6"/>
        </w:rPr>
        <w:t xml:space="preserve"> </w:t>
      </w:r>
      <w:r w:rsidRPr="00D31857">
        <w:rPr>
          <w:b/>
          <w:color w:val="A6A6A6" w:themeColor="background1" w:themeShade="A6"/>
        </w:rPr>
        <w:t xml:space="preserve">Grade assigned to the quoted recommendation </w:t>
      </w:r>
      <w:r w:rsidRPr="00D31857">
        <w:rPr>
          <w:b/>
          <w:color w:val="A6A6A6" w:themeColor="background1" w:themeShade="A6"/>
          <w:u w:val="single"/>
        </w:rPr>
        <w:t>with definition</w:t>
      </w:r>
      <w:r w:rsidRPr="00D31857">
        <w:rPr>
          <w:b/>
          <w:color w:val="A6A6A6" w:themeColor="background1" w:themeShade="A6"/>
        </w:rPr>
        <w:t xml:space="preserve"> of the grade</w:t>
      </w:r>
      <w:r w:rsidR="00776F6D" w:rsidRPr="00D31857">
        <w:rPr>
          <w:color w:val="A6A6A6" w:themeColor="background1" w:themeShade="A6"/>
        </w:rPr>
        <w:t>:</w:t>
      </w:r>
    </w:p>
    <w:p w14:paraId="7C1C0380" w14:textId="77777777" w:rsidR="008A45F3" w:rsidRPr="003B1CC5" w:rsidRDefault="008A45F3" w:rsidP="00307FA5">
      <w:pPr>
        <w:ind w:left="0" w:firstLine="0"/>
      </w:pPr>
    </w:p>
    <w:p w14:paraId="59BF5284" w14:textId="77777777" w:rsidR="00307FA5" w:rsidRPr="00D31857" w:rsidRDefault="008A45F3" w:rsidP="00307FA5">
      <w:pPr>
        <w:ind w:left="0" w:firstLine="0"/>
        <w:rPr>
          <w:color w:val="A6A6A6" w:themeColor="background1" w:themeShade="A6"/>
        </w:rPr>
      </w:pPr>
      <w:r w:rsidRPr="00D31857">
        <w:rPr>
          <w:b/>
          <w:color w:val="A6A6A6" w:themeColor="background1" w:themeShade="A6"/>
        </w:rPr>
        <w:lastRenderedPageBreak/>
        <w:t xml:space="preserve">1a.5.4. </w:t>
      </w:r>
      <w:proofErr w:type="gramStart"/>
      <w:r w:rsidR="00C54E40" w:rsidRPr="00D31857">
        <w:rPr>
          <w:b/>
          <w:color w:val="A6A6A6" w:themeColor="background1" w:themeShade="A6"/>
        </w:rPr>
        <w:t>Provide</w:t>
      </w:r>
      <w:proofErr w:type="gramEnd"/>
      <w:r w:rsidR="00C54E40" w:rsidRPr="00D31857">
        <w:rPr>
          <w:b/>
          <w:color w:val="A6A6A6" w:themeColor="background1" w:themeShade="A6"/>
        </w:rPr>
        <w:t xml:space="preserve"> all other grades and associated definitions for recommendation</w:t>
      </w:r>
      <w:r w:rsidR="00205857" w:rsidRPr="00D31857">
        <w:rPr>
          <w:b/>
          <w:color w:val="A6A6A6" w:themeColor="background1" w:themeShade="A6"/>
        </w:rPr>
        <w:t>s</w:t>
      </w:r>
      <w:r w:rsidR="00C54E40" w:rsidRPr="00D31857">
        <w:rPr>
          <w:b/>
          <w:color w:val="A6A6A6" w:themeColor="background1" w:themeShade="A6"/>
        </w:rPr>
        <w:t xml:space="preserve"> in the grading system.</w:t>
      </w:r>
      <w:r w:rsidRPr="00D31857">
        <w:rPr>
          <w:b/>
          <w:color w:val="A6A6A6" w:themeColor="background1" w:themeShade="A6"/>
        </w:rPr>
        <w:t xml:space="preserve"> </w:t>
      </w:r>
      <w:r w:rsidRPr="00D31857">
        <w:rPr>
          <w:color w:val="A6A6A6" w:themeColor="background1" w:themeShade="A6"/>
        </w:rPr>
        <w:t>(</w:t>
      </w:r>
      <w:r w:rsidRPr="00D31857">
        <w:rPr>
          <w:i/>
          <w:color w:val="A6A6A6" w:themeColor="background1" w:themeShade="A6"/>
        </w:rPr>
        <w:t>Note: the</w:t>
      </w:r>
      <w:r w:rsidRPr="00D31857">
        <w:rPr>
          <w:color w:val="A6A6A6" w:themeColor="background1" w:themeShade="A6"/>
        </w:rPr>
        <w:t xml:space="preserve"> </w:t>
      </w:r>
      <w:r w:rsidRPr="00D31857">
        <w:rPr>
          <w:i/>
          <w:color w:val="A6A6A6" w:themeColor="background1" w:themeShade="A6"/>
        </w:rPr>
        <w:t>grading system for the evidence should be reported in section 1a.7.</w:t>
      </w:r>
      <w:r w:rsidR="00095EC9" w:rsidRPr="00D31857">
        <w:rPr>
          <w:color w:val="A6A6A6" w:themeColor="background1" w:themeShade="A6"/>
        </w:rPr>
        <w:t>)</w:t>
      </w:r>
    </w:p>
    <w:p w14:paraId="1BCD661A" w14:textId="77777777" w:rsidR="00307FA5" w:rsidRPr="00D31857" w:rsidRDefault="00307FA5" w:rsidP="00307FA5">
      <w:pPr>
        <w:ind w:left="0" w:firstLine="0"/>
        <w:rPr>
          <w:b/>
          <w:color w:val="A6A6A6" w:themeColor="background1" w:themeShade="A6"/>
        </w:rPr>
      </w:pPr>
    </w:p>
    <w:p w14:paraId="31D2A63F" w14:textId="77777777" w:rsidR="00A12762" w:rsidRPr="00D31857" w:rsidRDefault="008A45F3" w:rsidP="00307FA5">
      <w:pPr>
        <w:ind w:left="432" w:hanging="432"/>
        <w:rPr>
          <w:b/>
          <w:color w:val="A6A6A6" w:themeColor="background1" w:themeShade="A6"/>
        </w:rPr>
      </w:pPr>
      <w:r w:rsidRPr="00D31857">
        <w:rPr>
          <w:b/>
          <w:color w:val="A6A6A6" w:themeColor="background1" w:themeShade="A6"/>
        </w:rPr>
        <w:t>1a.5.5</w:t>
      </w:r>
      <w:r w:rsidR="00A12762" w:rsidRPr="00D31857">
        <w:rPr>
          <w:b/>
          <w:color w:val="A6A6A6" w:themeColor="background1" w:themeShade="A6"/>
        </w:rPr>
        <w:t xml:space="preserve">. </w:t>
      </w:r>
      <w:r w:rsidRPr="00D31857">
        <w:rPr>
          <w:b/>
          <w:color w:val="A6A6A6" w:themeColor="background1" w:themeShade="A6"/>
        </w:rPr>
        <w:t xml:space="preserve">Citation and </w:t>
      </w:r>
      <w:r w:rsidR="00A12762" w:rsidRPr="00D31857">
        <w:rPr>
          <w:b/>
          <w:color w:val="A6A6A6" w:themeColor="background1" w:themeShade="A6"/>
        </w:rPr>
        <w:t>URL for methodology for grading</w:t>
      </w:r>
      <w:r w:rsidRPr="00D31857">
        <w:rPr>
          <w:b/>
          <w:color w:val="A6A6A6" w:themeColor="background1" w:themeShade="A6"/>
        </w:rPr>
        <w:t xml:space="preserve"> recommendations</w:t>
      </w:r>
      <w:r w:rsidR="00AD79C8" w:rsidRPr="00D31857">
        <w:rPr>
          <w:b/>
          <w:color w:val="A6A6A6" w:themeColor="background1" w:themeShade="A6"/>
        </w:rPr>
        <w:t xml:space="preserve"> </w:t>
      </w:r>
      <w:r w:rsidR="00AD79C8" w:rsidRPr="00D31857">
        <w:rPr>
          <w:color w:val="A6A6A6" w:themeColor="background1" w:themeShade="A6"/>
        </w:rPr>
        <w:t>(</w:t>
      </w:r>
      <w:r w:rsidR="00AD79C8" w:rsidRPr="00D31857">
        <w:rPr>
          <w:i/>
          <w:color w:val="A6A6A6" w:themeColor="background1" w:themeShade="A6"/>
        </w:rPr>
        <w:t xml:space="preserve">if </w:t>
      </w:r>
      <w:r w:rsidRPr="00D31857">
        <w:rPr>
          <w:i/>
          <w:color w:val="A6A6A6" w:themeColor="background1" w:themeShade="A6"/>
        </w:rPr>
        <w:t>different from 1a.5.1</w:t>
      </w:r>
      <w:r w:rsidR="00AD79C8" w:rsidRPr="00D31857">
        <w:rPr>
          <w:color w:val="A6A6A6" w:themeColor="background1" w:themeShade="A6"/>
        </w:rPr>
        <w:t>)</w:t>
      </w:r>
      <w:r w:rsidR="00A12762" w:rsidRPr="00D31857">
        <w:rPr>
          <w:b/>
          <w:color w:val="A6A6A6" w:themeColor="background1" w:themeShade="A6"/>
        </w:rPr>
        <w:t>:</w:t>
      </w:r>
    </w:p>
    <w:p w14:paraId="79409E91" w14:textId="77777777" w:rsidR="00736AEC" w:rsidRPr="00D31857" w:rsidRDefault="00736AEC" w:rsidP="002E2177">
      <w:pPr>
        <w:ind w:left="432" w:hanging="432"/>
        <w:rPr>
          <w:b/>
          <w:color w:val="A6A6A6" w:themeColor="background1" w:themeShade="A6"/>
        </w:rPr>
      </w:pPr>
    </w:p>
    <w:p w14:paraId="3F101F28" w14:textId="77777777" w:rsidR="00EE5AF6" w:rsidRPr="00D31857" w:rsidRDefault="00923295" w:rsidP="002E2177">
      <w:pPr>
        <w:ind w:left="432" w:hanging="432"/>
        <w:rPr>
          <w:i/>
          <w:color w:val="A6A6A6" w:themeColor="background1" w:themeShade="A6"/>
        </w:rPr>
      </w:pPr>
      <w:r w:rsidRPr="00D31857">
        <w:rPr>
          <w:b/>
          <w:i/>
          <w:color w:val="A6A6A6" w:themeColor="background1" w:themeShade="A6"/>
          <w:highlight w:val="green"/>
        </w:rPr>
        <w:t xml:space="preserve">Complete section </w:t>
      </w:r>
      <w:hyperlink w:anchor="Section1a7" w:history="1">
        <w:r w:rsidR="009477D6" w:rsidRPr="00D31857">
          <w:rPr>
            <w:rStyle w:val="Hyperlink"/>
            <w:b/>
            <w:i/>
            <w:color w:val="A6A6A6" w:themeColor="background1" w:themeShade="A6"/>
            <w:highlight w:val="green"/>
          </w:rPr>
          <w:t>1a.7</w:t>
        </w:r>
      </w:hyperlink>
    </w:p>
    <w:p w14:paraId="68880C62" w14:textId="77777777" w:rsidR="00EE5AF6" w:rsidRPr="00D31857" w:rsidRDefault="00925F11" w:rsidP="002E2177">
      <w:pPr>
        <w:ind w:left="432" w:hanging="432"/>
        <w:rPr>
          <w:b/>
          <w:color w:val="A6A6A6" w:themeColor="background1" w:themeShade="A6"/>
        </w:rPr>
      </w:pPr>
      <w:r w:rsidRPr="00D31857">
        <w:rPr>
          <w:b/>
          <w:iCs/>
          <w:caps/>
          <w:color w:val="A6A6A6" w:themeColor="background1" w:themeShade="A6"/>
        </w:rPr>
        <w:t>_________________________</w:t>
      </w:r>
    </w:p>
    <w:p w14:paraId="464FF70C" w14:textId="77777777" w:rsidR="00EE5AF6" w:rsidRPr="00D31857" w:rsidRDefault="00EE5AF6" w:rsidP="002E2177">
      <w:pPr>
        <w:ind w:left="432" w:hanging="432"/>
        <w:rPr>
          <w:color w:val="A6A6A6" w:themeColor="background1" w:themeShade="A6"/>
        </w:rPr>
      </w:pPr>
      <w:bookmarkStart w:id="9" w:name="Section1a6"/>
      <w:bookmarkEnd w:id="9"/>
      <w:r w:rsidRPr="00D31857">
        <w:rPr>
          <w:b/>
          <w:color w:val="A6A6A6" w:themeColor="background1" w:themeShade="A6"/>
        </w:rPr>
        <w:t>1</w:t>
      </w:r>
      <w:r w:rsidR="009E37BD" w:rsidRPr="00D31857">
        <w:rPr>
          <w:b/>
          <w:color w:val="A6A6A6" w:themeColor="background1" w:themeShade="A6"/>
        </w:rPr>
        <w:t>a</w:t>
      </w:r>
      <w:r w:rsidRPr="00D31857">
        <w:rPr>
          <w:b/>
          <w:color w:val="A6A6A6" w:themeColor="background1" w:themeShade="A6"/>
        </w:rPr>
        <w:t>.6</w:t>
      </w:r>
      <w:r w:rsidR="00CB06C9" w:rsidRPr="00D31857">
        <w:rPr>
          <w:b/>
          <w:color w:val="A6A6A6" w:themeColor="background1" w:themeShade="A6"/>
        </w:rPr>
        <w:t>.</w:t>
      </w:r>
      <w:r w:rsidRPr="00D31857">
        <w:rPr>
          <w:b/>
          <w:color w:val="A6A6A6" w:themeColor="background1" w:themeShade="A6"/>
        </w:rPr>
        <w:t xml:space="preserve"> </w:t>
      </w:r>
      <w:r w:rsidR="0039609A" w:rsidRPr="00D31857">
        <w:rPr>
          <w:b/>
          <w:color w:val="A6A6A6" w:themeColor="background1" w:themeShade="A6"/>
        </w:rPr>
        <w:t xml:space="preserve">OTHER </w:t>
      </w:r>
      <w:r w:rsidRPr="00D31857">
        <w:rPr>
          <w:b/>
          <w:color w:val="A6A6A6" w:themeColor="background1" w:themeShade="A6"/>
        </w:rPr>
        <w:t>SYSTEMATIC REVIEW OF THE BODY OF EVIDENCE</w:t>
      </w:r>
    </w:p>
    <w:p w14:paraId="04C57356" w14:textId="77777777" w:rsidR="00EA79C9" w:rsidRPr="00D31857" w:rsidRDefault="00EE5AF6" w:rsidP="00EA79C9">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Pr="00D31857">
        <w:rPr>
          <w:b/>
          <w:color w:val="A6A6A6" w:themeColor="background1" w:themeShade="A6"/>
        </w:rPr>
        <w:t>.6.1.</w:t>
      </w:r>
      <w:r w:rsidRPr="00D31857">
        <w:rPr>
          <w:color w:val="A6A6A6" w:themeColor="background1" w:themeShade="A6"/>
        </w:rPr>
        <w:t xml:space="preserve"> </w:t>
      </w:r>
      <w:r w:rsidRPr="00D31857">
        <w:rPr>
          <w:b/>
          <w:color w:val="A6A6A6" w:themeColor="background1" w:themeShade="A6"/>
        </w:rPr>
        <w:t>Citation</w:t>
      </w:r>
      <w:r w:rsidRPr="00D31857">
        <w:rPr>
          <w:color w:val="A6A6A6" w:themeColor="background1" w:themeShade="A6"/>
        </w:rPr>
        <w:t xml:space="preserve"> (</w:t>
      </w:r>
      <w:r w:rsidRPr="00D31857">
        <w:rPr>
          <w:i/>
          <w:color w:val="A6A6A6" w:themeColor="background1" w:themeShade="A6"/>
        </w:rPr>
        <w:t>including date</w:t>
      </w:r>
      <w:r w:rsidRPr="00D31857">
        <w:rPr>
          <w:color w:val="A6A6A6" w:themeColor="background1" w:themeShade="A6"/>
        </w:rPr>
        <w:t>)</w:t>
      </w:r>
      <w:r w:rsidR="00EA79C9" w:rsidRPr="00D31857">
        <w:rPr>
          <w:color w:val="A6A6A6" w:themeColor="background1" w:themeShade="A6"/>
        </w:rPr>
        <w:t xml:space="preserve"> and </w:t>
      </w:r>
      <w:r w:rsidR="00EA79C9" w:rsidRPr="00D31857">
        <w:rPr>
          <w:b/>
          <w:color w:val="A6A6A6" w:themeColor="background1" w:themeShade="A6"/>
        </w:rPr>
        <w:t>URL</w:t>
      </w:r>
      <w:r w:rsidR="00EA79C9" w:rsidRPr="00D31857">
        <w:rPr>
          <w:color w:val="A6A6A6" w:themeColor="background1" w:themeShade="A6"/>
        </w:rPr>
        <w:t xml:space="preserve"> (</w:t>
      </w:r>
      <w:r w:rsidR="00EA79C9" w:rsidRPr="00D31857">
        <w:rPr>
          <w:i/>
          <w:color w:val="A6A6A6" w:themeColor="background1" w:themeShade="A6"/>
        </w:rPr>
        <w:t>if available online</w:t>
      </w:r>
      <w:r w:rsidR="00EA79C9" w:rsidRPr="00D31857">
        <w:rPr>
          <w:color w:val="A6A6A6" w:themeColor="background1" w:themeShade="A6"/>
        </w:rPr>
        <w:t xml:space="preserve">): </w:t>
      </w:r>
    </w:p>
    <w:p w14:paraId="25E653E7" w14:textId="77777777" w:rsidR="00EE5AF6" w:rsidRPr="00D31857" w:rsidRDefault="00EE5AF6" w:rsidP="00EE5AF6">
      <w:pPr>
        <w:ind w:left="0" w:firstLine="0"/>
        <w:rPr>
          <w:color w:val="A6A6A6" w:themeColor="background1" w:themeShade="A6"/>
        </w:rPr>
      </w:pPr>
      <w:r w:rsidRPr="00D31857">
        <w:rPr>
          <w:color w:val="A6A6A6" w:themeColor="background1" w:themeShade="A6"/>
        </w:rPr>
        <w:t xml:space="preserve"> </w:t>
      </w:r>
    </w:p>
    <w:p w14:paraId="102D9E76" w14:textId="77777777" w:rsidR="00EE5AF6" w:rsidRPr="00D31857" w:rsidRDefault="00EE5AF6" w:rsidP="00EE5AF6">
      <w:pPr>
        <w:ind w:left="0" w:firstLine="0"/>
        <w:rPr>
          <w:rFonts w:cs="Arial"/>
          <w:color w:val="A6A6A6" w:themeColor="background1" w:themeShade="A6"/>
          <w:sz w:val="20"/>
          <w:szCs w:val="20"/>
        </w:rPr>
      </w:pPr>
    </w:p>
    <w:p w14:paraId="4124CAAA" w14:textId="77777777" w:rsidR="00EE5AF6" w:rsidRPr="00D31857" w:rsidRDefault="00EE5AF6" w:rsidP="00EE5AF6">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00EA79C9" w:rsidRPr="00D31857">
        <w:rPr>
          <w:b/>
          <w:color w:val="A6A6A6" w:themeColor="background1" w:themeShade="A6"/>
        </w:rPr>
        <w:t>.6.2</w:t>
      </w:r>
      <w:r w:rsidRPr="00D31857">
        <w:rPr>
          <w:b/>
          <w:color w:val="A6A6A6" w:themeColor="background1" w:themeShade="A6"/>
        </w:rPr>
        <w:t>.</w:t>
      </w:r>
      <w:r w:rsidRPr="00D31857">
        <w:rPr>
          <w:color w:val="A6A6A6" w:themeColor="background1" w:themeShade="A6"/>
        </w:rPr>
        <w:t xml:space="preserve"> </w:t>
      </w:r>
      <w:r w:rsidR="00030F43" w:rsidRPr="00D31857">
        <w:rPr>
          <w:b/>
          <w:color w:val="A6A6A6" w:themeColor="background1" w:themeShade="A6"/>
        </w:rPr>
        <w:t>Citation and</w:t>
      </w:r>
      <w:r w:rsidR="00030F43" w:rsidRPr="00D31857">
        <w:rPr>
          <w:color w:val="A6A6A6" w:themeColor="background1" w:themeShade="A6"/>
        </w:rPr>
        <w:t xml:space="preserve"> </w:t>
      </w:r>
      <w:r w:rsidR="00C84623" w:rsidRPr="00D31857">
        <w:rPr>
          <w:b/>
          <w:color w:val="A6A6A6" w:themeColor="background1" w:themeShade="A6"/>
        </w:rPr>
        <w:t xml:space="preserve">URL for methodology for evidence review and grading </w:t>
      </w:r>
      <w:r w:rsidR="00C84623" w:rsidRPr="00D31857">
        <w:rPr>
          <w:color w:val="A6A6A6" w:themeColor="background1" w:themeShade="A6"/>
        </w:rPr>
        <w:t>(</w:t>
      </w:r>
      <w:r w:rsidR="00C84623" w:rsidRPr="00D31857">
        <w:rPr>
          <w:i/>
          <w:color w:val="A6A6A6" w:themeColor="background1" w:themeShade="A6"/>
        </w:rPr>
        <w:t xml:space="preserve">if </w:t>
      </w:r>
      <w:r w:rsidR="00030F43" w:rsidRPr="00D31857">
        <w:rPr>
          <w:i/>
          <w:color w:val="A6A6A6" w:themeColor="background1" w:themeShade="A6"/>
        </w:rPr>
        <w:t>different from 1a.6.1</w:t>
      </w:r>
      <w:r w:rsidR="00C84623" w:rsidRPr="00D31857">
        <w:rPr>
          <w:color w:val="A6A6A6" w:themeColor="background1" w:themeShade="A6"/>
        </w:rPr>
        <w:t>)</w:t>
      </w:r>
      <w:r w:rsidR="00C84623" w:rsidRPr="00D31857">
        <w:rPr>
          <w:b/>
          <w:color w:val="A6A6A6" w:themeColor="background1" w:themeShade="A6"/>
        </w:rPr>
        <w:t>:</w:t>
      </w:r>
    </w:p>
    <w:p w14:paraId="3B7FC5A2" w14:textId="77777777" w:rsidR="005D0FDB" w:rsidRPr="00D31857" w:rsidRDefault="005D0FDB" w:rsidP="00EE5AF6">
      <w:pPr>
        <w:ind w:left="0" w:firstLine="0"/>
        <w:rPr>
          <w:color w:val="A6A6A6" w:themeColor="background1" w:themeShade="A6"/>
        </w:rPr>
      </w:pPr>
    </w:p>
    <w:p w14:paraId="2FCDA494" w14:textId="77777777" w:rsidR="00C84623" w:rsidRPr="00D31857" w:rsidRDefault="00C84623" w:rsidP="00EE5AF6">
      <w:pPr>
        <w:ind w:left="0" w:firstLine="0"/>
        <w:rPr>
          <w:color w:val="A6A6A6" w:themeColor="background1" w:themeShade="A6"/>
        </w:rPr>
      </w:pPr>
      <w:r w:rsidRPr="00D31857">
        <w:rPr>
          <w:b/>
          <w:i/>
          <w:color w:val="A6A6A6" w:themeColor="background1" w:themeShade="A6"/>
          <w:highlight w:val="green"/>
        </w:rPr>
        <w:t xml:space="preserve">Complete section </w:t>
      </w:r>
      <w:hyperlink w:anchor="Section1a7" w:history="1">
        <w:r w:rsidRPr="00D31857">
          <w:rPr>
            <w:rStyle w:val="Hyperlink"/>
            <w:b/>
            <w:i/>
            <w:color w:val="A6A6A6" w:themeColor="background1" w:themeShade="A6"/>
            <w:highlight w:val="green"/>
          </w:rPr>
          <w:t>1a.7</w:t>
        </w:r>
      </w:hyperlink>
    </w:p>
    <w:p w14:paraId="7F2F9B9A" w14:textId="77777777" w:rsidR="00C84623" w:rsidRPr="00D31857" w:rsidRDefault="00925F11" w:rsidP="00EE5AF6">
      <w:pPr>
        <w:ind w:left="0" w:firstLine="0"/>
        <w:rPr>
          <w:b/>
          <w:color w:val="A6A6A6" w:themeColor="background1" w:themeShade="A6"/>
        </w:rPr>
      </w:pPr>
      <w:r w:rsidRPr="00D31857">
        <w:rPr>
          <w:b/>
          <w:iCs/>
          <w:caps/>
          <w:color w:val="A6A6A6" w:themeColor="background1" w:themeShade="A6"/>
        </w:rPr>
        <w:t>_________________________</w:t>
      </w:r>
    </w:p>
    <w:p w14:paraId="60715AFB" w14:textId="77777777" w:rsidR="00C84623" w:rsidRPr="00D31857" w:rsidRDefault="00C84623" w:rsidP="00EE5AF6">
      <w:pPr>
        <w:ind w:left="0" w:firstLine="0"/>
        <w:rPr>
          <w:color w:val="A6A6A6" w:themeColor="background1" w:themeShade="A6"/>
        </w:rPr>
      </w:pPr>
      <w:r w:rsidRPr="00D31857" w:rsidDel="005D0FDB">
        <w:rPr>
          <w:b/>
          <w:color w:val="A6A6A6" w:themeColor="background1" w:themeShade="A6"/>
        </w:rPr>
        <w:t xml:space="preserve">1a.7. FINDINGS FROM SYSTEMATIC REVIEW OF BODY OF THE EVIDENCE </w:t>
      </w:r>
      <w:r w:rsidRPr="00D31857" w:rsidDel="005D0FDB">
        <w:rPr>
          <w:b/>
          <w:caps/>
          <w:noProof/>
          <w:color w:val="A6A6A6" w:themeColor="background1" w:themeShade="A6"/>
        </w:rPr>
        <w:t>supporting the measure</w:t>
      </w:r>
    </w:p>
    <w:p w14:paraId="77BC28B8" w14:textId="77777777" w:rsidR="00851466" w:rsidRPr="00D31857" w:rsidRDefault="00851466" w:rsidP="00EE5AF6">
      <w:pPr>
        <w:ind w:left="0" w:firstLine="0"/>
        <w:rPr>
          <w:b/>
          <w:i/>
          <w:color w:val="A6A6A6" w:themeColor="background1" w:themeShade="A6"/>
        </w:rPr>
      </w:pPr>
      <w:r w:rsidRPr="00D31857">
        <w:rPr>
          <w:i/>
          <w:color w:val="A6A6A6" w:themeColor="background1" w:themeShade="A6"/>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8731D5F" w14:textId="77777777" w:rsidR="00CB1E41" w:rsidRPr="00D31857" w:rsidRDefault="00CB1E41" w:rsidP="00EE5AF6">
      <w:pPr>
        <w:ind w:left="0" w:firstLine="0"/>
        <w:rPr>
          <w:b/>
          <w:color w:val="A6A6A6" w:themeColor="background1" w:themeShade="A6"/>
        </w:rPr>
      </w:pPr>
    </w:p>
    <w:p w14:paraId="433A892C" w14:textId="77777777" w:rsidR="00EE5AF6" w:rsidRPr="00D31857" w:rsidRDefault="00EE5AF6" w:rsidP="00EE5AF6">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Pr="00D31857">
        <w:rPr>
          <w:b/>
          <w:color w:val="A6A6A6" w:themeColor="background1" w:themeShade="A6"/>
        </w:rPr>
        <w:t>.</w:t>
      </w:r>
      <w:r w:rsidR="00C84623" w:rsidRPr="00D31857">
        <w:rPr>
          <w:b/>
          <w:color w:val="A6A6A6" w:themeColor="background1" w:themeShade="A6"/>
        </w:rPr>
        <w:t>7.1</w:t>
      </w:r>
      <w:r w:rsidRPr="00D31857">
        <w:rPr>
          <w:b/>
          <w:color w:val="A6A6A6" w:themeColor="background1" w:themeShade="A6"/>
        </w:rPr>
        <w:t>.</w:t>
      </w:r>
      <w:r w:rsidRPr="00D31857">
        <w:rPr>
          <w:bCs/>
          <w:color w:val="A6A6A6" w:themeColor="background1" w:themeShade="A6"/>
        </w:rPr>
        <w:t xml:space="preserve"> </w:t>
      </w:r>
      <w:proofErr w:type="gramStart"/>
      <w:r w:rsidRPr="00D31857">
        <w:rPr>
          <w:b/>
          <w:color w:val="A6A6A6" w:themeColor="background1" w:themeShade="A6"/>
        </w:rPr>
        <w:t>What</w:t>
      </w:r>
      <w:proofErr w:type="gramEnd"/>
      <w:r w:rsidRPr="00D31857">
        <w:rPr>
          <w:b/>
          <w:color w:val="A6A6A6" w:themeColor="background1" w:themeShade="A6"/>
        </w:rPr>
        <w:t xml:space="preserve"> was the specific structure, treatment, intervention, service, or intermediate outcome addressed in the evidence review?</w:t>
      </w:r>
      <w:r w:rsidRPr="00D31857">
        <w:rPr>
          <w:color w:val="A6A6A6" w:themeColor="background1" w:themeShade="A6"/>
        </w:rPr>
        <w:t xml:space="preserve"> </w:t>
      </w:r>
    </w:p>
    <w:p w14:paraId="37AD37A6" w14:textId="77777777" w:rsidR="00EE5AF6" w:rsidRPr="00D31857" w:rsidRDefault="00EE5AF6" w:rsidP="00EE5AF6">
      <w:pPr>
        <w:ind w:left="0" w:firstLine="0"/>
        <w:rPr>
          <w:color w:val="A6A6A6" w:themeColor="background1" w:themeShade="A6"/>
        </w:rPr>
      </w:pPr>
    </w:p>
    <w:p w14:paraId="0B3CACE8" w14:textId="77777777" w:rsidR="00095EC9" w:rsidRPr="00D31857" w:rsidRDefault="00EE5AF6" w:rsidP="00EA79C9">
      <w:pPr>
        <w:ind w:left="0" w:firstLine="0"/>
        <w:rPr>
          <w:color w:val="A6A6A6" w:themeColor="background1" w:themeShade="A6"/>
        </w:rPr>
      </w:pPr>
      <w:r w:rsidRPr="00D31857">
        <w:rPr>
          <w:b/>
          <w:color w:val="A6A6A6" w:themeColor="background1" w:themeShade="A6"/>
        </w:rPr>
        <w:t>1</w:t>
      </w:r>
      <w:r w:rsidR="009E37BD" w:rsidRPr="00D31857">
        <w:rPr>
          <w:b/>
          <w:color w:val="A6A6A6" w:themeColor="background1" w:themeShade="A6"/>
        </w:rPr>
        <w:t>a</w:t>
      </w:r>
      <w:r w:rsidRPr="00D31857">
        <w:rPr>
          <w:b/>
          <w:color w:val="A6A6A6" w:themeColor="background1" w:themeShade="A6"/>
        </w:rPr>
        <w:t>.</w:t>
      </w:r>
      <w:r w:rsidR="00C84623" w:rsidRPr="00D31857">
        <w:rPr>
          <w:b/>
          <w:color w:val="A6A6A6" w:themeColor="background1" w:themeShade="A6"/>
        </w:rPr>
        <w:t>7.2</w:t>
      </w:r>
      <w:r w:rsidRPr="00D31857">
        <w:rPr>
          <w:b/>
          <w:color w:val="A6A6A6" w:themeColor="background1" w:themeShade="A6"/>
        </w:rPr>
        <w:t>.</w:t>
      </w:r>
      <w:r w:rsidRPr="00D31857">
        <w:rPr>
          <w:bCs/>
          <w:color w:val="A6A6A6" w:themeColor="background1" w:themeShade="A6"/>
        </w:rPr>
        <w:t xml:space="preserve"> </w:t>
      </w:r>
      <w:r w:rsidRPr="00D31857">
        <w:rPr>
          <w:b/>
          <w:color w:val="A6A6A6" w:themeColor="background1" w:themeShade="A6"/>
        </w:rPr>
        <w:t xml:space="preserve">Grade assigned </w:t>
      </w:r>
      <w:r w:rsidR="00E746A2" w:rsidRPr="00D31857">
        <w:rPr>
          <w:b/>
          <w:color w:val="A6A6A6" w:themeColor="background1" w:themeShade="A6"/>
        </w:rPr>
        <w:t xml:space="preserve">for the quality of </w:t>
      </w:r>
      <w:r w:rsidRPr="00D31857">
        <w:rPr>
          <w:b/>
          <w:color w:val="A6A6A6" w:themeColor="background1" w:themeShade="A6"/>
        </w:rPr>
        <w:t xml:space="preserve">the quoted evidence </w:t>
      </w:r>
      <w:r w:rsidRPr="00D31857">
        <w:rPr>
          <w:b/>
          <w:color w:val="A6A6A6" w:themeColor="background1" w:themeShade="A6"/>
          <w:u w:val="single"/>
        </w:rPr>
        <w:t>with definition</w:t>
      </w:r>
      <w:r w:rsidRPr="00D31857">
        <w:rPr>
          <w:b/>
          <w:color w:val="A6A6A6" w:themeColor="background1" w:themeShade="A6"/>
        </w:rPr>
        <w:t xml:space="preserve"> of the grade</w:t>
      </w:r>
      <w:r w:rsidRPr="00D31857">
        <w:rPr>
          <w:color w:val="A6A6A6" w:themeColor="background1" w:themeShade="A6"/>
        </w:rPr>
        <w:t xml:space="preserve">: </w:t>
      </w:r>
    </w:p>
    <w:p w14:paraId="31C1EC57" w14:textId="77777777" w:rsidR="00095EC9" w:rsidRPr="00D31857" w:rsidRDefault="00095EC9" w:rsidP="00EA79C9">
      <w:pPr>
        <w:ind w:left="0" w:firstLine="0"/>
        <w:rPr>
          <w:color w:val="A6A6A6" w:themeColor="background1" w:themeShade="A6"/>
        </w:rPr>
      </w:pPr>
    </w:p>
    <w:p w14:paraId="779497F3" w14:textId="77777777" w:rsidR="00EA79C9" w:rsidRPr="00D31857" w:rsidRDefault="00095EC9" w:rsidP="00EA79C9">
      <w:pPr>
        <w:ind w:left="0" w:firstLine="0"/>
        <w:rPr>
          <w:color w:val="A6A6A6" w:themeColor="background1" w:themeShade="A6"/>
        </w:rPr>
      </w:pPr>
      <w:r w:rsidRPr="00D31857">
        <w:rPr>
          <w:b/>
          <w:noProof/>
          <w:color w:val="A6A6A6" w:themeColor="background1" w:themeShade="A6"/>
        </w:rPr>
        <w:t xml:space="preserve">1a.7.3. </w:t>
      </w:r>
      <w:proofErr w:type="gramStart"/>
      <w:r w:rsidR="00EA79C9" w:rsidRPr="00D31857">
        <w:rPr>
          <w:b/>
          <w:color w:val="A6A6A6" w:themeColor="background1" w:themeShade="A6"/>
        </w:rPr>
        <w:t>Provide</w:t>
      </w:r>
      <w:proofErr w:type="gramEnd"/>
      <w:r w:rsidR="00EA79C9" w:rsidRPr="00D31857">
        <w:rPr>
          <w:b/>
          <w:color w:val="A6A6A6" w:themeColor="background1" w:themeShade="A6"/>
        </w:rPr>
        <w:t xml:space="preserve"> all </w:t>
      </w:r>
      <w:r w:rsidR="00205857" w:rsidRPr="00D31857">
        <w:rPr>
          <w:b/>
          <w:color w:val="A6A6A6" w:themeColor="background1" w:themeShade="A6"/>
        </w:rPr>
        <w:t xml:space="preserve">other </w:t>
      </w:r>
      <w:r w:rsidR="00EA79C9" w:rsidRPr="00D31857">
        <w:rPr>
          <w:b/>
          <w:color w:val="A6A6A6" w:themeColor="background1" w:themeShade="A6"/>
        </w:rPr>
        <w:t xml:space="preserve">grades and associated definitions for strength of the evidence in the </w:t>
      </w:r>
      <w:r w:rsidR="00C54E40" w:rsidRPr="00D31857">
        <w:rPr>
          <w:b/>
          <w:color w:val="A6A6A6" w:themeColor="background1" w:themeShade="A6"/>
        </w:rPr>
        <w:t xml:space="preserve">grading system. </w:t>
      </w:r>
    </w:p>
    <w:p w14:paraId="1A963705" w14:textId="77777777" w:rsidR="00A12762" w:rsidRPr="00D31857" w:rsidRDefault="00A12762" w:rsidP="002E2177">
      <w:pPr>
        <w:ind w:left="0" w:firstLine="0"/>
        <w:rPr>
          <w:noProof/>
          <w:color w:val="A6A6A6" w:themeColor="background1" w:themeShade="A6"/>
        </w:rPr>
      </w:pPr>
    </w:p>
    <w:p w14:paraId="0FC98A78" w14:textId="77777777" w:rsidR="00496AF8" w:rsidRPr="00D31857" w:rsidRDefault="00496AF8" w:rsidP="002E2177">
      <w:pPr>
        <w:ind w:left="432" w:hanging="432"/>
        <w:rPr>
          <w:color w:val="A6A6A6" w:themeColor="background1" w:themeShade="A6"/>
        </w:rPr>
      </w:pPr>
      <w:bookmarkStart w:id="10" w:name="Section1a7"/>
      <w:bookmarkEnd w:id="10"/>
      <w:r w:rsidRPr="00D31857">
        <w:rPr>
          <w:b/>
          <w:noProof/>
          <w:color w:val="A6A6A6" w:themeColor="background1" w:themeShade="A6"/>
        </w:rPr>
        <w:t>1</w:t>
      </w:r>
      <w:r w:rsidR="00837121" w:rsidRPr="00D31857">
        <w:rPr>
          <w:b/>
          <w:noProof/>
          <w:color w:val="A6A6A6" w:themeColor="background1" w:themeShade="A6"/>
        </w:rPr>
        <w:t>a</w:t>
      </w:r>
      <w:r w:rsidRPr="00D31857">
        <w:rPr>
          <w:b/>
          <w:noProof/>
          <w:color w:val="A6A6A6" w:themeColor="background1" w:themeShade="A6"/>
        </w:rPr>
        <w:t>.</w:t>
      </w:r>
      <w:r w:rsidR="00EE5AF6" w:rsidRPr="00D31857">
        <w:rPr>
          <w:b/>
          <w:noProof/>
          <w:color w:val="A6A6A6" w:themeColor="background1" w:themeShade="A6"/>
        </w:rPr>
        <w:t>7.</w:t>
      </w:r>
      <w:r w:rsidR="00095EC9" w:rsidRPr="00D31857">
        <w:rPr>
          <w:b/>
          <w:noProof/>
          <w:color w:val="A6A6A6" w:themeColor="background1" w:themeShade="A6"/>
        </w:rPr>
        <w:t>4</w:t>
      </w:r>
      <w:r w:rsidR="00DA7FA2" w:rsidRPr="00D31857">
        <w:rPr>
          <w:b/>
          <w:noProof/>
          <w:color w:val="A6A6A6" w:themeColor="background1" w:themeShade="A6"/>
        </w:rPr>
        <w:t>.</w:t>
      </w:r>
      <w:r w:rsidRPr="00D31857">
        <w:rPr>
          <w:noProof/>
          <w:color w:val="A6A6A6" w:themeColor="background1" w:themeShade="A6"/>
        </w:rPr>
        <w:t xml:space="preserve"> </w:t>
      </w:r>
      <w:r w:rsidRPr="00D31857">
        <w:rPr>
          <w:b/>
          <w:noProof/>
          <w:color w:val="A6A6A6" w:themeColor="background1" w:themeShade="A6"/>
        </w:rPr>
        <w:t>What is the time period covered by the body of evidence? (</w:t>
      </w:r>
      <w:r w:rsidRPr="00D31857">
        <w:rPr>
          <w:b/>
          <w:i/>
          <w:noProof/>
          <w:color w:val="A6A6A6" w:themeColor="background1" w:themeShade="A6"/>
        </w:rPr>
        <w:t>provide the date range, e.g., 1990-2010</w:t>
      </w:r>
      <w:r w:rsidRPr="00D31857">
        <w:rPr>
          <w:b/>
          <w:noProof/>
          <w:color w:val="A6A6A6" w:themeColor="background1" w:themeShade="A6"/>
        </w:rPr>
        <w:t xml:space="preserve">).  </w:t>
      </w:r>
      <w:r w:rsidRPr="00D31857">
        <w:rPr>
          <w:b/>
          <w:color w:val="A6A6A6" w:themeColor="background1" w:themeShade="A6"/>
        </w:rPr>
        <w:t>Date range</w:t>
      </w:r>
      <w:proofErr w:type="gramStart"/>
      <w:r w:rsidRPr="00D31857">
        <w:rPr>
          <w:color w:val="A6A6A6" w:themeColor="background1" w:themeShade="A6"/>
        </w:rPr>
        <w:t xml:space="preserve">:  </w:t>
      </w:r>
      <w:proofErr w:type="gramEnd"/>
      <w:sdt>
        <w:sdtPr>
          <w:rPr>
            <w:rStyle w:val="Style2"/>
            <w:color w:val="A6A6A6" w:themeColor="background1" w:themeShade="A6"/>
          </w:rPr>
          <w:id w:val="-1666395719"/>
          <w:showingPlcHdr/>
        </w:sdtPr>
        <w:sdtEndPr>
          <w:rPr>
            <w:rStyle w:val="DefaultParagraphFont"/>
            <w:u w:val="none"/>
          </w:rPr>
        </w:sdtEndPr>
        <w:sdtContent>
          <w:r w:rsidRPr="00D31857">
            <w:rPr>
              <w:rStyle w:val="PlaceholderText"/>
              <w:rFonts w:cstheme="minorHAnsi"/>
              <w:color w:val="A6A6A6" w:themeColor="background1" w:themeShade="A6"/>
            </w:rPr>
            <w:t>Click here to enter date range</w:t>
          </w:r>
        </w:sdtContent>
      </w:sdt>
    </w:p>
    <w:p w14:paraId="41D1D44B" w14:textId="77777777" w:rsidR="00496AF8" w:rsidRPr="00D31857" w:rsidRDefault="00496AF8" w:rsidP="002E2177">
      <w:pPr>
        <w:ind w:left="0" w:firstLine="0"/>
        <w:rPr>
          <w:noProof/>
          <w:color w:val="A6A6A6" w:themeColor="background1" w:themeShade="A6"/>
        </w:rPr>
      </w:pPr>
    </w:p>
    <w:p w14:paraId="29CA0BA7" w14:textId="77777777" w:rsidR="0039020B" w:rsidRPr="00D31857" w:rsidRDefault="0039020B" w:rsidP="002E2177">
      <w:pPr>
        <w:ind w:left="0" w:firstLine="0"/>
        <w:rPr>
          <w:b/>
          <w:noProof/>
          <w:color w:val="A6A6A6" w:themeColor="background1" w:themeShade="A6"/>
        </w:rPr>
      </w:pPr>
    </w:p>
    <w:p w14:paraId="472DC74E" w14:textId="77777777" w:rsidR="00496AF8" w:rsidRPr="00D31857" w:rsidRDefault="00C5180E" w:rsidP="002E2177">
      <w:pPr>
        <w:ind w:left="0" w:firstLine="0"/>
        <w:rPr>
          <w:b/>
          <w:color w:val="A6A6A6" w:themeColor="background1" w:themeShade="A6"/>
        </w:rPr>
      </w:pPr>
      <w:r w:rsidRPr="00D31857">
        <w:rPr>
          <w:b/>
          <w:noProof/>
          <w:color w:val="A6A6A6" w:themeColor="background1" w:themeShade="A6"/>
        </w:rPr>
        <w:t>QUANTITY AND QUALITY OF BODY OF EVIDENCE</w:t>
      </w:r>
    </w:p>
    <w:p w14:paraId="4243D9AC" w14:textId="77777777" w:rsidR="009B5BEA" w:rsidRPr="00D31857" w:rsidRDefault="001B772D" w:rsidP="002E2177">
      <w:pPr>
        <w:ind w:left="432" w:hanging="432"/>
        <w:rPr>
          <w:color w:val="A6A6A6" w:themeColor="background1" w:themeShade="A6"/>
        </w:rPr>
      </w:pPr>
      <w:r w:rsidRPr="00D31857">
        <w:rPr>
          <w:b/>
          <w:noProof/>
          <w:color w:val="A6A6A6" w:themeColor="background1" w:themeShade="A6"/>
        </w:rPr>
        <w:t>1</w:t>
      </w:r>
      <w:r w:rsidR="00837121" w:rsidRPr="00D31857">
        <w:rPr>
          <w:b/>
          <w:noProof/>
          <w:color w:val="A6A6A6" w:themeColor="background1" w:themeShade="A6"/>
        </w:rPr>
        <w:t>a</w:t>
      </w:r>
      <w:r w:rsidRPr="00D31857">
        <w:rPr>
          <w:b/>
          <w:noProof/>
          <w:color w:val="A6A6A6" w:themeColor="background1" w:themeShade="A6"/>
        </w:rPr>
        <w:t>.</w:t>
      </w:r>
      <w:r w:rsidR="00EE5AF6" w:rsidRPr="00D31857">
        <w:rPr>
          <w:b/>
          <w:noProof/>
          <w:color w:val="A6A6A6" w:themeColor="background1" w:themeShade="A6"/>
        </w:rPr>
        <w:t>7.</w:t>
      </w:r>
      <w:r w:rsidR="00095EC9" w:rsidRPr="00D31857">
        <w:rPr>
          <w:b/>
          <w:noProof/>
          <w:color w:val="A6A6A6" w:themeColor="background1" w:themeShade="A6"/>
        </w:rPr>
        <w:t>5</w:t>
      </w:r>
      <w:r w:rsidRPr="00D31857">
        <w:rPr>
          <w:b/>
          <w:noProof/>
          <w:color w:val="A6A6A6" w:themeColor="background1" w:themeShade="A6"/>
        </w:rPr>
        <w:t>.</w:t>
      </w:r>
      <w:r w:rsidRPr="00D31857">
        <w:rPr>
          <w:i/>
          <w:noProof/>
          <w:color w:val="A6A6A6" w:themeColor="background1" w:themeShade="A6"/>
        </w:rPr>
        <w:t xml:space="preserve"> </w:t>
      </w:r>
      <w:r w:rsidR="00496AF8" w:rsidRPr="00D31857">
        <w:rPr>
          <w:b/>
          <w:noProof/>
          <w:color w:val="A6A6A6" w:themeColor="background1" w:themeShade="A6"/>
        </w:rPr>
        <w:t>How many and what type of study designs are in</w:t>
      </w:r>
      <w:r w:rsidR="006F760B" w:rsidRPr="00D31857">
        <w:rPr>
          <w:b/>
          <w:noProof/>
          <w:color w:val="A6A6A6" w:themeColor="background1" w:themeShade="A6"/>
        </w:rPr>
        <w:t>c</w:t>
      </w:r>
      <w:r w:rsidR="00496AF8" w:rsidRPr="00D31857">
        <w:rPr>
          <w:b/>
          <w:noProof/>
          <w:color w:val="A6A6A6" w:themeColor="background1" w:themeShade="A6"/>
        </w:rPr>
        <w:t>luded in the body of evidence</w:t>
      </w:r>
      <w:r w:rsidR="00496AF8" w:rsidRPr="00D31857">
        <w:rPr>
          <w:noProof/>
          <w:color w:val="A6A6A6" w:themeColor="background1" w:themeShade="A6"/>
        </w:rPr>
        <w:t>? (</w:t>
      </w:r>
      <w:r w:rsidR="00496AF8" w:rsidRPr="00D31857">
        <w:rPr>
          <w:i/>
          <w:noProof/>
          <w:color w:val="A6A6A6" w:themeColor="background1" w:themeShade="A6"/>
        </w:rPr>
        <w:t>e.g., 3 randomized controlled trials and 1 observational study</w:t>
      </w:r>
      <w:r w:rsidR="00496AF8" w:rsidRPr="00D31857">
        <w:rPr>
          <w:noProof/>
          <w:color w:val="A6A6A6" w:themeColor="background1" w:themeShade="A6"/>
        </w:rPr>
        <w:t>)</w:t>
      </w:r>
      <w:r w:rsidR="009E37BD" w:rsidRPr="00D31857">
        <w:rPr>
          <w:noProof/>
          <w:color w:val="A6A6A6" w:themeColor="background1" w:themeShade="A6"/>
        </w:rPr>
        <w:t xml:space="preserve"> </w:t>
      </w:r>
    </w:p>
    <w:p w14:paraId="40026943" w14:textId="77777777" w:rsidR="00496AF8" w:rsidRPr="00D31857" w:rsidRDefault="00496AF8" w:rsidP="002E2177">
      <w:pPr>
        <w:ind w:left="0" w:firstLine="0"/>
        <w:rPr>
          <w:color w:val="A6A6A6" w:themeColor="background1" w:themeShade="A6"/>
        </w:rPr>
      </w:pPr>
    </w:p>
    <w:p w14:paraId="378CF7A6" w14:textId="77777777" w:rsidR="00496AF8" w:rsidRPr="00D31857" w:rsidRDefault="001B772D" w:rsidP="002E2177">
      <w:pPr>
        <w:ind w:left="432" w:hanging="432"/>
        <w:rPr>
          <w:iCs/>
          <w:color w:val="A6A6A6" w:themeColor="background1" w:themeShade="A6"/>
        </w:rPr>
      </w:pPr>
      <w:r w:rsidRPr="00D31857">
        <w:rPr>
          <w:b/>
          <w:color w:val="A6A6A6" w:themeColor="background1" w:themeShade="A6"/>
        </w:rPr>
        <w:t>1</w:t>
      </w:r>
      <w:r w:rsidR="00837121" w:rsidRPr="00D31857">
        <w:rPr>
          <w:b/>
          <w:color w:val="A6A6A6" w:themeColor="background1" w:themeShade="A6"/>
        </w:rPr>
        <w:t>a</w:t>
      </w:r>
      <w:r w:rsidRPr="00D31857">
        <w:rPr>
          <w:b/>
          <w:color w:val="A6A6A6" w:themeColor="background1" w:themeShade="A6"/>
        </w:rPr>
        <w:t>.</w:t>
      </w:r>
      <w:r w:rsidR="00EE5AF6" w:rsidRPr="00D31857">
        <w:rPr>
          <w:b/>
          <w:color w:val="A6A6A6" w:themeColor="background1" w:themeShade="A6"/>
        </w:rPr>
        <w:t>7.</w:t>
      </w:r>
      <w:r w:rsidR="00095EC9" w:rsidRPr="00D31857">
        <w:rPr>
          <w:b/>
          <w:color w:val="A6A6A6" w:themeColor="background1" w:themeShade="A6"/>
        </w:rPr>
        <w:t>6</w:t>
      </w:r>
      <w:r w:rsidRPr="00D31857">
        <w:rPr>
          <w:b/>
          <w:color w:val="A6A6A6" w:themeColor="background1" w:themeShade="A6"/>
        </w:rPr>
        <w:t>.</w:t>
      </w:r>
      <w:r w:rsidRPr="00D31857">
        <w:rPr>
          <w:color w:val="A6A6A6" w:themeColor="background1" w:themeShade="A6"/>
        </w:rPr>
        <w:t xml:space="preserve"> </w:t>
      </w:r>
      <w:proofErr w:type="gramStart"/>
      <w:r w:rsidR="00496AF8" w:rsidRPr="00D31857">
        <w:rPr>
          <w:b/>
          <w:color w:val="A6A6A6" w:themeColor="background1" w:themeShade="A6"/>
        </w:rPr>
        <w:t>What</w:t>
      </w:r>
      <w:proofErr w:type="gramEnd"/>
      <w:r w:rsidR="00496AF8" w:rsidRPr="00D31857">
        <w:rPr>
          <w:b/>
          <w:color w:val="A6A6A6" w:themeColor="background1" w:themeShade="A6"/>
        </w:rPr>
        <w:t xml:space="preserve"> is the overall quality of evidence </w:t>
      </w:r>
      <w:r w:rsidR="00496AF8" w:rsidRPr="00D31857">
        <w:rPr>
          <w:b/>
          <w:color w:val="A6A6A6" w:themeColor="background1" w:themeShade="A6"/>
          <w:u w:val="single"/>
        </w:rPr>
        <w:t>across studies</w:t>
      </w:r>
      <w:r w:rsidR="00496AF8" w:rsidRPr="00D31857">
        <w:rPr>
          <w:b/>
          <w:color w:val="A6A6A6" w:themeColor="background1" w:themeShade="A6"/>
        </w:rPr>
        <w:t xml:space="preserve"> in the body of evidence</w:t>
      </w:r>
      <w:r w:rsidR="00496AF8" w:rsidRPr="00D31857">
        <w:rPr>
          <w:color w:val="A6A6A6" w:themeColor="background1" w:themeShade="A6"/>
        </w:rPr>
        <w:t>? (</w:t>
      </w:r>
      <w:proofErr w:type="gramStart"/>
      <w:r w:rsidR="006709EB" w:rsidRPr="00D31857">
        <w:rPr>
          <w:i/>
          <w:color w:val="A6A6A6" w:themeColor="background1" w:themeShade="A6"/>
        </w:rPr>
        <w:t>discuss</w:t>
      </w:r>
      <w:proofErr w:type="gramEnd"/>
      <w:r w:rsidR="006709EB" w:rsidRPr="00D31857">
        <w:rPr>
          <w:i/>
          <w:color w:val="A6A6A6" w:themeColor="background1" w:themeShade="A6"/>
        </w:rPr>
        <w:t xml:space="preserve"> the </w:t>
      </w:r>
      <w:r w:rsidR="00496AF8" w:rsidRPr="00D31857">
        <w:rPr>
          <w:i/>
          <w:color w:val="A6A6A6" w:themeColor="background1" w:themeShade="A6"/>
        </w:rPr>
        <w:t xml:space="preserve">certainty or confidence in the estimates of effect </w:t>
      </w:r>
      <w:r w:rsidR="0039609A" w:rsidRPr="00D31857">
        <w:rPr>
          <w:i/>
          <w:color w:val="A6A6A6" w:themeColor="background1" w:themeShade="A6"/>
        </w:rPr>
        <w:t xml:space="preserve">particularly in relation </w:t>
      </w:r>
      <w:r w:rsidR="00496AF8" w:rsidRPr="00D31857">
        <w:rPr>
          <w:i/>
          <w:color w:val="A6A6A6" w:themeColor="background1" w:themeShade="A6"/>
        </w:rPr>
        <w:t>to study factor</w:t>
      </w:r>
      <w:r w:rsidR="000160E6" w:rsidRPr="00D31857">
        <w:rPr>
          <w:i/>
          <w:color w:val="A6A6A6" w:themeColor="background1" w:themeShade="A6"/>
        </w:rPr>
        <w:t xml:space="preserve">s such as design flaws, </w:t>
      </w:r>
      <w:r w:rsidR="00E57BE2" w:rsidRPr="00D31857">
        <w:rPr>
          <w:i/>
          <w:color w:val="A6A6A6" w:themeColor="background1" w:themeShade="A6"/>
        </w:rPr>
        <w:t xml:space="preserve">imprecision due to </w:t>
      </w:r>
      <w:r w:rsidR="000160E6" w:rsidRPr="00D31857">
        <w:rPr>
          <w:i/>
          <w:color w:val="A6A6A6" w:themeColor="background1" w:themeShade="A6"/>
        </w:rPr>
        <w:t xml:space="preserve">small numbers, indirectness </w:t>
      </w:r>
      <w:r w:rsidR="00E57BE2" w:rsidRPr="00D31857">
        <w:rPr>
          <w:i/>
          <w:color w:val="A6A6A6" w:themeColor="background1" w:themeShade="A6"/>
        </w:rPr>
        <w:t xml:space="preserve">of studies </w:t>
      </w:r>
      <w:r w:rsidR="000160E6" w:rsidRPr="00D31857">
        <w:rPr>
          <w:i/>
          <w:color w:val="A6A6A6" w:themeColor="background1" w:themeShade="A6"/>
        </w:rPr>
        <w:t>to the measure focus or target population</w:t>
      </w:r>
      <w:r w:rsidR="00496AF8" w:rsidRPr="00D31857">
        <w:rPr>
          <w:iCs/>
          <w:color w:val="A6A6A6" w:themeColor="background1" w:themeShade="A6"/>
        </w:rPr>
        <w:t>)</w:t>
      </w:r>
      <w:r w:rsidR="000D649E" w:rsidRPr="00D31857">
        <w:rPr>
          <w:iCs/>
          <w:color w:val="A6A6A6" w:themeColor="background1" w:themeShade="A6"/>
        </w:rPr>
        <w:t xml:space="preserve">  </w:t>
      </w:r>
    </w:p>
    <w:p w14:paraId="360559A5" w14:textId="77777777" w:rsidR="00496AF8" w:rsidRPr="00D31857" w:rsidRDefault="00496AF8" w:rsidP="002E2177">
      <w:pPr>
        <w:ind w:left="0" w:firstLine="0"/>
        <w:rPr>
          <w:color w:val="A6A6A6" w:themeColor="background1" w:themeShade="A6"/>
        </w:rPr>
      </w:pPr>
    </w:p>
    <w:p w14:paraId="064CED94" w14:textId="77777777" w:rsidR="00D14F0B" w:rsidRPr="00D31857" w:rsidRDefault="00D14F0B" w:rsidP="002E2177">
      <w:pPr>
        <w:ind w:left="0" w:firstLine="0"/>
        <w:rPr>
          <w:color w:val="A6A6A6" w:themeColor="background1" w:themeShade="A6"/>
        </w:rPr>
      </w:pPr>
    </w:p>
    <w:p w14:paraId="50430A0D" w14:textId="77777777" w:rsidR="00496AF8" w:rsidRPr="00D31857" w:rsidRDefault="00C5180E" w:rsidP="002E2177">
      <w:pPr>
        <w:ind w:left="0" w:firstLine="0"/>
        <w:rPr>
          <w:b/>
          <w:color w:val="A6A6A6" w:themeColor="background1" w:themeShade="A6"/>
        </w:rPr>
      </w:pPr>
      <w:r w:rsidRPr="00D31857">
        <w:rPr>
          <w:b/>
          <w:color w:val="A6A6A6" w:themeColor="background1" w:themeShade="A6"/>
        </w:rPr>
        <w:t>ESTIMATES OF BENEFIT AND CONSISTENCY ACROSS STUDIES IN BODY OF EVIDENCE</w:t>
      </w:r>
    </w:p>
    <w:p w14:paraId="36E572E9" w14:textId="77777777" w:rsidR="00496AF8" w:rsidRPr="00D31857" w:rsidRDefault="001B772D" w:rsidP="002E2177">
      <w:pPr>
        <w:ind w:left="432" w:hanging="432"/>
        <w:rPr>
          <w:color w:val="A6A6A6" w:themeColor="background1" w:themeShade="A6"/>
        </w:rPr>
      </w:pPr>
      <w:r w:rsidRPr="00D31857">
        <w:rPr>
          <w:b/>
          <w:color w:val="A6A6A6" w:themeColor="background1" w:themeShade="A6"/>
        </w:rPr>
        <w:lastRenderedPageBreak/>
        <w:t>1</w:t>
      </w:r>
      <w:r w:rsidR="00837121" w:rsidRPr="00D31857">
        <w:rPr>
          <w:b/>
          <w:color w:val="A6A6A6" w:themeColor="background1" w:themeShade="A6"/>
        </w:rPr>
        <w:t>a</w:t>
      </w:r>
      <w:r w:rsidRPr="00D31857">
        <w:rPr>
          <w:b/>
          <w:color w:val="A6A6A6" w:themeColor="background1" w:themeShade="A6"/>
        </w:rPr>
        <w:t>.</w:t>
      </w:r>
      <w:r w:rsidR="00EE5AF6" w:rsidRPr="00D31857">
        <w:rPr>
          <w:b/>
          <w:color w:val="A6A6A6" w:themeColor="background1" w:themeShade="A6"/>
        </w:rPr>
        <w:t>7.</w:t>
      </w:r>
      <w:r w:rsidR="00095EC9" w:rsidRPr="00D31857">
        <w:rPr>
          <w:b/>
          <w:color w:val="A6A6A6" w:themeColor="background1" w:themeShade="A6"/>
        </w:rPr>
        <w:t>7</w:t>
      </w:r>
      <w:r w:rsidRPr="00D31857">
        <w:rPr>
          <w:b/>
          <w:color w:val="A6A6A6" w:themeColor="background1" w:themeShade="A6"/>
        </w:rPr>
        <w:t>.</w:t>
      </w:r>
      <w:r w:rsidRPr="00D31857">
        <w:rPr>
          <w:color w:val="A6A6A6" w:themeColor="background1" w:themeShade="A6"/>
        </w:rPr>
        <w:t xml:space="preserve"> </w:t>
      </w:r>
      <w:proofErr w:type="gramStart"/>
      <w:r w:rsidR="00496AF8" w:rsidRPr="00D31857">
        <w:rPr>
          <w:b/>
          <w:color w:val="A6A6A6" w:themeColor="background1" w:themeShade="A6"/>
        </w:rPr>
        <w:t>What</w:t>
      </w:r>
      <w:proofErr w:type="gramEnd"/>
      <w:r w:rsidR="00496AF8" w:rsidRPr="00D31857">
        <w:rPr>
          <w:b/>
          <w:color w:val="A6A6A6" w:themeColor="background1" w:themeShade="A6"/>
        </w:rPr>
        <w:t xml:space="preserve"> are </w:t>
      </w:r>
      <w:r w:rsidR="007D5DC6" w:rsidRPr="00D31857">
        <w:rPr>
          <w:b/>
          <w:color w:val="A6A6A6" w:themeColor="background1" w:themeShade="A6"/>
        </w:rPr>
        <w:t>the estimates</w:t>
      </w:r>
      <w:r w:rsidR="00496AF8" w:rsidRPr="00D31857">
        <w:rPr>
          <w:b/>
          <w:color w:val="A6A6A6" w:themeColor="background1" w:themeShade="A6"/>
        </w:rPr>
        <w:t xml:space="preserve"> of benefit—magnitude and direction of effect on outcome</w:t>
      </w:r>
      <w:r w:rsidR="00734949" w:rsidRPr="00D31857">
        <w:rPr>
          <w:b/>
          <w:color w:val="A6A6A6" w:themeColor="background1" w:themeShade="A6"/>
        </w:rPr>
        <w:t>(s)</w:t>
      </w:r>
      <w:r w:rsidR="00496AF8" w:rsidRPr="00D31857">
        <w:rPr>
          <w:b/>
          <w:color w:val="A6A6A6" w:themeColor="background1" w:themeShade="A6"/>
        </w:rPr>
        <w:t xml:space="preserve"> </w:t>
      </w:r>
      <w:r w:rsidR="00496AF8" w:rsidRPr="00D31857">
        <w:rPr>
          <w:b/>
          <w:color w:val="A6A6A6" w:themeColor="background1" w:themeShade="A6"/>
          <w:u w:val="single"/>
        </w:rPr>
        <w:t>across studies</w:t>
      </w:r>
      <w:r w:rsidR="00496AF8" w:rsidRPr="00D31857">
        <w:rPr>
          <w:b/>
          <w:color w:val="A6A6A6" w:themeColor="background1" w:themeShade="A6"/>
        </w:rPr>
        <w:t xml:space="preserve"> in the body of evidence</w:t>
      </w:r>
      <w:r w:rsidR="00496AF8" w:rsidRPr="00D31857">
        <w:rPr>
          <w:color w:val="A6A6A6" w:themeColor="background1" w:themeShade="A6"/>
        </w:rPr>
        <w:t>?</w:t>
      </w:r>
      <w:r w:rsidR="002A6777" w:rsidRPr="00D31857">
        <w:rPr>
          <w:color w:val="A6A6A6" w:themeColor="background1" w:themeShade="A6"/>
        </w:rPr>
        <w:t xml:space="preserve"> (</w:t>
      </w:r>
      <w:proofErr w:type="gramStart"/>
      <w:r w:rsidR="002A6777" w:rsidRPr="00D31857">
        <w:rPr>
          <w:i/>
          <w:color w:val="A6A6A6" w:themeColor="background1" w:themeShade="A6"/>
        </w:rPr>
        <w:t>e</w:t>
      </w:r>
      <w:proofErr w:type="gramEnd"/>
      <w:r w:rsidR="002A6777" w:rsidRPr="00D31857">
        <w:rPr>
          <w:i/>
          <w:color w:val="A6A6A6" w:themeColor="background1" w:themeShade="A6"/>
        </w:rPr>
        <w:t xml:space="preserve">.g., </w:t>
      </w:r>
      <w:r w:rsidR="000160E6" w:rsidRPr="00D31857">
        <w:rPr>
          <w:i/>
          <w:color w:val="A6A6A6" w:themeColor="background1" w:themeShade="A6"/>
        </w:rPr>
        <w:t xml:space="preserve">ranges of percentages or odds ratios for </w:t>
      </w:r>
      <w:r w:rsidR="0068184A" w:rsidRPr="00D31857">
        <w:rPr>
          <w:i/>
          <w:color w:val="A6A6A6" w:themeColor="background1" w:themeShade="A6"/>
        </w:rPr>
        <w:t xml:space="preserve">improvement/ </w:t>
      </w:r>
      <w:r w:rsidR="007D5DC6" w:rsidRPr="00D31857">
        <w:rPr>
          <w:i/>
          <w:color w:val="A6A6A6" w:themeColor="background1" w:themeShade="A6"/>
        </w:rPr>
        <w:t>decline across</w:t>
      </w:r>
      <w:r w:rsidR="005B0D18" w:rsidRPr="00D31857">
        <w:rPr>
          <w:i/>
          <w:color w:val="A6A6A6" w:themeColor="background1" w:themeShade="A6"/>
        </w:rPr>
        <w:t xml:space="preserve"> studies, </w:t>
      </w:r>
      <w:r w:rsidR="0068184A" w:rsidRPr="00D31857">
        <w:rPr>
          <w:i/>
          <w:color w:val="A6A6A6" w:themeColor="background1" w:themeShade="A6"/>
        </w:rPr>
        <w:t>results of meta-analysis, and statistical significance</w:t>
      </w:r>
      <w:r w:rsidR="005B0D18" w:rsidRPr="00D31857">
        <w:rPr>
          <w:color w:val="A6A6A6" w:themeColor="background1" w:themeShade="A6"/>
        </w:rPr>
        <w:t>)</w:t>
      </w:r>
      <w:r w:rsidR="000D649E" w:rsidRPr="00D31857">
        <w:rPr>
          <w:color w:val="A6A6A6" w:themeColor="background1" w:themeShade="A6"/>
        </w:rPr>
        <w:t xml:space="preserve">  </w:t>
      </w:r>
    </w:p>
    <w:p w14:paraId="1B76147C" w14:textId="77777777" w:rsidR="00496AF8" w:rsidRPr="00D31857" w:rsidRDefault="00496AF8" w:rsidP="002E2177">
      <w:pPr>
        <w:ind w:left="0" w:firstLine="0"/>
        <w:rPr>
          <w:color w:val="A6A6A6" w:themeColor="background1" w:themeShade="A6"/>
        </w:rPr>
      </w:pPr>
    </w:p>
    <w:p w14:paraId="1BFCA999" w14:textId="77777777" w:rsidR="009B5BEA" w:rsidRPr="00D31857" w:rsidRDefault="009B5BEA" w:rsidP="002E2177">
      <w:pPr>
        <w:ind w:left="0" w:firstLine="0"/>
        <w:rPr>
          <w:color w:val="A6A6A6" w:themeColor="background1" w:themeShade="A6"/>
        </w:rPr>
      </w:pPr>
    </w:p>
    <w:p w14:paraId="4703102C" w14:textId="77777777" w:rsidR="00496AF8" w:rsidRPr="00D31857" w:rsidRDefault="001B772D" w:rsidP="002E2177">
      <w:pPr>
        <w:ind w:left="0" w:firstLine="0"/>
        <w:rPr>
          <w:color w:val="A6A6A6" w:themeColor="background1" w:themeShade="A6"/>
        </w:rPr>
      </w:pPr>
      <w:r w:rsidRPr="00D31857">
        <w:rPr>
          <w:b/>
          <w:color w:val="A6A6A6" w:themeColor="background1" w:themeShade="A6"/>
        </w:rPr>
        <w:t>1</w:t>
      </w:r>
      <w:r w:rsidR="00837121" w:rsidRPr="00D31857">
        <w:rPr>
          <w:b/>
          <w:color w:val="A6A6A6" w:themeColor="background1" w:themeShade="A6"/>
        </w:rPr>
        <w:t>a</w:t>
      </w:r>
      <w:r w:rsidRPr="00D31857">
        <w:rPr>
          <w:b/>
          <w:color w:val="A6A6A6" w:themeColor="background1" w:themeShade="A6"/>
        </w:rPr>
        <w:t>.</w:t>
      </w:r>
      <w:r w:rsidR="00EE5AF6" w:rsidRPr="00D31857">
        <w:rPr>
          <w:b/>
          <w:color w:val="A6A6A6" w:themeColor="background1" w:themeShade="A6"/>
        </w:rPr>
        <w:t>7.</w:t>
      </w:r>
      <w:r w:rsidR="00095EC9" w:rsidRPr="00D31857">
        <w:rPr>
          <w:b/>
          <w:color w:val="A6A6A6" w:themeColor="background1" w:themeShade="A6"/>
        </w:rPr>
        <w:t>8</w:t>
      </w:r>
      <w:r w:rsidRPr="00D31857">
        <w:rPr>
          <w:b/>
          <w:color w:val="A6A6A6" w:themeColor="background1" w:themeShade="A6"/>
        </w:rPr>
        <w:t>.</w:t>
      </w:r>
      <w:r w:rsidRPr="00D31857">
        <w:rPr>
          <w:color w:val="A6A6A6" w:themeColor="background1" w:themeShade="A6"/>
        </w:rPr>
        <w:t xml:space="preserve"> </w:t>
      </w:r>
      <w:proofErr w:type="gramStart"/>
      <w:r w:rsidR="00496AF8" w:rsidRPr="00D31857">
        <w:rPr>
          <w:b/>
          <w:color w:val="A6A6A6" w:themeColor="background1" w:themeShade="A6"/>
        </w:rPr>
        <w:t>What</w:t>
      </w:r>
      <w:proofErr w:type="gramEnd"/>
      <w:r w:rsidR="00496AF8" w:rsidRPr="00D31857">
        <w:rPr>
          <w:b/>
          <w:color w:val="A6A6A6" w:themeColor="background1" w:themeShade="A6"/>
        </w:rPr>
        <w:t xml:space="preserve"> harms were studied and how do they affect the net benefit</w:t>
      </w:r>
      <w:r w:rsidR="00EE1F87" w:rsidRPr="00D31857" w:rsidDel="00EE1F87">
        <w:rPr>
          <w:b/>
          <w:color w:val="A6A6A6" w:themeColor="background1" w:themeShade="A6"/>
        </w:rPr>
        <w:t xml:space="preserve"> </w:t>
      </w:r>
      <w:r w:rsidR="00EE1F87" w:rsidRPr="00D31857">
        <w:rPr>
          <w:b/>
          <w:color w:val="A6A6A6" w:themeColor="background1" w:themeShade="A6"/>
        </w:rPr>
        <w:t>(</w:t>
      </w:r>
      <w:r w:rsidR="00496AF8" w:rsidRPr="00D31857">
        <w:rPr>
          <w:b/>
          <w:color w:val="A6A6A6" w:themeColor="background1" w:themeShade="A6"/>
        </w:rPr>
        <w:t>benefits over harms</w:t>
      </w:r>
      <w:r w:rsidR="00EE1F87" w:rsidRPr="00D31857">
        <w:rPr>
          <w:b/>
          <w:color w:val="A6A6A6" w:themeColor="background1" w:themeShade="A6"/>
        </w:rPr>
        <w:t>)</w:t>
      </w:r>
      <w:r w:rsidR="00496AF8" w:rsidRPr="00D31857">
        <w:rPr>
          <w:b/>
          <w:color w:val="A6A6A6" w:themeColor="background1" w:themeShade="A6"/>
        </w:rPr>
        <w:t>?</w:t>
      </w:r>
      <w:r w:rsidR="00D14F0B" w:rsidRPr="00D31857">
        <w:rPr>
          <w:color w:val="A6A6A6" w:themeColor="background1" w:themeShade="A6"/>
        </w:rPr>
        <w:t xml:space="preserve"> </w:t>
      </w:r>
    </w:p>
    <w:p w14:paraId="5B904DA9" w14:textId="77777777" w:rsidR="00496AF8" w:rsidRPr="00D31857" w:rsidRDefault="00496AF8" w:rsidP="002E2177">
      <w:pPr>
        <w:ind w:left="0" w:firstLine="0"/>
        <w:rPr>
          <w:color w:val="A6A6A6" w:themeColor="background1" w:themeShade="A6"/>
        </w:rPr>
      </w:pPr>
    </w:p>
    <w:p w14:paraId="4A0038E4" w14:textId="77777777" w:rsidR="00496AF8" w:rsidRPr="00D31857" w:rsidRDefault="00496AF8" w:rsidP="002E2177">
      <w:pPr>
        <w:ind w:left="0" w:firstLine="0"/>
        <w:rPr>
          <w:color w:val="A6A6A6" w:themeColor="background1" w:themeShade="A6"/>
        </w:rPr>
      </w:pPr>
    </w:p>
    <w:p w14:paraId="05935D45" w14:textId="77777777" w:rsidR="00496AF8" w:rsidRPr="00D31857" w:rsidRDefault="00C5180E" w:rsidP="002E2177">
      <w:pPr>
        <w:ind w:left="0" w:firstLine="0"/>
        <w:rPr>
          <w:b/>
          <w:noProof/>
          <w:color w:val="A6A6A6" w:themeColor="background1" w:themeShade="A6"/>
        </w:rPr>
      </w:pPr>
      <w:r w:rsidRPr="00D31857">
        <w:rPr>
          <w:b/>
          <w:noProof/>
          <w:color w:val="A6A6A6" w:themeColor="background1" w:themeShade="A6"/>
        </w:rPr>
        <w:t>UPDATE TO THE SYSTEMATIC REVIEW(S) OF THE BODY OF EVIDENCE</w:t>
      </w:r>
    </w:p>
    <w:p w14:paraId="016DDCC3" w14:textId="77777777" w:rsidR="00496AF8" w:rsidRPr="00D31857" w:rsidRDefault="001B772D" w:rsidP="002E2177">
      <w:pPr>
        <w:ind w:left="432" w:hanging="432"/>
        <w:rPr>
          <w:color w:val="A6A6A6" w:themeColor="background1" w:themeShade="A6"/>
        </w:rPr>
      </w:pPr>
      <w:r w:rsidRPr="00D31857">
        <w:rPr>
          <w:b/>
          <w:noProof/>
          <w:color w:val="A6A6A6" w:themeColor="background1" w:themeShade="A6"/>
        </w:rPr>
        <w:t>1</w:t>
      </w:r>
      <w:r w:rsidR="00837121" w:rsidRPr="00D31857">
        <w:rPr>
          <w:b/>
          <w:noProof/>
          <w:color w:val="A6A6A6" w:themeColor="background1" w:themeShade="A6"/>
        </w:rPr>
        <w:t>a</w:t>
      </w:r>
      <w:r w:rsidRPr="00D31857">
        <w:rPr>
          <w:b/>
          <w:noProof/>
          <w:color w:val="A6A6A6" w:themeColor="background1" w:themeShade="A6"/>
        </w:rPr>
        <w:t>.</w:t>
      </w:r>
      <w:r w:rsidR="00773485" w:rsidRPr="00D31857">
        <w:rPr>
          <w:b/>
          <w:noProof/>
          <w:color w:val="A6A6A6" w:themeColor="background1" w:themeShade="A6"/>
        </w:rPr>
        <w:t>7.</w:t>
      </w:r>
      <w:r w:rsidR="00C84623" w:rsidRPr="00D31857">
        <w:rPr>
          <w:b/>
          <w:noProof/>
          <w:color w:val="A6A6A6" w:themeColor="background1" w:themeShade="A6"/>
        </w:rPr>
        <w:t>9</w:t>
      </w:r>
      <w:r w:rsidRPr="00D31857">
        <w:rPr>
          <w:b/>
          <w:noProof/>
          <w:color w:val="A6A6A6" w:themeColor="background1" w:themeShade="A6"/>
        </w:rPr>
        <w:t>.</w:t>
      </w:r>
      <w:r w:rsidRPr="00D31857">
        <w:rPr>
          <w:noProof/>
          <w:color w:val="A6A6A6" w:themeColor="background1" w:themeShade="A6"/>
        </w:rPr>
        <w:t xml:space="preserve"> </w:t>
      </w:r>
      <w:r w:rsidR="00837121" w:rsidRPr="00D31857">
        <w:rPr>
          <w:b/>
          <w:noProof/>
          <w:color w:val="A6A6A6" w:themeColor="background1" w:themeShade="A6"/>
        </w:rPr>
        <w:t xml:space="preserve">If </w:t>
      </w:r>
      <w:r w:rsidR="00496AF8" w:rsidRPr="00D31857">
        <w:rPr>
          <w:b/>
          <w:noProof/>
          <w:color w:val="A6A6A6" w:themeColor="background1" w:themeShade="A6"/>
        </w:rPr>
        <w:t>new studies have been conducted</w:t>
      </w:r>
      <w:r w:rsidR="00837121" w:rsidRPr="00D31857">
        <w:rPr>
          <w:b/>
          <w:noProof/>
          <w:color w:val="A6A6A6" w:themeColor="background1" w:themeShade="A6"/>
        </w:rPr>
        <w:t xml:space="preserve"> since the systematic review </w:t>
      </w:r>
      <w:r w:rsidR="00496AF8" w:rsidRPr="00D31857">
        <w:rPr>
          <w:b/>
          <w:noProof/>
          <w:color w:val="A6A6A6" w:themeColor="background1" w:themeShade="A6"/>
        </w:rPr>
        <w:t>of the body of evidence</w:t>
      </w:r>
      <w:r w:rsidR="0094689F" w:rsidRPr="00D31857">
        <w:rPr>
          <w:b/>
          <w:noProof/>
          <w:color w:val="A6A6A6" w:themeColor="background1" w:themeShade="A6"/>
        </w:rPr>
        <w:t xml:space="preserve">, provide for </w:t>
      </w:r>
      <w:r w:rsidR="00496AF8" w:rsidRPr="00D31857">
        <w:rPr>
          <w:b/>
          <w:noProof/>
          <w:color w:val="A6A6A6" w:themeColor="background1" w:themeShade="A6"/>
          <w:u w:val="single"/>
        </w:rPr>
        <w:t>each</w:t>
      </w:r>
      <w:r w:rsidR="00496AF8" w:rsidRPr="00D31857">
        <w:rPr>
          <w:b/>
          <w:noProof/>
          <w:color w:val="A6A6A6" w:themeColor="background1" w:themeShade="A6"/>
        </w:rPr>
        <w:t xml:space="preserve"> </w:t>
      </w:r>
      <w:r w:rsidR="002875E9" w:rsidRPr="00D31857">
        <w:rPr>
          <w:b/>
          <w:noProof/>
          <w:color w:val="A6A6A6" w:themeColor="background1" w:themeShade="A6"/>
        </w:rPr>
        <w:t xml:space="preserve">new </w:t>
      </w:r>
      <w:r w:rsidR="0094689F" w:rsidRPr="00D31857">
        <w:rPr>
          <w:b/>
          <w:noProof/>
          <w:color w:val="A6A6A6" w:themeColor="background1" w:themeShade="A6"/>
        </w:rPr>
        <w:t>study</w:t>
      </w:r>
      <w:r w:rsidR="00496AF8" w:rsidRPr="00D31857">
        <w:rPr>
          <w:b/>
          <w:noProof/>
          <w:color w:val="A6A6A6" w:themeColor="background1" w:themeShade="A6"/>
        </w:rPr>
        <w:t xml:space="preserve">: </w:t>
      </w:r>
      <w:r w:rsidR="006709EB" w:rsidRPr="00D31857">
        <w:rPr>
          <w:b/>
          <w:noProof/>
          <w:color w:val="A6A6A6" w:themeColor="background1" w:themeShade="A6"/>
        </w:rPr>
        <w:t>1</w:t>
      </w:r>
      <w:r w:rsidR="00496AF8" w:rsidRPr="00D31857">
        <w:rPr>
          <w:b/>
          <w:noProof/>
          <w:color w:val="A6A6A6" w:themeColor="background1" w:themeShade="A6"/>
        </w:rPr>
        <w:t>) citation, 2) description, 3) results, 4) impact on conclusions of systematic review</w:t>
      </w:r>
      <w:r w:rsidR="00496AF8" w:rsidRPr="00D31857">
        <w:rPr>
          <w:noProof/>
          <w:color w:val="A6A6A6" w:themeColor="background1" w:themeShade="A6"/>
        </w:rPr>
        <w:t>.</w:t>
      </w:r>
      <w:r w:rsidR="000D649E" w:rsidRPr="00D31857">
        <w:rPr>
          <w:noProof/>
          <w:color w:val="A6A6A6" w:themeColor="background1" w:themeShade="A6"/>
        </w:rPr>
        <w:t xml:space="preserve">  </w:t>
      </w:r>
    </w:p>
    <w:p w14:paraId="6EBADD42" w14:textId="77777777" w:rsidR="00837121" w:rsidRPr="003B1CC5" w:rsidRDefault="00837121" w:rsidP="002E2177">
      <w:pPr>
        <w:ind w:left="0" w:firstLine="0"/>
        <w:rPr>
          <w:b/>
          <w:color w:val="0070C0"/>
        </w:rPr>
      </w:pPr>
    </w:p>
    <w:p w14:paraId="11C72491" w14:textId="77777777" w:rsidR="0094689F" w:rsidRPr="003B1CC5" w:rsidRDefault="00925F11" w:rsidP="002E2177">
      <w:pPr>
        <w:ind w:left="0" w:firstLine="0"/>
        <w:rPr>
          <w:b/>
          <w:color w:val="0070C0"/>
        </w:rPr>
      </w:pPr>
      <w:r w:rsidRPr="003B1CC5">
        <w:rPr>
          <w:b/>
          <w:iCs/>
          <w:caps/>
        </w:rPr>
        <w:t>_________________________</w:t>
      </w:r>
    </w:p>
    <w:p w14:paraId="1FD289CC"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6AFD16A5"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A5AB959" w14:textId="77777777" w:rsidR="00837121" w:rsidRPr="003B1CC5" w:rsidRDefault="00837121" w:rsidP="002E2177">
      <w:pPr>
        <w:ind w:left="0" w:firstLine="0"/>
      </w:pPr>
    </w:p>
    <w:p w14:paraId="5585331E"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7206F10B" w14:textId="77777777" w:rsidR="00837121" w:rsidRDefault="00837121" w:rsidP="002E2177">
      <w:pPr>
        <w:ind w:left="0" w:firstLine="0"/>
      </w:pPr>
    </w:p>
    <w:p w14:paraId="577D08DA" w14:textId="77777777" w:rsidR="00D144A6" w:rsidRPr="00E56F32" w:rsidRDefault="00D144A6" w:rsidP="00D144A6">
      <w:pPr>
        <w:spacing w:after="120"/>
        <w:rPr>
          <w:color w:val="0000FF"/>
        </w:rPr>
      </w:pPr>
      <w:r w:rsidRPr="003165B5">
        <w:rPr>
          <w:rStyle w:val="s1"/>
          <w:rFonts w:eastAsia="Times New Roman" w:cs="Times New Roman"/>
          <w:color w:val="0000FF"/>
        </w:rPr>
        <w:t>The process used to identify the evidence supporting th</w:t>
      </w:r>
      <w:r>
        <w:rPr>
          <w:rStyle w:val="s1"/>
          <w:rFonts w:eastAsia="Times New Roman" w:cs="Times New Roman"/>
          <w:color w:val="0000FF"/>
        </w:rPr>
        <w:t>is</w:t>
      </w:r>
      <w:r w:rsidRPr="003165B5">
        <w:rPr>
          <w:rStyle w:val="s1"/>
          <w:rFonts w:eastAsia="Times New Roman" w:cs="Times New Roman"/>
          <w:color w:val="0000FF"/>
        </w:rPr>
        <w:t xml:space="preserve"> measure consisted of an extensive literature review, the clinical experience and expert consensus of KCQA members and the KCQA </w:t>
      </w:r>
      <w:r>
        <w:rPr>
          <w:rStyle w:val="s1"/>
          <w:rFonts w:eastAsia="Times New Roman" w:cs="Times New Roman"/>
          <w:color w:val="0000FF"/>
        </w:rPr>
        <w:t>Feasibility/Testing</w:t>
      </w:r>
      <w:r w:rsidRPr="003165B5">
        <w:rPr>
          <w:rStyle w:val="s1"/>
          <w:rFonts w:eastAsia="Times New Roman" w:cs="Times New Roman"/>
          <w:color w:val="0000FF"/>
        </w:rPr>
        <w:t xml:space="preserve"> Workgroup, and a retrospective review of pertinent database data from three large dialysis organizations with a correlation to existing measures of adverse outcomes (i.e., hospitalization and mortality) over the same time period.</w:t>
      </w:r>
      <w:r w:rsidRPr="00E56F32">
        <w:rPr>
          <w:rStyle w:val="s1"/>
          <w:rFonts w:eastAsia="Times New Roman" w:cs="Times New Roman"/>
          <w:color w:val="0000FF"/>
        </w:rPr>
        <w:t xml:space="preserve">  </w:t>
      </w:r>
    </w:p>
    <w:p w14:paraId="1D4ABE8E" w14:textId="77777777" w:rsidR="00D144A6" w:rsidRDefault="00D144A6" w:rsidP="002E2177">
      <w:pPr>
        <w:ind w:left="0" w:firstLine="0"/>
      </w:pPr>
    </w:p>
    <w:p w14:paraId="72C98708" w14:textId="77777777" w:rsidR="00D144A6" w:rsidRPr="003B1CC5" w:rsidRDefault="00D144A6" w:rsidP="002E2177">
      <w:pPr>
        <w:ind w:left="0" w:firstLine="0"/>
      </w:pPr>
    </w:p>
    <w:p w14:paraId="0F5A2976" w14:textId="77777777" w:rsidR="00837121" w:rsidRDefault="00837121" w:rsidP="002E2177">
      <w:pPr>
        <w:ind w:left="0" w:firstLine="0"/>
        <w:rPr>
          <w:b/>
        </w:rPr>
      </w:pPr>
      <w:r w:rsidRPr="003B1CC5">
        <w:rPr>
          <w:b/>
          <w:color w:val="0000FF"/>
        </w:rPr>
        <w:t>1a.8.2.</w:t>
      </w:r>
      <w:r w:rsidRPr="003B1CC5">
        <w:rPr>
          <w:color w:val="0070C0"/>
        </w:rPr>
        <w:t xml:space="preserve"> </w:t>
      </w:r>
      <w:proofErr w:type="gramStart"/>
      <w:r w:rsidR="006C7F30" w:rsidRPr="003B1CC5">
        <w:rPr>
          <w:b/>
        </w:rPr>
        <w:t>Provide</w:t>
      </w:r>
      <w:proofErr w:type="gramEnd"/>
      <w:r w:rsidR="006C7F30" w:rsidRPr="003B1CC5">
        <w:rPr>
          <w:b/>
        </w:rPr>
        <w:t xml:space="preserve"> the citation</w:t>
      </w:r>
      <w:r w:rsidR="009E6B86" w:rsidRPr="003B1CC5">
        <w:rPr>
          <w:b/>
        </w:rPr>
        <w:t xml:space="preserve"> </w:t>
      </w:r>
      <w:r w:rsidR="006C7F30" w:rsidRPr="003B1CC5">
        <w:rPr>
          <w:b/>
        </w:rPr>
        <w:t>and summary for each piece of evidence.</w:t>
      </w:r>
    </w:p>
    <w:p w14:paraId="26D1F8A3" w14:textId="77777777" w:rsidR="00D144A6" w:rsidRDefault="00D144A6" w:rsidP="002E2177">
      <w:pPr>
        <w:ind w:left="0" w:firstLine="0"/>
        <w:rPr>
          <w:b/>
        </w:rPr>
      </w:pPr>
    </w:p>
    <w:p w14:paraId="028E2202" w14:textId="77777777" w:rsidR="00D144A6" w:rsidRPr="00716696" w:rsidRDefault="00D144A6" w:rsidP="00D144A6">
      <w:pPr>
        <w:spacing w:after="120"/>
        <w:rPr>
          <w:color w:val="0000FF"/>
        </w:rPr>
      </w:pPr>
      <w:r w:rsidRPr="003165B5">
        <w:rPr>
          <w:color w:val="0000FF"/>
        </w:rPr>
        <w:t xml:space="preserve">The literature review identified the </w:t>
      </w:r>
      <w:r>
        <w:rPr>
          <w:color w:val="0000FF"/>
        </w:rPr>
        <w:t xml:space="preserve">following 14 </w:t>
      </w:r>
      <w:r w:rsidRPr="003165B5">
        <w:rPr>
          <w:color w:val="0000FF"/>
        </w:rPr>
        <w:t xml:space="preserve">published, peer-reviewed </w:t>
      </w:r>
      <w:r>
        <w:rPr>
          <w:color w:val="0000FF"/>
        </w:rPr>
        <w:t>articles</w:t>
      </w:r>
      <w:r w:rsidRPr="003165B5">
        <w:rPr>
          <w:color w:val="0000FF"/>
        </w:rPr>
        <w:t xml:space="preserve">.  The publications include </w:t>
      </w:r>
      <w:r w:rsidRPr="003165B5">
        <w:rPr>
          <w:rFonts w:cs="Times New Roman"/>
          <w:color w:val="0000FF"/>
        </w:rPr>
        <w:t>p</w:t>
      </w:r>
      <w:r w:rsidRPr="003165B5">
        <w:rPr>
          <w:color w:val="0000FF"/>
        </w:rPr>
        <w:t>rospectiv</w:t>
      </w:r>
      <w:r>
        <w:rPr>
          <w:color w:val="0000FF"/>
        </w:rPr>
        <w:t xml:space="preserve">e randomized controlled, </w:t>
      </w:r>
      <w:r w:rsidRPr="003165B5">
        <w:rPr>
          <w:color w:val="0000FF"/>
        </w:rPr>
        <w:t>prospective cohort</w:t>
      </w:r>
      <w:r>
        <w:rPr>
          <w:color w:val="0000FF"/>
        </w:rPr>
        <w:t>, cross-sectional, and</w:t>
      </w:r>
      <w:r w:rsidRPr="003165B5">
        <w:rPr>
          <w:color w:val="0000FF"/>
        </w:rPr>
        <w:t xml:space="preserve"> retrospective review</w:t>
      </w:r>
      <w:r>
        <w:rPr>
          <w:color w:val="0000FF"/>
        </w:rPr>
        <w:t xml:space="preserve"> studies, as well as expert </w:t>
      </w:r>
      <w:r>
        <w:rPr>
          <w:rFonts w:cs="Times New Roman"/>
          <w:color w:val="0000FF"/>
        </w:rPr>
        <w:t>consensus opinion.</w:t>
      </w:r>
    </w:p>
    <w:p w14:paraId="21BB690A" w14:textId="77777777" w:rsidR="00D144A6" w:rsidRPr="003165B5" w:rsidRDefault="00D144A6" w:rsidP="00D144A6">
      <w:pPr>
        <w:pStyle w:val="ListParagraph"/>
        <w:numPr>
          <w:ilvl w:val="0"/>
          <w:numId w:val="9"/>
        </w:numPr>
        <w:spacing w:after="120" w:line="240" w:lineRule="auto"/>
        <w:rPr>
          <w:b/>
          <w:color w:val="0000FF"/>
        </w:rPr>
      </w:pPr>
      <w:proofErr w:type="spellStart"/>
      <w:r w:rsidRPr="003165B5">
        <w:rPr>
          <w:rFonts w:cs="Arial"/>
          <w:b/>
          <w:color w:val="0000FF"/>
        </w:rPr>
        <w:t>Movilli</w:t>
      </w:r>
      <w:proofErr w:type="spellEnd"/>
      <w:r w:rsidRPr="003165B5">
        <w:rPr>
          <w:rFonts w:cs="Arial"/>
          <w:b/>
          <w:color w:val="0000FF"/>
        </w:rPr>
        <w:t xml:space="preserve"> E, </w:t>
      </w:r>
      <w:proofErr w:type="spellStart"/>
      <w:r w:rsidRPr="003165B5">
        <w:rPr>
          <w:rFonts w:cs="Arial"/>
          <w:b/>
          <w:color w:val="0000FF"/>
        </w:rPr>
        <w:t>Camerini</w:t>
      </w:r>
      <w:proofErr w:type="spellEnd"/>
      <w:r w:rsidRPr="003165B5">
        <w:rPr>
          <w:rFonts w:cs="Arial"/>
          <w:b/>
          <w:color w:val="0000FF"/>
        </w:rPr>
        <w:t xml:space="preserve"> C, </w:t>
      </w:r>
      <w:proofErr w:type="spellStart"/>
      <w:r w:rsidRPr="003165B5">
        <w:rPr>
          <w:rFonts w:cs="Arial"/>
          <w:b/>
          <w:color w:val="0000FF"/>
        </w:rPr>
        <w:t>Gaggia</w:t>
      </w:r>
      <w:proofErr w:type="spellEnd"/>
      <w:r w:rsidRPr="003165B5">
        <w:rPr>
          <w:rFonts w:cs="Arial"/>
          <w:b/>
          <w:color w:val="0000FF"/>
        </w:rPr>
        <w:t xml:space="preserve"> P, et al.  </w:t>
      </w:r>
      <w:r w:rsidRPr="003165B5">
        <w:rPr>
          <w:rFonts w:cs="Times New Roman"/>
          <w:b/>
          <w:color w:val="0000FF"/>
        </w:rPr>
        <w:t xml:space="preserve">Magnitude of end-dialysis overweight is associated with all-cause and cardiovascular mortality:  A 3-year prospective study.  </w:t>
      </w:r>
      <w:r w:rsidRPr="003165B5">
        <w:rPr>
          <w:rFonts w:cs="Times New Roman"/>
          <w:b/>
          <w:i/>
          <w:color w:val="0000FF"/>
        </w:rPr>
        <w:t xml:space="preserve">Am J </w:t>
      </w:r>
      <w:proofErr w:type="spellStart"/>
      <w:proofErr w:type="gramStart"/>
      <w:r w:rsidRPr="003165B5">
        <w:rPr>
          <w:rFonts w:cs="Times New Roman"/>
          <w:b/>
          <w:i/>
          <w:color w:val="0000FF"/>
        </w:rPr>
        <w:t>Nephrol</w:t>
      </w:r>
      <w:proofErr w:type="spellEnd"/>
      <w:r w:rsidRPr="003165B5">
        <w:rPr>
          <w:rFonts w:cs="Times New Roman"/>
          <w:b/>
          <w:color w:val="0000FF"/>
        </w:rPr>
        <w:t>.</w:t>
      </w:r>
      <w:proofErr w:type="gramEnd"/>
      <w:r w:rsidRPr="003165B5">
        <w:rPr>
          <w:rFonts w:cs="Times New Roman"/>
          <w:b/>
          <w:color w:val="0000FF"/>
        </w:rPr>
        <w:t xml:space="preserve"> 2013</w:t>
      </w:r>
      <w:proofErr w:type="gramStart"/>
      <w:r w:rsidRPr="003165B5">
        <w:rPr>
          <w:rFonts w:cs="Times New Roman"/>
          <w:b/>
          <w:color w:val="0000FF"/>
        </w:rPr>
        <w:t>;37:370</w:t>
      </w:r>
      <w:proofErr w:type="gramEnd"/>
      <w:r w:rsidRPr="003165B5">
        <w:rPr>
          <w:rFonts w:cs="Times New Roman"/>
          <w:b/>
          <w:color w:val="0000FF"/>
        </w:rPr>
        <w:t>–377.</w:t>
      </w:r>
    </w:p>
    <w:p w14:paraId="2DB974F6" w14:textId="77777777" w:rsidR="00D144A6" w:rsidRPr="003165B5" w:rsidRDefault="00D144A6" w:rsidP="00C04129">
      <w:pPr>
        <w:autoSpaceDE w:val="0"/>
        <w:autoSpaceDN w:val="0"/>
        <w:adjustRightInd w:val="0"/>
        <w:spacing w:after="120"/>
        <w:ind w:firstLine="0"/>
        <w:rPr>
          <w:rFonts w:cs="Times New Roman"/>
          <w:color w:val="0000FF"/>
        </w:rPr>
      </w:pPr>
      <w:r w:rsidRPr="003165B5">
        <w:rPr>
          <w:rFonts w:cs="Times New Roman"/>
          <w:b/>
          <w:color w:val="0000FF"/>
        </w:rPr>
        <w:t>Background:</w:t>
      </w:r>
      <w:r w:rsidRPr="003165B5">
        <w:rPr>
          <w:rFonts w:cs="Times New Roman"/>
          <w:color w:val="0000FF"/>
        </w:rPr>
        <w:t xml:space="preserve">  The authors hypothesized that the difference between the prescribed end-dialysis body weight, defined end-dialysis over-weight (</w:t>
      </w:r>
      <w:proofErr w:type="spellStart"/>
      <w:r w:rsidRPr="003165B5">
        <w:rPr>
          <w:rFonts w:cs="Times New Roman"/>
          <w:color w:val="0000FF"/>
        </w:rPr>
        <w:t>edOW</w:t>
      </w:r>
      <w:proofErr w:type="spellEnd"/>
      <w:r w:rsidRPr="003165B5">
        <w:rPr>
          <w:rFonts w:cs="Times New Roman"/>
          <w:color w:val="0000FF"/>
        </w:rPr>
        <w:t xml:space="preserve">; kg), and the body weight actually attained could impact survival in hemodialysis (HD) patients.  The aim of this prospective observational study was to evaluate if </w:t>
      </w:r>
      <w:proofErr w:type="spellStart"/>
      <w:r w:rsidRPr="003165B5">
        <w:rPr>
          <w:rFonts w:cs="Times New Roman"/>
          <w:color w:val="0000FF"/>
        </w:rPr>
        <w:t>edOW</w:t>
      </w:r>
      <w:proofErr w:type="spellEnd"/>
      <w:r w:rsidRPr="003165B5">
        <w:rPr>
          <w:rFonts w:cs="Times New Roman"/>
          <w:color w:val="0000FF"/>
        </w:rPr>
        <w:t xml:space="preserve"> could influence survival in a cohort of prevalent HD patients, controlled for multiple dialysis and clinical risk factors and followed for 3 years.  </w:t>
      </w:r>
    </w:p>
    <w:p w14:paraId="3EC8C10E" w14:textId="77777777" w:rsidR="00D144A6" w:rsidRPr="003165B5" w:rsidRDefault="00D144A6" w:rsidP="00C04129">
      <w:pPr>
        <w:autoSpaceDE w:val="0"/>
        <w:autoSpaceDN w:val="0"/>
        <w:adjustRightInd w:val="0"/>
        <w:spacing w:after="120"/>
        <w:ind w:firstLine="0"/>
        <w:rPr>
          <w:rFonts w:cs="Times New Roman"/>
          <w:color w:val="0000FF"/>
        </w:rPr>
      </w:pPr>
      <w:r w:rsidRPr="003165B5">
        <w:rPr>
          <w:rFonts w:cs="Times New Roman"/>
          <w:b/>
          <w:color w:val="0000FF"/>
        </w:rPr>
        <w:t>Methods:</w:t>
      </w:r>
      <w:r w:rsidRPr="003165B5">
        <w:rPr>
          <w:rFonts w:cs="Times New Roman"/>
          <w:color w:val="0000FF"/>
        </w:rPr>
        <w:t xml:space="preserve">  One hundred and eighty-two patients (117 men, age 65 ± 13 years) on regular HD treatment for at least </w:t>
      </w:r>
      <w:r>
        <w:rPr>
          <w:rFonts w:cs="Times New Roman"/>
          <w:color w:val="0000FF"/>
        </w:rPr>
        <w:t>six</w:t>
      </w:r>
      <w:r w:rsidRPr="003165B5">
        <w:rPr>
          <w:rFonts w:cs="Times New Roman"/>
          <w:color w:val="0000FF"/>
        </w:rPr>
        <w:t xml:space="preserve"> months [median 48 months (range: 6–366)] were followed from January 1, 2008 to December 31, 2010.  Eighty-four patients (46%) did not achieve their prescribed dry body weight (</w:t>
      </w:r>
      <w:proofErr w:type="spellStart"/>
      <w:r w:rsidRPr="003165B5">
        <w:rPr>
          <w:rFonts w:cs="Times New Roman"/>
          <w:color w:val="0000FF"/>
        </w:rPr>
        <w:t>dBW</w:t>
      </w:r>
      <w:proofErr w:type="spellEnd"/>
      <w:r w:rsidRPr="003165B5">
        <w:rPr>
          <w:rFonts w:cs="Times New Roman"/>
          <w:color w:val="0000FF"/>
        </w:rPr>
        <w:t xml:space="preserve">); their median </w:t>
      </w:r>
      <w:proofErr w:type="spellStart"/>
      <w:r w:rsidRPr="003165B5">
        <w:rPr>
          <w:rFonts w:cs="Times New Roman"/>
          <w:color w:val="0000FF"/>
        </w:rPr>
        <w:t>edOW</w:t>
      </w:r>
      <w:proofErr w:type="spellEnd"/>
      <w:r w:rsidRPr="003165B5">
        <w:rPr>
          <w:rFonts w:cs="Times New Roman"/>
          <w:color w:val="0000FF"/>
        </w:rPr>
        <w:t xml:space="preserve"> was 0.4 kg (range: 0.1–1.4).  Ninety-eight died during observation, mainly from cardiovascular reasons (69%).  Multivariate Cox regression analysis was utilized to evaluate the effect </w:t>
      </w:r>
      <w:proofErr w:type="spellStart"/>
      <w:r w:rsidRPr="003165B5">
        <w:rPr>
          <w:rFonts w:cs="Times New Roman"/>
          <w:color w:val="0000FF"/>
        </w:rPr>
        <w:t>edOW</w:t>
      </w:r>
      <w:proofErr w:type="spellEnd"/>
      <w:r w:rsidRPr="003165B5">
        <w:rPr>
          <w:rFonts w:cs="Times New Roman"/>
          <w:color w:val="0000FF"/>
        </w:rPr>
        <w:t xml:space="preserve">, ultrafiltration rate (UFR), </w:t>
      </w:r>
      <w:proofErr w:type="spellStart"/>
      <w:r w:rsidRPr="003165B5">
        <w:rPr>
          <w:rFonts w:cs="Times New Roman"/>
          <w:color w:val="0000FF"/>
        </w:rPr>
        <w:lastRenderedPageBreak/>
        <w:t>interdialytic</w:t>
      </w:r>
      <w:proofErr w:type="spellEnd"/>
      <w:r w:rsidRPr="003165B5">
        <w:rPr>
          <w:rFonts w:cs="Times New Roman"/>
          <w:color w:val="0000FF"/>
        </w:rPr>
        <w:t xml:space="preserve"> weight gain (IDWG), age, sex, </w:t>
      </w:r>
      <w:proofErr w:type="spellStart"/>
      <w:r w:rsidRPr="003165B5">
        <w:rPr>
          <w:rFonts w:cs="Times New Roman"/>
          <w:color w:val="0000FF"/>
        </w:rPr>
        <w:t>dialytic</w:t>
      </w:r>
      <w:proofErr w:type="spellEnd"/>
      <w:r w:rsidRPr="003165B5">
        <w:rPr>
          <w:rFonts w:cs="Times New Roman"/>
          <w:color w:val="0000FF"/>
        </w:rPr>
        <w:t xml:space="preserve"> vintage, cardiovascular disease, antihypertensive therapy, diabetes, duration of HD, </w:t>
      </w:r>
      <w:proofErr w:type="spellStart"/>
      <w:r w:rsidRPr="003165B5">
        <w:rPr>
          <w:rFonts w:cs="Times New Roman"/>
          <w:color w:val="0000FF"/>
        </w:rPr>
        <w:t>dBW</w:t>
      </w:r>
      <w:proofErr w:type="spellEnd"/>
      <w:r w:rsidRPr="003165B5">
        <w:rPr>
          <w:rFonts w:cs="Times New Roman"/>
          <w:color w:val="0000FF"/>
        </w:rPr>
        <w:t xml:space="preserve">, BMI, mean arterial blood pressure, </w:t>
      </w:r>
      <w:proofErr w:type="spellStart"/>
      <w:r w:rsidRPr="003165B5">
        <w:rPr>
          <w:rFonts w:cs="Times New Roman"/>
          <w:color w:val="0000FF"/>
        </w:rPr>
        <w:t>Kt</w:t>
      </w:r>
      <w:proofErr w:type="spellEnd"/>
      <w:r w:rsidRPr="003165B5">
        <w:rPr>
          <w:rFonts w:cs="Times New Roman"/>
          <w:color w:val="0000FF"/>
        </w:rPr>
        <w:t>/V, and protein catabolic rate (</w:t>
      </w:r>
      <w:proofErr w:type="spellStart"/>
      <w:r w:rsidRPr="003165B5">
        <w:rPr>
          <w:rFonts w:cs="Times New Roman"/>
          <w:color w:val="0000FF"/>
        </w:rPr>
        <w:t>PCRn</w:t>
      </w:r>
      <w:proofErr w:type="spellEnd"/>
      <w:r w:rsidRPr="003165B5">
        <w:rPr>
          <w:rFonts w:cs="Times New Roman"/>
          <w:color w:val="0000FF"/>
        </w:rPr>
        <w:t xml:space="preserve">) had on mortality.  </w:t>
      </w:r>
    </w:p>
    <w:p w14:paraId="36A31F10" w14:textId="77777777" w:rsidR="00D144A6" w:rsidRPr="003165B5" w:rsidRDefault="00D144A6" w:rsidP="00C04129">
      <w:pPr>
        <w:autoSpaceDE w:val="0"/>
        <w:autoSpaceDN w:val="0"/>
        <w:adjustRightInd w:val="0"/>
        <w:spacing w:after="120"/>
        <w:ind w:firstLine="0"/>
        <w:rPr>
          <w:rFonts w:cs="Times New Roman"/>
          <w:color w:val="0000FF"/>
        </w:rPr>
      </w:pPr>
      <w:r w:rsidRPr="003165B5">
        <w:rPr>
          <w:rFonts w:cs="Times New Roman"/>
          <w:b/>
          <w:color w:val="0000FF"/>
        </w:rPr>
        <w:t>Results:</w:t>
      </w:r>
      <w:r w:rsidRPr="003165B5">
        <w:rPr>
          <w:rFonts w:cs="Times New Roman"/>
          <w:color w:val="0000FF"/>
        </w:rPr>
        <w:t xml:space="preserve">  Age (HR: 1.04; CI: 1.03–1.05; p &lt;0.0001), IDWG (HR: 2.62; CI: 2.06–3.34; p &lt; 0.01), UFR (HR: 1.13; CI: 1.09–1.16; p&lt; 0.01), </w:t>
      </w:r>
      <w:proofErr w:type="spellStart"/>
      <w:r w:rsidRPr="003165B5">
        <w:rPr>
          <w:rFonts w:cs="Times New Roman"/>
          <w:color w:val="0000FF"/>
        </w:rPr>
        <w:t>PCRn</w:t>
      </w:r>
      <w:proofErr w:type="spellEnd"/>
      <w:r w:rsidRPr="003165B5">
        <w:rPr>
          <w:rFonts w:cs="Times New Roman"/>
          <w:color w:val="0000FF"/>
        </w:rPr>
        <w:t xml:space="preserve"> (HR: 0.02; CI: 0.01–0.04; p &lt;0.001), and </w:t>
      </w:r>
      <w:proofErr w:type="spellStart"/>
      <w:r w:rsidRPr="003165B5">
        <w:rPr>
          <w:rFonts w:cs="Times New Roman"/>
          <w:color w:val="0000FF"/>
        </w:rPr>
        <w:t>edOW</w:t>
      </w:r>
      <w:proofErr w:type="spellEnd"/>
      <w:r w:rsidRPr="003165B5">
        <w:rPr>
          <w:rFonts w:cs="Times New Roman"/>
          <w:color w:val="0000FF"/>
        </w:rPr>
        <w:t xml:space="preserve"> (HR: 2.71; CI: 1.95–3.75; p &lt; 0.02) were independently correlated to survival.  The relative receiver operating characteristic curve identified a cutoff value of 0.3 kg for </w:t>
      </w:r>
      <w:proofErr w:type="spellStart"/>
      <w:r w:rsidRPr="003165B5">
        <w:rPr>
          <w:rFonts w:cs="Times New Roman"/>
          <w:color w:val="0000FF"/>
        </w:rPr>
        <w:t>edOW</w:t>
      </w:r>
      <w:proofErr w:type="spellEnd"/>
      <w:r w:rsidRPr="003165B5">
        <w:rPr>
          <w:rFonts w:cs="Times New Roman"/>
          <w:color w:val="0000FF"/>
        </w:rPr>
        <w:t xml:space="preserve"> in predicting death.  </w:t>
      </w:r>
    </w:p>
    <w:p w14:paraId="2AEB6EA6" w14:textId="77777777" w:rsidR="00D144A6" w:rsidRDefault="00D144A6" w:rsidP="00C04129">
      <w:pPr>
        <w:autoSpaceDE w:val="0"/>
        <w:autoSpaceDN w:val="0"/>
        <w:adjustRightInd w:val="0"/>
        <w:ind w:firstLine="0"/>
        <w:rPr>
          <w:rFonts w:cs="Times New Roman"/>
          <w:color w:val="0000FF"/>
        </w:rPr>
      </w:pPr>
      <w:r w:rsidRPr="003165B5">
        <w:rPr>
          <w:rFonts w:cs="Times New Roman"/>
          <w:b/>
          <w:color w:val="0000FF"/>
        </w:rPr>
        <w:t>Conclusions:</w:t>
      </w:r>
      <w:r w:rsidRPr="003165B5">
        <w:rPr>
          <w:rFonts w:cs="Times New Roman"/>
          <w:color w:val="0000FF"/>
        </w:rPr>
        <w:t xml:space="preserve">  High </w:t>
      </w:r>
      <w:proofErr w:type="spellStart"/>
      <w:r w:rsidRPr="003165B5">
        <w:rPr>
          <w:rFonts w:cs="Times New Roman"/>
          <w:color w:val="0000FF"/>
        </w:rPr>
        <w:t>edOW</w:t>
      </w:r>
      <w:proofErr w:type="spellEnd"/>
      <w:r w:rsidRPr="003165B5">
        <w:rPr>
          <w:rFonts w:cs="Times New Roman"/>
          <w:color w:val="0000FF"/>
        </w:rPr>
        <w:t xml:space="preserve"> is independently associated with an increased long-term risk of all-cause and cardiovascular mortality in HD patients.  Better survival was observed in patients with </w:t>
      </w:r>
      <w:proofErr w:type="spellStart"/>
      <w:r w:rsidRPr="003165B5">
        <w:rPr>
          <w:rFonts w:cs="Times New Roman"/>
          <w:color w:val="0000FF"/>
        </w:rPr>
        <w:t>edOW</w:t>
      </w:r>
      <w:proofErr w:type="spellEnd"/>
      <w:r w:rsidRPr="003165B5">
        <w:rPr>
          <w:rFonts w:cs="Times New Roman"/>
          <w:color w:val="0000FF"/>
        </w:rPr>
        <w:t xml:space="preserve"> &lt;0.3 kg.  For patients with higher </w:t>
      </w:r>
      <w:proofErr w:type="spellStart"/>
      <w:r w:rsidRPr="003165B5">
        <w:rPr>
          <w:rFonts w:cs="Times New Roman"/>
          <w:color w:val="0000FF"/>
        </w:rPr>
        <w:t>edOW</w:t>
      </w:r>
      <w:proofErr w:type="spellEnd"/>
      <w:r w:rsidRPr="003165B5">
        <w:rPr>
          <w:rFonts w:cs="Times New Roman"/>
          <w:color w:val="0000FF"/>
        </w:rPr>
        <w:t xml:space="preserve">, longer or more frequent dialysis sessions should be considered in order to prevent the deleterious consequences of </w:t>
      </w:r>
      <w:r>
        <w:rPr>
          <w:rFonts w:cs="Times New Roman"/>
          <w:color w:val="0000FF"/>
        </w:rPr>
        <w:t>excessive body fluid expansion.</w:t>
      </w:r>
    </w:p>
    <w:p w14:paraId="250094DF" w14:textId="77777777" w:rsidR="00D144A6" w:rsidRPr="00716696" w:rsidRDefault="00D144A6" w:rsidP="00D144A6">
      <w:pPr>
        <w:autoSpaceDE w:val="0"/>
        <w:autoSpaceDN w:val="0"/>
        <w:adjustRightInd w:val="0"/>
        <w:rPr>
          <w:rFonts w:cs="Times New Roman"/>
          <w:color w:val="0000FF"/>
        </w:rPr>
      </w:pPr>
    </w:p>
    <w:p w14:paraId="225BFC31" w14:textId="77777777" w:rsidR="00D144A6" w:rsidRPr="003165B5" w:rsidRDefault="00D144A6" w:rsidP="00D144A6">
      <w:pPr>
        <w:pStyle w:val="ListParagraph"/>
        <w:numPr>
          <w:ilvl w:val="0"/>
          <w:numId w:val="9"/>
        </w:numPr>
        <w:tabs>
          <w:tab w:val="left" w:pos="0"/>
        </w:tabs>
        <w:spacing w:after="120" w:line="240" w:lineRule="auto"/>
        <w:rPr>
          <w:rFonts w:cs="Times New Roman"/>
          <w:b/>
          <w:color w:val="0000FF"/>
        </w:rPr>
      </w:pPr>
      <w:proofErr w:type="spellStart"/>
      <w:r w:rsidRPr="003165B5">
        <w:rPr>
          <w:rFonts w:cs="Times New Roman"/>
          <w:b/>
          <w:color w:val="0000FF"/>
        </w:rPr>
        <w:t>Hecking</w:t>
      </w:r>
      <w:proofErr w:type="spellEnd"/>
      <w:r w:rsidRPr="003165B5">
        <w:rPr>
          <w:rFonts w:cs="Times New Roman"/>
          <w:b/>
          <w:color w:val="0000FF"/>
        </w:rPr>
        <w:t xml:space="preserve"> M, </w:t>
      </w:r>
      <w:proofErr w:type="spellStart"/>
      <w:r w:rsidRPr="003165B5">
        <w:rPr>
          <w:rFonts w:cs="Times New Roman"/>
          <w:b/>
          <w:color w:val="0000FF"/>
        </w:rPr>
        <w:t>Karaboyas</w:t>
      </w:r>
      <w:proofErr w:type="spellEnd"/>
      <w:r w:rsidRPr="003165B5">
        <w:rPr>
          <w:rFonts w:cs="Times New Roman"/>
          <w:b/>
          <w:color w:val="0000FF"/>
        </w:rPr>
        <w:t xml:space="preserve"> A, </w:t>
      </w:r>
      <w:proofErr w:type="spellStart"/>
      <w:r w:rsidRPr="003165B5">
        <w:rPr>
          <w:rFonts w:cs="Times New Roman"/>
          <w:b/>
          <w:color w:val="0000FF"/>
        </w:rPr>
        <w:t>Antlanger</w:t>
      </w:r>
      <w:proofErr w:type="spellEnd"/>
      <w:r w:rsidRPr="003165B5">
        <w:rPr>
          <w:rFonts w:cs="Times New Roman"/>
          <w:b/>
          <w:color w:val="0000FF"/>
        </w:rPr>
        <w:t xml:space="preserve"> M, et al.  </w:t>
      </w:r>
      <w:r w:rsidRPr="003165B5">
        <w:rPr>
          <w:b/>
          <w:color w:val="0000FF"/>
        </w:rPr>
        <w:t xml:space="preserve">Significance of </w:t>
      </w:r>
      <w:proofErr w:type="spellStart"/>
      <w:r w:rsidRPr="003165B5">
        <w:rPr>
          <w:b/>
          <w:color w:val="0000FF"/>
        </w:rPr>
        <w:t>interdialytic</w:t>
      </w:r>
      <w:proofErr w:type="spellEnd"/>
      <w:r w:rsidRPr="003165B5">
        <w:rPr>
          <w:b/>
          <w:color w:val="0000FF"/>
        </w:rPr>
        <w:t xml:space="preserve"> </w:t>
      </w:r>
      <w:r w:rsidRPr="003165B5">
        <w:rPr>
          <w:rStyle w:val="highlight"/>
          <w:b/>
          <w:color w:val="0000FF"/>
        </w:rPr>
        <w:t>weight gain</w:t>
      </w:r>
      <w:r w:rsidRPr="003165B5">
        <w:rPr>
          <w:b/>
          <w:color w:val="0000FF"/>
        </w:rPr>
        <w:t xml:space="preserve"> versus chronic volume overload:  Consensus opinion.  </w:t>
      </w:r>
      <w:r w:rsidRPr="003165B5">
        <w:rPr>
          <w:b/>
          <w:i/>
          <w:color w:val="0000FF"/>
        </w:rPr>
        <w:t xml:space="preserve">Am J </w:t>
      </w:r>
      <w:proofErr w:type="spellStart"/>
      <w:proofErr w:type="gramStart"/>
      <w:r w:rsidRPr="003165B5">
        <w:rPr>
          <w:b/>
          <w:i/>
          <w:color w:val="0000FF"/>
        </w:rPr>
        <w:t>Nephrol</w:t>
      </w:r>
      <w:proofErr w:type="spellEnd"/>
      <w:r w:rsidRPr="003165B5">
        <w:rPr>
          <w:b/>
          <w:i/>
          <w:color w:val="0000FF"/>
        </w:rPr>
        <w:t>.</w:t>
      </w:r>
      <w:proofErr w:type="gramEnd"/>
      <w:r w:rsidRPr="003165B5">
        <w:rPr>
          <w:b/>
          <w:color w:val="0000FF"/>
        </w:rPr>
        <w:t xml:space="preserve">  2013</w:t>
      </w:r>
      <w:proofErr w:type="gramStart"/>
      <w:r w:rsidRPr="003165B5">
        <w:rPr>
          <w:b/>
          <w:color w:val="0000FF"/>
        </w:rPr>
        <w:t>;38</w:t>
      </w:r>
      <w:proofErr w:type="gramEnd"/>
      <w:r w:rsidRPr="003165B5">
        <w:rPr>
          <w:b/>
          <w:color w:val="0000FF"/>
        </w:rPr>
        <w:t xml:space="preserve">(1)78-90.  </w:t>
      </w:r>
    </w:p>
    <w:p w14:paraId="3DE69AB9" w14:textId="77777777" w:rsidR="00D144A6" w:rsidRDefault="00D144A6" w:rsidP="00C04129">
      <w:pPr>
        <w:ind w:firstLine="0"/>
        <w:rPr>
          <w:color w:val="0000FF"/>
        </w:rPr>
      </w:pPr>
      <w:r w:rsidRPr="003165B5">
        <w:rPr>
          <w:rFonts w:cs="Times New Roman"/>
          <w:b/>
          <w:color w:val="0000FF"/>
        </w:rPr>
        <w:t>Abstract:</w:t>
      </w:r>
      <w:r w:rsidRPr="003165B5">
        <w:rPr>
          <w:rFonts w:cs="Times New Roman"/>
          <w:color w:val="0000FF"/>
        </w:rPr>
        <w:t xml:space="preserve">  </w:t>
      </w:r>
      <w:proofErr w:type="spellStart"/>
      <w:r w:rsidRPr="003165B5">
        <w:rPr>
          <w:color w:val="0000FF"/>
        </w:rPr>
        <w:t>Predialysis</w:t>
      </w:r>
      <w:proofErr w:type="spellEnd"/>
      <w:r w:rsidRPr="003165B5">
        <w:rPr>
          <w:color w:val="0000FF"/>
        </w:rPr>
        <w:t xml:space="preserve"> volume overload is the sum of </w:t>
      </w:r>
      <w:proofErr w:type="spellStart"/>
      <w:r w:rsidRPr="003165B5">
        <w:rPr>
          <w:color w:val="0000FF"/>
        </w:rPr>
        <w:t>interdialytic</w:t>
      </w:r>
      <w:proofErr w:type="spellEnd"/>
      <w:r w:rsidRPr="003165B5">
        <w:rPr>
          <w:color w:val="0000FF"/>
        </w:rPr>
        <w:t xml:space="preserve"> </w:t>
      </w:r>
      <w:r w:rsidRPr="003165B5">
        <w:rPr>
          <w:rStyle w:val="highlight"/>
          <w:color w:val="0000FF"/>
        </w:rPr>
        <w:t>weight gain</w:t>
      </w:r>
      <w:r w:rsidRPr="003165B5">
        <w:rPr>
          <w:color w:val="0000FF"/>
        </w:rPr>
        <w:t xml:space="preserve"> (IDWG) and residual </w:t>
      </w:r>
      <w:proofErr w:type="spellStart"/>
      <w:r w:rsidRPr="003165B5">
        <w:rPr>
          <w:color w:val="0000FF"/>
        </w:rPr>
        <w:t>postdialysis</w:t>
      </w:r>
      <w:proofErr w:type="spellEnd"/>
      <w:r w:rsidRPr="003165B5">
        <w:rPr>
          <w:color w:val="0000FF"/>
        </w:rPr>
        <w:t xml:space="preserve"> volume overload.  It results mostly from failure to achieve an adequate volume status at the end of the </w:t>
      </w:r>
      <w:r w:rsidRPr="003165B5">
        <w:rPr>
          <w:rStyle w:val="highlight"/>
          <w:color w:val="0000FF"/>
        </w:rPr>
        <w:t>dialysis</w:t>
      </w:r>
      <w:r w:rsidRPr="003165B5">
        <w:rPr>
          <w:color w:val="0000FF"/>
        </w:rPr>
        <w:t xml:space="preserve"> session.  Recent developments in </w:t>
      </w:r>
      <w:proofErr w:type="spellStart"/>
      <w:r w:rsidRPr="003165B5">
        <w:rPr>
          <w:color w:val="0000FF"/>
        </w:rPr>
        <w:t>bioimpedance</w:t>
      </w:r>
      <w:proofErr w:type="spellEnd"/>
      <w:r w:rsidRPr="003165B5">
        <w:rPr>
          <w:color w:val="0000FF"/>
        </w:rPr>
        <w:t xml:space="preserve"> spectroscopy and possibly relative plasma volume monitoring permit noninvasive volume status assessment in hemodialysis patients.  A large proportion of patients have previously been shown to be chronically volume overloaded </w:t>
      </w:r>
      <w:proofErr w:type="spellStart"/>
      <w:r w:rsidRPr="003165B5">
        <w:rPr>
          <w:color w:val="0000FF"/>
        </w:rPr>
        <w:t>predialysis</w:t>
      </w:r>
      <w:proofErr w:type="spellEnd"/>
      <w:r w:rsidRPr="003165B5">
        <w:rPr>
          <w:color w:val="0000FF"/>
        </w:rPr>
        <w:t xml:space="preserve"> (defined as &gt;15% above 'normal' extracellular fluid volume, equivalent to &gt;2.5 liters on average), and to exhibit a more than twofold increased </w:t>
      </w:r>
      <w:r w:rsidRPr="003165B5">
        <w:rPr>
          <w:rStyle w:val="highlight"/>
          <w:color w:val="0000FF"/>
        </w:rPr>
        <w:t>mortality</w:t>
      </w:r>
      <w:r w:rsidRPr="003165B5">
        <w:rPr>
          <w:color w:val="0000FF"/>
        </w:rPr>
        <w:t xml:space="preserve"> risk.  By contrast, the magnitude of the </w:t>
      </w:r>
      <w:r w:rsidRPr="003165B5">
        <w:rPr>
          <w:rStyle w:val="highlight"/>
          <w:color w:val="0000FF"/>
        </w:rPr>
        <w:t>mortality</w:t>
      </w:r>
      <w:r w:rsidRPr="003165B5">
        <w:rPr>
          <w:color w:val="0000FF"/>
        </w:rPr>
        <w:t xml:space="preserve"> risk associated with IDWG is much smaller and only evident with very large </w:t>
      </w:r>
      <w:r w:rsidRPr="003165B5">
        <w:rPr>
          <w:rStyle w:val="highlight"/>
          <w:color w:val="0000FF"/>
        </w:rPr>
        <w:t>weight</w:t>
      </w:r>
      <w:r w:rsidRPr="003165B5">
        <w:rPr>
          <w:color w:val="0000FF"/>
        </w:rPr>
        <w:t xml:space="preserve"> gains.  Here the authors review the available evidence on volume overload and IDWG, and question the use of IDWG as an indicator of '</w:t>
      </w:r>
      <w:proofErr w:type="spellStart"/>
      <w:r w:rsidRPr="003165B5">
        <w:rPr>
          <w:color w:val="0000FF"/>
        </w:rPr>
        <w:t>nonadherence</w:t>
      </w:r>
      <w:proofErr w:type="spellEnd"/>
      <w:r w:rsidRPr="003165B5">
        <w:rPr>
          <w:color w:val="0000FF"/>
        </w:rPr>
        <w:t xml:space="preserve">' by describing its association with </w:t>
      </w:r>
      <w:proofErr w:type="spellStart"/>
      <w:r w:rsidRPr="003165B5">
        <w:rPr>
          <w:color w:val="0000FF"/>
        </w:rPr>
        <w:t>postdialysis</w:t>
      </w:r>
      <w:proofErr w:type="spellEnd"/>
      <w:r w:rsidRPr="003165B5">
        <w:rPr>
          <w:color w:val="0000FF"/>
        </w:rPr>
        <w:t xml:space="preserve"> volume depletion.  The authors also demonstrate the relationship between IDWG, volume overload, and </w:t>
      </w:r>
      <w:proofErr w:type="spellStart"/>
      <w:r w:rsidRPr="003165B5">
        <w:rPr>
          <w:color w:val="0000FF"/>
        </w:rPr>
        <w:t>predialysis</w:t>
      </w:r>
      <w:proofErr w:type="spellEnd"/>
      <w:r w:rsidRPr="003165B5">
        <w:rPr>
          <w:color w:val="0000FF"/>
        </w:rPr>
        <w:t xml:space="preserve"> serum sodium concentration, and comment on salt intake, and conclude that discriminating between volume overload and IDWG will likely lead to a more appropriate management of fluid withdrawal during </w:t>
      </w:r>
      <w:r w:rsidRPr="003165B5">
        <w:rPr>
          <w:rStyle w:val="highlight"/>
          <w:color w:val="0000FF"/>
        </w:rPr>
        <w:t>dialysis</w:t>
      </w:r>
      <w:r w:rsidRPr="003165B5">
        <w:rPr>
          <w:color w:val="0000FF"/>
        </w:rPr>
        <w:t xml:space="preserve">.  </w:t>
      </w:r>
      <w:r>
        <w:rPr>
          <w:color w:val="0000FF"/>
        </w:rPr>
        <w:t>By consensus</w:t>
      </w:r>
      <w:r w:rsidRPr="003165B5">
        <w:rPr>
          <w:color w:val="0000FF"/>
        </w:rPr>
        <w:t xml:space="preserve">, the authors agreed that this discrimination should be among the primary goals for </w:t>
      </w:r>
      <w:r w:rsidRPr="003165B5">
        <w:rPr>
          <w:rStyle w:val="highlight"/>
          <w:color w:val="0000FF"/>
        </w:rPr>
        <w:t>dialysis</w:t>
      </w:r>
      <w:r w:rsidRPr="003165B5">
        <w:rPr>
          <w:color w:val="0000FF"/>
        </w:rPr>
        <w:t xml:space="preserve"> caretakers today and consequently recommended objective measures of volume status b</w:t>
      </w:r>
      <w:r>
        <w:rPr>
          <w:color w:val="0000FF"/>
        </w:rPr>
        <w:t>eyond mere evaluations of IDWG.</w:t>
      </w:r>
    </w:p>
    <w:p w14:paraId="52CA8A84" w14:textId="77777777" w:rsidR="00D144A6" w:rsidRPr="00716696" w:rsidRDefault="00D144A6" w:rsidP="00D144A6">
      <w:pPr>
        <w:rPr>
          <w:color w:val="0000FF"/>
        </w:rPr>
      </w:pPr>
    </w:p>
    <w:p w14:paraId="3F30C597" w14:textId="77777777" w:rsidR="00D144A6" w:rsidRPr="003165B5" w:rsidRDefault="00D144A6" w:rsidP="00D144A6">
      <w:pPr>
        <w:pStyle w:val="Heading1"/>
        <w:numPr>
          <w:ilvl w:val="0"/>
          <w:numId w:val="9"/>
        </w:numPr>
        <w:spacing w:before="0" w:after="120"/>
        <w:rPr>
          <w:rFonts w:asciiTheme="minorHAnsi" w:eastAsia="Times New Roman" w:hAnsiTheme="minorHAnsi" w:cs="Times New Roman"/>
          <w:color w:val="0000FF"/>
          <w:sz w:val="22"/>
          <w:szCs w:val="22"/>
        </w:rPr>
      </w:pPr>
      <w:proofErr w:type="spellStart"/>
      <w:r w:rsidRPr="003165B5">
        <w:rPr>
          <w:rFonts w:asciiTheme="minorHAnsi" w:eastAsia="Times New Roman" w:hAnsiTheme="minorHAnsi" w:cs="Times New Roman"/>
          <w:color w:val="0000FF"/>
          <w:sz w:val="22"/>
          <w:szCs w:val="22"/>
        </w:rPr>
        <w:t>Agarwal</w:t>
      </w:r>
      <w:proofErr w:type="spellEnd"/>
      <w:r w:rsidRPr="003165B5">
        <w:rPr>
          <w:rFonts w:asciiTheme="minorHAnsi" w:eastAsia="Times New Roman" w:hAnsiTheme="minorHAnsi" w:cs="Times New Roman"/>
          <w:color w:val="0000FF"/>
          <w:sz w:val="22"/>
          <w:szCs w:val="22"/>
        </w:rPr>
        <w:t xml:space="preserve"> R.  Hypervolemia is associated with increased mortality among hemodialysis patients.  </w:t>
      </w:r>
      <w:r w:rsidRPr="003165B5">
        <w:rPr>
          <w:rFonts w:asciiTheme="minorHAnsi" w:eastAsia="Times New Roman" w:hAnsiTheme="minorHAnsi" w:cs="Times New Roman"/>
          <w:i/>
          <w:color w:val="0000FF"/>
          <w:sz w:val="22"/>
          <w:szCs w:val="22"/>
        </w:rPr>
        <w:t>Hypertension.</w:t>
      </w:r>
      <w:r w:rsidRPr="003165B5">
        <w:rPr>
          <w:rFonts w:asciiTheme="minorHAnsi" w:eastAsia="Times New Roman" w:hAnsiTheme="minorHAnsi" w:cs="Times New Roman"/>
          <w:color w:val="0000FF"/>
          <w:sz w:val="22"/>
          <w:szCs w:val="22"/>
        </w:rPr>
        <w:t xml:space="preserve">  2010</w:t>
      </w:r>
      <w:proofErr w:type="gramStart"/>
      <w:r w:rsidRPr="003165B5">
        <w:rPr>
          <w:rFonts w:asciiTheme="minorHAnsi" w:eastAsia="Times New Roman" w:hAnsiTheme="minorHAnsi" w:cs="Times New Roman"/>
          <w:color w:val="0000FF"/>
          <w:sz w:val="22"/>
          <w:szCs w:val="22"/>
        </w:rPr>
        <w:t>;56</w:t>
      </w:r>
      <w:proofErr w:type="gramEnd"/>
      <w:r w:rsidRPr="003165B5">
        <w:rPr>
          <w:rFonts w:asciiTheme="minorHAnsi" w:eastAsia="Times New Roman" w:hAnsiTheme="minorHAnsi" w:cs="Times New Roman"/>
          <w:color w:val="0000FF"/>
          <w:sz w:val="22"/>
          <w:szCs w:val="22"/>
        </w:rPr>
        <w:t>(3):512-517.</w:t>
      </w:r>
    </w:p>
    <w:p w14:paraId="4D191150" w14:textId="77777777" w:rsidR="00D144A6" w:rsidRPr="003165B5" w:rsidRDefault="00D144A6" w:rsidP="00D144A6">
      <w:pPr>
        <w:pStyle w:val="NormalWeb"/>
        <w:tabs>
          <w:tab w:val="left" w:pos="270"/>
        </w:tabs>
        <w:spacing w:before="0" w:beforeAutospacing="0" w:after="0" w:afterAutospacing="0"/>
        <w:ind w:left="360"/>
        <w:rPr>
          <w:rFonts w:asciiTheme="minorHAnsi" w:hAnsiTheme="minorHAnsi"/>
          <w:sz w:val="22"/>
          <w:szCs w:val="22"/>
        </w:rPr>
      </w:pPr>
      <w:r w:rsidRPr="003165B5">
        <w:rPr>
          <w:rFonts w:asciiTheme="minorHAnsi" w:hAnsiTheme="minorHAnsi"/>
          <w:b/>
          <w:color w:val="0000FF"/>
          <w:sz w:val="22"/>
          <w:szCs w:val="22"/>
        </w:rPr>
        <w:t>Abstract:</w:t>
      </w:r>
      <w:r w:rsidRPr="003165B5">
        <w:rPr>
          <w:rFonts w:asciiTheme="minorHAnsi" w:hAnsiTheme="minorHAnsi"/>
          <w:color w:val="0000FF"/>
          <w:sz w:val="22"/>
          <w:szCs w:val="22"/>
        </w:rPr>
        <w:t xml:space="preserve">  Among chronic hemodialysis patients, 217 hospitalizations per 1</w:t>
      </w:r>
      <w:r>
        <w:rPr>
          <w:rFonts w:asciiTheme="minorHAnsi" w:hAnsiTheme="minorHAnsi"/>
          <w:color w:val="0000FF"/>
          <w:sz w:val="22"/>
          <w:szCs w:val="22"/>
        </w:rPr>
        <w:t>,</w:t>
      </w:r>
      <w:r w:rsidRPr="003165B5">
        <w:rPr>
          <w:rFonts w:asciiTheme="minorHAnsi" w:hAnsiTheme="minorHAnsi"/>
          <w:color w:val="0000FF"/>
          <w:sz w:val="22"/>
          <w:szCs w:val="22"/>
        </w:rPr>
        <w:t xml:space="preserve">000 patient-years are attributed to congestive heart failure; some are attributable to unrecognized hypervolemia.  Hypervolemia can be detected by relative plasma volume (RPV) monitoring.  The purpose of this study was to examine among 308 patients on long-term hemodialysis the value of slope of RPV compared with either ultrafiltration (UF) volume or UF rate index in determining all-cause mortality.  RPV slopes were calculated by least-squares regression.  These slopes were related to all-cause mortality in unadjusted and adjusted Cox proportional hazards models.  Over a median follow-up of 30 months (interquartile range: 14 to 54 months) 96 patients (31%) died, yielding a crude mortality rate of 113/1000 patient-years.  We found the following:  (1) RPV slope measurements were of prognostic significance (hazard ratio of flatter slopes [&gt;1.39%/h]:  1.72; P=0.01); (2) the UF volume alone was not </w:t>
      </w:r>
      <w:proofErr w:type="spellStart"/>
      <w:r w:rsidRPr="003165B5">
        <w:rPr>
          <w:rFonts w:asciiTheme="minorHAnsi" w:hAnsiTheme="minorHAnsi"/>
          <w:color w:val="0000FF"/>
          <w:sz w:val="22"/>
          <w:szCs w:val="22"/>
        </w:rPr>
        <w:t>prognostically</w:t>
      </w:r>
      <w:proofErr w:type="spellEnd"/>
      <w:r w:rsidRPr="003165B5">
        <w:rPr>
          <w:rFonts w:asciiTheme="minorHAnsi" w:hAnsiTheme="minorHAnsi"/>
          <w:color w:val="0000FF"/>
          <w:sz w:val="22"/>
          <w:szCs w:val="22"/>
        </w:rPr>
        <w:t xml:space="preserve"> informative (hazard ratio of higher UF </w:t>
      </w:r>
      <w:r w:rsidRPr="003165B5">
        <w:rPr>
          <w:rFonts w:asciiTheme="minorHAnsi" w:hAnsiTheme="minorHAnsi"/>
          <w:color w:val="0000FF"/>
          <w:sz w:val="22"/>
          <w:szCs w:val="22"/>
        </w:rPr>
        <w:lastRenderedPageBreak/>
        <w:t xml:space="preserve">volume [&gt;2.7 L of dialysis]:  0.78; P=0.23); (3) the UF rate index alone was also not </w:t>
      </w:r>
      <w:proofErr w:type="spellStart"/>
      <w:r w:rsidRPr="003165B5">
        <w:rPr>
          <w:rFonts w:asciiTheme="minorHAnsi" w:hAnsiTheme="minorHAnsi"/>
          <w:color w:val="0000FF"/>
          <w:sz w:val="22"/>
          <w:szCs w:val="22"/>
        </w:rPr>
        <w:t>prognostically</w:t>
      </w:r>
      <w:proofErr w:type="spellEnd"/>
      <w:r w:rsidRPr="003165B5">
        <w:rPr>
          <w:rFonts w:asciiTheme="minorHAnsi" w:hAnsiTheme="minorHAnsi"/>
          <w:color w:val="0000FF"/>
          <w:sz w:val="22"/>
          <w:szCs w:val="22"/>
        </w:rPr>
        <w:t xml:space="preserve"> informative (hazard ratio of higher UF rate index [&gt;8.4 mL/kg per hour]:  0.89; P=0.6); and (4) the prognostic relationship of RPV slope to mortality was independent of conventional and unconventional cardiovascular risk factors including the UF volume, UF rate, or UF volume per kilogram of post-weight.  RPV monitoring yields information that is </w:t>
      </w:r>
      <w:proofErr w:type="spellStart"/>
      <w:r w:rsidRPr="003165B5">
        <w:rPr>
          <w:rFonts w:asciiTheme="minorHAnsi" w:hAnsiTheme="minorHAnsi"/>
          <w:color w:val="0000FF"/>
          <w:sz w:val="22"/>
          <w:szCs w:val="22"/>
        </w:rPr>
        <w:t>prognostically</w:t>
      </w:r>
      <w:proofErr w:type="spellEnd"/>
      <w:r w:rsidRPr="003165B5">
        <w:rPr>
          <w:rFonts w:asciiTheme="minorHAnsi" w:hAnsiTheme="minorHAnsi"/>
          <w:color w:val="0000FF"/>
          <w:sz w:val="22"/>
          <w:szCs w:val="22"/>
        </w:rPr>
        <w:t xml:space="preserve"> important and independent of several risk factors including UF volume, aggressiveness of UF, and </w:t>
      </w:r>
      <w:proofErr w:type="spellStart"/>
      <w:r w:rsidRPr="003165B5">
        <w:rPr>
          <w:rFonts w:asciiTheme="minorHAnsi" w:hAnsiTheme="minorHAnsi"/>
          <w:color w:val="0000FF"/>
          <w:sz w:val="22"/>
          <w:szCs w:val="22"/>
        </w:rPr>
        <w:t>interdialytic</w:t>
      </w:r>
      <w:proofErr w:type="spellEnd"/>
      <w:r w:rsidRPr="003165B5">
        <w:rPr>
          <w:rFonts w:asciiTheme="minorHAnsi" w:hAnsiTheme="minorHAnsi"/>
          <w:color w:val="0000FF"/>
          <w:sz w:val="22"/>
          <w:szCs w:val="22"/>
        </w:rPr>
        <w:t xml:space="preserve"> ambulatory blood pressure.  Its use to assess excess volume-related morbidity among chronic hemodialysis patients should be tested in randomized, controlled trials.</w:t>
      </w:r>
    </w:p>
    <w:p w14:paraId="55BA13A3" w14:textId="77777777" w:rsidR="00D144A6" w:rsidRPr="003165B5" w:rsidRDefault="00D144A6" w:rsidP="00D144A6"/>
    <w:p w14:paraId="5E902B6E" w14:textId="77777777" w:rsidR="00D144A6" w:rsidRPr="003165B5" w:rsidRDefault="00D144A6" w:rsidP="00C04129">
      <w:pPr>
        <w:pStyle w:val="Heading1"/>
        <w:numPr>
          <w:ilvl w:val="0"/>
          <w:numId w:val="9"/>
        </w:numPr>
        <w:spacing w:before="0" w:after="120"/>
        <w:rPr>
          <w:rFonts w:asciiTheme="minorHAnsi" w:hAnsiTheme="minorHAnsi"/>
          <w:color w:val="0000FF"/>
          <w:sz w:val="22"/>
          <w:szCs w:val="22"/>
        </w:rPr>
      </w:pPr>
      <w:proofErr w:type="spellStart"/>
      <w:r w:rsidRPr="003165B5">
        <w:rPr>
          <w:rFonts w:asciiTheme="minorHAnsi" w:hAnsiTheme="minorHAnsi"/>
          <w:color w:val="0000FF"/>
          <w:sz w:val="22"/>
          <w:szCs w:val="22"/>
        </w:rPr>
        <w:t>Agarwal</w:t>
      </w:r>
      <w:proofErr w:type="spellEnd"/>
      <w:r w:rsidRPr="003165B5">
        <w:rPr>
          <w:rFonts w:asciiTheme="minorHAnsi" w:hAnsiTheme="minorHAnsi"/>
          <w:color w:val="0000FF"/>
          <w:sz w:val="22"/>
          <w:szCs w:val="22"/>
        </w:rPr>
        <w:t xml:space="preserve"> R, </w:t>
      </w:r>
      <w:proofErr w:type="spellStart"/>
      <w:r w:rsidRPr="003165B5">
        <w:rPr>
          <w:rFonts w:asciiTheme="minorHAnsi" w:hAnsiTheme="minorHAnsi"/>
          <w:color w:val="0000FF"/>
          <w:sz w:val="22"/>
          <w:szCs w:val="22"/>
        </w:rPr>
        <w:t>Alborzi</w:t>
      </w:r>
      <w:proofErr w:type="spellEnd"/>
      <w:r w:rsidRPr="003165B5">
        <w:rPr>
          <w:rFonts w:asciiTheme="minorHAnsi" w:hAnsiTheme="minorHAnsi"/>
          <w:color w:val="0000FF"/>
          <w:sz w:val="22"/>
          <w:szCs w:val="22"/>
        </w:rPr>
        <w:t xml:space="preserve"> P, </w:t>
      </w:r>
      <w:proofErr w:type="spellStart"/>
      <w:r w:rsidRPr="003165B5">
        <w:rPr>
          <w:rFonts w:asciiTheme="minorHAnsi" w:hAnsiTheme="minorHAnsi"/>
          <w:color w:val="0000FF"/>
          <w:sz w:val="22"/>
          <w:szCs w:val="22"/>
        </w:rPr>
        <w:t>Satyan</w:t>
      </w:r>
      <w:proofErr w:type="spellEnd"/>
      <w:r w:rsidRPr="003165B5">
        <w:rPr>
          <w:rFonts w:asciiTheme="minorHAnsi" w:hAnsiTheme="minorHAnsi"/>
          <w:color w:val="0000FF"/>
          <w:sz w:val="22"/>
          <w:szCs w:val="22"/>
        </w:rPr>
        <w:t xml:space="preserve"> S, and Light RP.  Dry-weight reduction in hypertensive hemodialysis patients (PRIP):  A randomized, controlled trial.  </w:t>
      </w:r>
      <w:r w:rsidRPr="003165B5">
        <w:rPr>
          <w:rFonts w:asciiTheme="minorHAnsi" w:hAnsiTheme="minorHAnsi"/>
          <w:i/>
          <w:color w:val="0000FF"/>
          <w:sz w:val="22"/>
          <w:szCs w:val="22"/>
        </w:rPr>
        <w:t>Hypertension.</w:t>
      </w:r>
      <w:r w:rsidRPr="003165B5">
        <w:rPr>
          <w:rFonts w:asciiTheme="minorHAnsi" w:hAnsiTheme="minorHAnsi"/>
          <w:color w:val="0000FF"/>
          <w:sz w:val="22"/>
          <w:szCs w:val="22"/>
        </w:rPr>
        <w:t xml:space="preserve">  2009</w:t>
      </w:r>
      <w:proofErr w:type="gramStart"/>
      <w:r w:rsidRPr="003165B5">
        <w:rPr>
          <w:rFonts w:asciiTheme="minorHAnsi" w:hAnsiTheme="minorHAnsi"/>
          <w:color w:val="0000FF"/>
          <w:sz w:val="22"/>
          <w:szCs w:val="22"/>
        </w:rPr>
        <w:t>;53</w:t>
      </w:r>
      <w:proofErr w:type="gramEnd"/>
      <w:r w:rsidRPr="003165B5">
        <w:rPr>
          <w:rFonts w:asciiTheme="minorHAnsi" w:hAnsiTheme="minorHAnsi"/>
          <w:color w:val="0000FF"/>
          <w:sz w:val="22"/>
          <w:szCs w:val="22"/>
        </w:rPr>
        <w:t>(3):500-507.</w:t>
      </w:r>
      <w:r>
        <w:rPr>
          <w:rFonts w:asciiTheme="minorHAnsi" w:hAnsiTheme="minorHAnsi"/>
          <w:color w:val="0000FF"/>
          <w:sz w:val="22"/>
          <w:szCs w:val="22"/>
        </w:rPr>
        <w:t xml:space="preserve"> </w:t>
      </w:r>
    </w:p>
    <w:p w14:paraId="5BDF0548" w14:textId="77777777" w:rsidR="00D144A6" w:rsidRPr="003165B5" w:rsidRDefault="00D144A6" w:rsidP="009C347A">
      <w:pPr>
        <w:pStyle w:val="Heading1"/>
        <w:spacing w:before="0"/>
        <w:ind w:firstLine="0"/>
        <w:rPr>
          <w:rFonts w:asciiTheme="minorHAnsi" w:hAnsiTheme="minorHAnsi"/>
          <w:b w:val="0"/>
          <w:color w:val="0000FF"/>
          <w:sz w:val="22"/>
          <w:szCs w:val="22"/>
        </w:rPr>
      </w:pPr>
      <w:r w:rsidRPr="003165B5">
        <w:rPr>
          <w:rFonts w:asciiTheme="minorHAnsi" w:hAnsiTheme="minorHAnsi"/>
          <w:color w:val="0000FF"/>
          <w:sz w:val="22"/>
          <w:szCs w:val="22"/>
        </w:rPr>
        <w:t>Abstract:</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Volume excess is thought to be important in the pathogenesis of hypertension among hemodialysis patients.</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 To determine whether additional volume reduction will result in improvement in blood pressure (BP) among hypertensive patients on hemodialysis and to evaluate the time course of this response, we randomly assigned long-term hypertensive hemodialysis patients to ultrafiltration or control groups.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The additional ultrafiltration group (n=100) had the dry weight probed without increasing time or duration of </w:t>
      </w:r>
      <w:r w:rsidRPr="003165B5">
        <w:rPr>
          <w:rStyle w:val="highlight"/>
          <w:rFonts w:asciiTheme="minorHAnsi" w:eastAsia="Times New Roman" w:hAnsiTheme="minorHAnsi" w:cs="Times New Roman"/>
          <w:b w:val="0"/>
          <w:color w:val="0000FF"/>
          <w:sz w:val="22"/>
          <w:szCs w:val="22"/>
        </w:rPr>
        <w:t>dialysis</w:t>
      </w:r>
      <w:r w:rsidRPr="003165B5">
        <w:rPr>
          <w:rFonts w:asciiTheme="minorHAnsi" w:eastAsia="Times New Roman" w:hAnsiTheme="minorHAnsi" w:cs="Times New Roman"/>
          <w:b w:val="0"/>
          <w:color w:val="0000FF"/>
          <w:sz w:val="22"/>
          <w:szCs w:val="22"/>
        </w:rPr>
        <w:t xml:space="preserve">, whereas the control group (n=50) only had physician visits.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The primary outcome was change in systolic </w:t>
      </w:r>
      <w:proofErr w:type="spellStart"/>
      <w:r w:rsidRPr="003165B5">
        <w:rPr>
          <w:rFonts w:asciiTheme="minorHAnsi" w:eastAsia="Times New Roman" w:hAnsiTheme="minorHAnsi" w:cs="Times New Roman"/>
          <w:b w:val="0"/>
          <w:color w:val="0000FF"/>
          <w:sz w:val="22"/>
          <w:szCs w:val="22"/>
        </w:rPr>
        <w:t>interdialytic</w:t>
      </w:r>
      <w:proofErr w:type="spellEnd"/>
      <w:r w:rsidRPr="003165B5">
        <w:rPr>
          <w:rFonts w:asciiTheme="minorHAnsi" w:eastAsia="Times New Roman" w:hAnsiTheme="minorHAnsi" w:cs="Times New Roman"/>
          <w:b w:val="0"/>
          <w:color w:val="0000FF"/>
          <w:sz w:val="22"/>
          <w:szCs w:val="22"/>
        </w:rPr>
        <w:t xml:space="preserve"> ambulatory BP. </w:t>
      </w:r>
      <w:r w:rsidRPr="003165B5">
        <w:rPr>
          <w:rFonts w:asciiTheme="minorHAnsi" w:hAnsiTheme="minorHAnsi"/>
          <w:b w:val="0"/>
          <w:color w:val="0000FF"/>
          <w:sz w:val="22"/>
          <w:szCs w:val="22"/>
        </w:rPr>
        <w:t xml:space="preserve"> </w:t>
      </w:r>
      <w:proofErr w:type="spellStart"/>
      <w:r w:rsidRPr="003165B5">
        <w:rPr>
          <w:rFonts w:asciiTheme="minorHAnsi" w:eastAsia="Times New Roman" w:hAnsiTheme="minorHAnsi" w:cs="Times New Roman"/>
          <w:b w:val="0"/>
          <w:color w:val="0000FF"/>
          <w:sz w:val="22"/>
          <w:szCs w:val="22"/>
        </w:rPr>
        <w:t>Postdialysis</w:t>
      </w:r>
      <w:proofErr w:type="spellEnd"/>
      <w:r w:rsidRPr="003165B5">
        <w:rPr>
          <w:rFonts w:asciiTheme="minorHAnsi" w:eastAsia="Times New Roman" w:hAnsiTheme="minorHAnsi" w:cs="Times New Roman"/>
          <w:b w:val="0"/>
          <w:color w:val="0000FF"/>
          <w:sz w:val="22"/>
          <w:szCs w:val="22"/>
        </w:rPr>
        <w:t xml:space="preserve"> weight was reduced by 0.9 kg at </w:t>
      </w:r>
      <w:r>
        <w:rPr>
          <w:rFonts w:asciiTheme="minorHAnsi" w:eastAsia="Times New Roman" w:hAnsiTheme="minorHAnsi" w:cs="Times New Roman"/>
          <w:b w:val="0"/>
          <w:color w:val="0000FF"/>
          <w:sz w:val="22"/>
          <w:szCs w:val="22"/>
        </w:rPr>
        <w:t>four</w:t>
      </w:r>
      <w:r w:rsidRPr="003165B5">
        <w:rPr>
          <w:rFonts w:asciiTheme="minorHAnsi" w:eastAsia="Times New Roman" w:hAnsiTheme="minorHAnsi" w:cs="Times New Roman"/>
          <w:b w:val="0"/>
          <w:color w:val="0000FF"/>
          <w:sz w:val="22"/>
          <w:szCs w:val="22"/>
        </w:rPr>
        <w:t xml:space="preserve"> weeks and resulted in -6.9 mm Hg (95% CI: -12.4 to -1.3 mm Hg; P=0.016) change in systolic BP and -3.1 mm Hg (95% CI: -6.2 to -0.02 mm Hg; P=0.048) change in diastolic BP.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At </w:t>
      </w:r>
      <w:r>
        <w:rPr>
          <w:rFonts w:asciiTheme="minorHAnsi" w:eastAsia="Times New Roman" w:hAnsiTheme="minorHAnsi" w:cs="Times New Roman"/>
          <w:b w:val="0"/>
          <w:color w:val="0000FF"/>
          <w:sz w:val="22"/>
          <w:szCs w:val="22"/>
        </w:rPr>
        <w:t>eight</w:t>
      </w:r>
      <w:r w:rsidRPr="003165B5">
        <w:rPr>
          <w:rFonts w:asciiTheme="minorHAnsi" w:eastAsia="Times New Roman" w:hAnsiTheme="minorHAnsi" w:cs="Times New Roman"/>
          <w:b w:val="0"/>
          <w:color w:val="0000FF"/>
          <w:sz w:val="22"/>
          <w:szCs w:val="22"/>
        </w:rPr>
        <w:t xml:space="preserve"> weeks, dry weight was reduced 1 kg, systolic BP changed -6.6 mm Hg (95% CI: -12.2 to -1.0 mm Hg; P=0.021), and diastolic BP changed -3.3 mm Hg (95% CI: -6.4 to -0.2 mm Hg; P=0.037) from baseline.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The Mantel-</w:t>
      </w:r>
      <w:proofErr w:type="spellStart"/>
      <w:r w:rsidRPr="003165B5">
        <w:rPr>
          <w:rFonts w:asciiTheme="minorHAnsi" w:eastAsia="Times New Roman" w:hAnsiTheme="minorHAnsi" w:cs="Times New Roman"/>
          <w:b w:val="0"/>
          <w:color w:val="0000FF"/>
          <w:sz w:val="22"/>
          <w:szCs w:val="22"/>
        </w:rPr>
        <w:t>Hanzel</w:t>
      </w:r>
      <w:proofErr w:type="spellEnd"/>
      <w:r w:rsidRPr="003165B5">
        <w:rPr>
          <w:rFonts w:asciiTheme="minorHAnsi" w:eastAsia="Times New Roman" w:hAnsiTheme="minorHAnsi" w:cs="Times New Roman"/>
          <w:b w:val="0"/>
          <w:color w:val="0000FF"/>
          <w:sz w:val="22"/>
          <w:szCs w:val="22"/>
        </w:rPr>
        <w:t xml:space="preserve"> combined odds ratio for systolic BP reduction of </w:t>
      </w:r>
      <w:r w:rsidRPr="003165B5">
        <w:rPr>
          <w:rFonts w:asciiTheme="minorHAnsi" w:eastAsia="Times New Roman" w:hAnsiTheme="minorHAnsi" w:cs="Times New Roman"/>
          <w:b w:val="0"/>
          <w:color w:val="0000FF"/>
          <w:sz w:val="22"/>
          <w:szCs w:val="22"/>
          <w:u w:val="single"/>
        </w:rPr>
        <w:t>&gt;</w:t>
      </w:r>
      <w:r w:rsidRPr="003165B5">
        <w:rPr>
          <w:rFonts w:asciiTheme="minorHAnsi" w:eastAsia="Times New Roman" w:hAnsiTheme="minorHAnsi" w:cs="Times New Roman"/>
          <w:b w:val="0"/>
          <w:color w:val="0000FF"/>
          <w:sz w:val="22"/>
          <w:szCs w:val="22"/>
        </w:rPr>
        <w:t xml:space="preserve">10 mm Hg was 2.24 (95% CI: 1.32 to 3.81; P=0.003).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There was no deterioration seen in any domain of the kidney disease quality of life health survey despite an increase in </w:t>
      </w:r>
      <w:proofErr w:type="spellStart"/>
      <w:r w:rsidRPr="003165B5">
        <w:rPr>
          <w:rFonts w:asciiTheme="minorHAnsi" w:eastAsia="Times New Roman" w:hAnsiTheme="minorHAnsi" w:cs="Times New Roman"/>
          <w:b w:val="0"/>
          <w:color w:val="0000FF"/>
          <w:sz w:val="22"/>
          <w:szCs w:val="22"/>
        </w:rPr>
        <w:t>intradialytic</w:t>
      </w:r>
      <w:proofErr w:type="spellEnd"/>
      <w:r w:rsidRPr="003165B5">
        <w:rPr>
          <w:rFonts w:asciiTheme="minorHAnsi" w:eastAsia="Times New Roman" w:hAnsiTheme="minorHAnsi" w:cs="Times New Roman"/>
          <w:b w:val="0"/>
          <w:color w:val="0000FF"/>
          <w:sz w:val="22"/>
          <w:szCs w:val="22"/>
        </w:rPr>
        <w:t xml:space="preserve"> signs and symptoms of hypotension.</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 xml:space="preserve"> The reduction of dry weight is a simple, efficacious, and well-tolerated maneuver to improve BP control in hypertensive hemodialysis patients. </w:t>
      </w:r>
      <w:r w:rsidRPr="003165B5">
        <w:rPr>
          <w:rFonts w:asciiTheme="minorHAnsi" w:hAnsiTheme="minorHAnsi"/>
          <w:b w:val="0"/>
          <w:color w:val="0000FF"/>
          <w:sz w:val="22"/>
          <w:szCs w:val="22"/>
        </w:rPr>
        <w:t xml:space="preserve"> </w:t>
      </w:r>
      <w:r w:rsidRPr="003165B5">
        <w:rPr>
          <w:rFonts w:asciiTheme="minorHAnsi" w:eastAsia="Times New Roman" w:hAnsiTheme="minorHAnsi" w:cs="Times New Roman"/>
          <w:b w:val="0"/>
          <w:color w:val="0000FF"/>
          <w:sz w:val="22"/>
          <w:szCs w:val="22"/>
        </w:rPr>
        <w:t>Long-term control of BP will depend on continued assessment and maintenance of dry weight.</w:t>
      </w:r>
    </w:p>
    <w:p w14:paraId="15DA91B2" w14:textId="77777777" w:rsidR="00D144A6" w:rsidRPr="00AD1C38" w:rsidRDefault="00D144A6" w:rsidP="00D144A6">
      <w:pPr>
        <w:pStyle w:val="ListParagraph"/>
        <w:spacing w:after="0" w:line="240" w:lineRule="auto"/>
        <w:ind w:left="360"/>
        <w:contextualSpacing w:val="0"/>
        <w:rPr>
          <w:rFonts w:eastAsia="Times New Roman" w:cs="Times New Roman"/>
          <w:b/>
          <w:bCs/>
          <w:color w:val="0000FF"/>
          <w:kern w:val="36"/>
        </w:rPr>
      </w:pPr>
    </w:p>
    <w:p w14:paraId="7D141AC6" w14:textId="77777777" w:rsidR="00D144A6" w:rsidRPr="003165B5" w:rsidRDefault="00D144A6" w:rsidP="00D144A6">
      <w:pPr>
        <w:pStyle w:val="ListParagraph"/>
        <w:numPr>
          <w:ilvl w:val="0"/>
          <w:numId w:val="9"/>
        </w:numPr>
        <w:spacing w:after="120" w:line="240" w:lineRule="auto"/>
        <w:contextualSpacing w:val="0"/>
        <w:rPr>
          <w:rFonts w:eastAsia="Times New Roman" w:cs="Times New Roman"/>
          <w:b/>
          <w:bCs/>
          <w:color w:val="0000FF"/>
          <w:kern w:val="36"/>
        </w:rPr>
      </w:pPr>
      <w:r w:rsidRPr="003165B5">
        <w:rPr>
          <w:b/>
          <w:color w:val="0000FF"/>
        </w:rPr>
        <w:t xml:space="preserve">Lai CT, Wu CJ, Chen HH, et al.  </w:t>
      </w:r>
      <w:r w:rsidRPr="003165B5">
        <w:rPr>
          <w:rFonts w:eastAsia="Times New Roman" w:cs="Times New Roman"/>
          <w:b/>
          <w:bCs/>
          <w:color w:val="0000FF"/>
          <w:kern w:val="36"/>
        </w:rPr>
        <w:t xml:space="preserve">Absolute </w:t>
      </w:r>
      <w:proofErr w:type="spellStart"/>
      <w:r w:rsidRPr="003165B5">
        <w:rPr>
          <w:rFonts w:eastAsia="Times New Roman" w:cs="Times New Roman"/>
          <w:b/>
          <w:bCs/>
          <w:color w:val="0000FF"/>
          <w:kern w:val="36"/>
        </w:rPr>
        <w:t>interdialytic</w:t>
      </w:r>
      <w:proofErr w:type="spellEnd"/>
      <w:r w:rsidRPr="003165B5">
        <w:rPr>
          <w:rFonts w:eastAsia="Times New Roman" w:cs="Times New Roman"/>
          <w:b/>
          <w:bCs/>
          <w:color w:val="0000FF"/>
          <w:kern w:val="36"/>
        </w:rPr>
        <w:t xml:space="preserve"> weight gain is more important than percent weight gain for </w:t>
      </w:r>
      <w:proofErr w:type="spellStart"/>
      <w:r w:rsidRPr="003165B5">
        <w:rPr>
          <w:rFonts w:eastAsia="Times New Roman" w:cs="Times New Roman"/>
          <w:b/>
          <w:bCs/>
          <w:color w:val="0000FF"/>
          <w:kern w:val="36"/>
        </w:rPr>
        <w:t>intradialytic</w:t>
      </w:r>
      <w:proofErr w:type="spellEnd"/>
      <w:r w:rsidRPr="003165B5">
        <w:rPr>
          <w:rFonts w:eastAsia="Times New Roman" w:cs="Times New Roman"/>
          <w:b/>
          <w:bCs/>
          <w:color w:val="0000FF"/>
          <w:kern w:val="36"/>
        </w:rPr>
        <w:t xml:space="preserve"> hypotension in heavy patients.  </w:t>
      </w:r>
      <w:r w:rsidRPr="003165B5">
        <w:rPr>
          <w:b/>
          <w:i/>
          <w:color w:val="0000FF"/>
        </w:rPr>
        <w:t>Nephrology</w:t>
      </w:r>
      <w:r w:rsidRPr="003165B5">
        <w:rPr>
          <w:b/>
          <w:color w:val="0000FF"/>
        </w:rPr>
        <w:t xml:space="preserve">.  </w:t>
      </w:r>
      <w:r w:rsidRPr="003165B5">
        <w:rPr>
          <w:rFonts w:eastAsia="Times New Roman" w:cs="Times New Roman"/>
          <w:b/>
          <w:color w:val="0000FF"/>
        </w:rPr>
        <w:t>2012</w:t>
      </w:r>
      <w:proofErr w:type="gramStart"/>
      <w:r w:rsidRPr="003165B5">
        <w:rPr>
          <w:rFonts w:eastAsia="Times New Roman" w:cs="Times New Roman"/>
          <w:b/>
          <w:color w:val="0000FF"/>
        </w:rPr>
        <w:t>;17</w:t>
      </w:r>
      <w:proofErr w:type="gramEnd"/>
      <w:r w:rsidRPr="003165B5">
        <w:rPr>
          <w:rFonts w:eastAsia="Times New Roman" w:cs="Times New Roman"/>
          <w:b/>
          <w:color w:val="0000FF"/>
        </w:rPr>
        <w:t xml:space="preserve">(3):230-236.  </w:t>
      </w:r>
    </w:p>
    <w:p w14:paraId="07541837" w14:textId="60E448FA" w:rsidR="00D144A6" w:rsidRPr="003165B5" w:rsidRDefault="00435B48" w:rsidP="00435B48">
      <w:pPr>
        <w:spacing w:after="120"/>
        <w:ind w:firstLine="0"/>
        <w:outlineLvl w:val="3"/>
        <w:rPr>
          <w:rFonts w:cs="Times New Roman"/>
          <w:color w:val="0000FF"/>
        </w:rPr>
      </w:pPr>
      <w:r w:rsidRPr="003165B5">
        <w:rPr>
          <w:rFonts w:eastAsia="Times New Roman" w:cs="Times New Roman"/>
          <w:b/>
          <w:bCs/>
          <w:color w:val="0000FF"/>
        </w:rPr>
        <w:t xml:space="preserve">Aim:  </w:t>
      </w:r>
      <w:r w:rsidR="00D144A6" w:rsidRPr="003165B5">
        <w:rPr>
          <w:rFonts w:cs="Times New Roman"/>
          <w:color w:val="0000FF"/>
        </w:rPr>
        <w:t xml:space="preserve">Few published reports have mentioned the difference between absolute </w:t>
      </w:r>
      <w:proofErr w:type="spellStart"/>
      <w:r w:rsidR="00D144A6" w:rsidRPr="003165B5">
        <w:rPr>
          <w:rFonts w:cs="Times New Roman"/>
          <w:color w:val="0000FF"/>
        </w:rPr>
        <w:t>interdialytic</w:t>
      </w:r>
      <w:proofErr w:type="spellEnd"/>
      <w:r w:rsidR="00D144A6" w:rsidRPr="003165B5">
        <w:rPr>
          <w:rFonts w:cs="Times New Roman"/>
          <w:color w:val="0000FF"/>
        </w:rPr>
        <w:t xml:space="preserve"> weight gain (IDWG) and IDWG/DW (IDWG%), and subsequent effects on daily dialysis.  The aim of this study was to evaluate the difference between absolute IDWG and IDWG% in new hemodialysis patients.  </w:t>
      </w:r>
    </w:p>
    <w:p w14:paraId="4031BA3E" w14:textId="4260D1FB" w:rsidR="00D144A6" w:rsidRPr="003165B5" w:rsidRDefault="00435B48" w:rsidP="00435B48">
      <w:pPr>
        <w:spacing w:after="120"/>
        <w:ind w:firstLine="0"/>
        <w:outlineLvl w:val="3"/>
        <w:rPr>
          <w:rFonts w:cs="Times New Roman"/>
          <w:color w:val="0000FF"/>
        </w:rPr>
      </w:pPr>
      <w:r w:rsidRPr="003165B5">
        <w:rPr>
          <w:rFonts w:eastAsia="Times New Roman" w:cs="Times New Roman"/>
          <w:b/>
          <w:bCs/>
          <w:color w:val="0000FF"/>
        </w:rPr>
        <w:t xml:space="preserve">Method:  </w:t>
      </w:r>
      <w:r w:rsidR="00D144A6" w:rsidRPr="003165B5">
        <w:rPr>
          <w:rFonts w:cs="Times New Roman"/>
          <w:color w:val="0000FF"/>
        </w:rPr>
        <w:t xml:space="preserve">The authors retrospectively reviewed the records of 255 patients who had recently received conventional hemodialysis for at least </w:t>
      </w:r>
      <w:r w:rsidR="00D144A6">
        <w:rPr>
          <w:rFonts w:cs="Times New Roman"/>
          <w:color w:val="0000FF"/>
        </w:rPr>
        <w:t>one</w:t>
      </w:r>
      <w:r w:rsidR="00D144A6" w:rsidRPr="003165B5">
        <w:rPr>
          <w:rFonts w:cs="Times New Roman"/>
          <w:color w:val="0000FF"/>
        </w:rPr>
        <w:t xml:space="preserve"> year at the same center from 1997 to 2008.  The first </w:t>
      </w:r>
      <w:r w:rsidR="00D144A6">
        <w:rPr>
          <w:rFonts w:cs="Times New Roman"/>
          <w:color w:val="0000FF"/>
        </w:rPr>
        <w:t>four</w:t>
      </w:r>
      <w:r w:rsidR="00D144A6" w:rsidRPr="003165B5">
        <w:rPr>
          <w:rFonts w:cs="Times New Roman"/>
          <w:color w:val="0000FF"/>
        </w:rPr>
        <w:t xml:space="preserve"> weeks after starting hemodialysis was defined as the pre-study period.  Data were collected for 5–56 weeks.  </w:t>
      </w:r>
    </w:p>
    <w:p w14:paraId="4EC2A235" w14:textId="52AA663E" w:rsidR="00D144A6" w:rsidRPr="003165B5" w:rsidRDefault="00435B48" w:rsidP="00435B48">
      <w:pPr>
        <w:spacing w:after="120"/>
        <w:ind w:firstLine="0"/>
        <w:outlineLvl w:val="3"/>
        <w:rPr>
          <w:rFonts w:cs="Times New Roman"/>
          <w:color w:val="0000FF"/>
        </w:rPr>
      </w:pPr>
      <w:r w:rsidRPr="003165B5">
        <w:rPr>
          <w:rFonts w:eastAsia="Times New Roman" w:cs="Times New Roman"/>
          <w:b/>
          <w:bCs/>
          <w:color w:val="0000FF"/>
        </w:rPr>
        <w:t xml:space="preserve">Results:   </w:t>
      </w:r>
      <w:r w:rsidR="00D144A6" w:rsidRPr="003165B5">
        <w:rPr>
          <w:rFonts w:cs="Times New Roman"/>
          <w:color w:val="0000FF"/>
        </w:rPr>
        <w:t xml:space="preserve">IDWG% value remained relatively constant in the first year of hemodialysis despite most patients having certain residual renal function.  For hemodialysis outcomes, both absolute IDWG and IDWG% were significantly correlated with </w:t>
      </w:r>
      <w:proofErr w:type="spellStart"/>
      <w:r w:rsidR="00D144A6" w:rsidRPr="003165B5">
        <w:rPr>
          <w:rFonts w:cs="Times New Roman"/>
          <w:color w:val="0000FF"/>
        </w:rPr>
        <w:t>intradialytic</w:t>
      </w:r>
      <w:proofErr w:type="spellEnd"/>
      <w:r w:rsidR="00D144A6" w:rsidRPr="003165B5">
        <w:rPr>
          <w:rFonts w:cs="Times New Roman"/>
          <w:color w:val="0000FF"/>
        </w:rPr>
        <w:t xml:space="preserve"> hypotension (IDH) in men and heavy women.  After dividing patients into four strata according to gender and median dry </w:t>
      </w:r>
      <w:r w:rsidR="00D144A6" w:rsidRPr="003165B5">
        <w:rPr>
          <w:rFonts w:cs="Times New Roman"/>
          <w:color w:val="0000FF"/>
        </w:rPr>
        <w:lastRenderedPageBreak/>
        <w:t xml:space="preserve">weight, stepwise multivariate linear regression analysis showed that absolute IDWG, rather than IDWG%, was an independent risk factor for IDH in heavy men (Beta = 0.585, P &lt; 0.001) and heavy women (Beta= 0.458, P &lt; 0.001).  </w:t>
      </w:r>
    </w:p>
    <w:p w14:paraId="1BD5A240" w14:textId="2A4B6128" w:rsidR="00D144A6" w:rsidRDefault="00AF3ECE" w:rsidP="00D144A6">
      <w:pPr>
        <w:outlineLvl w:val="3"/>
        <w:rPr>
          <w:rFonts w:cs="Times New Roman"/>
          <w:color w:val="0000FF"/>
        </w:rPr>
      </w:pPr>
      <w:r>
        <w:rPr>
          <w:rFonts w:eastAsia="Times New Roman" w:cs="Times New Roman"/>
          <w:b/>
          <w:bCs/>
          <w:color w:val="0000FF"/>
        </w:rPr>
        <w:t xml:space="preserve">       </w:t>
      </w:r>
      <w:r w:rsidRPr="003165B5">
        <w:rPr>
          <w:rFonts w:eastAsia="Times New Roman" w:cs="Times New Roman"/>
          <w:b/>
          <w:bCs/>
          <w:color w:val="0000FF"/>
        </w:rPr>
        <w:t xml:space="preserve">Conclusions:  </w:t>
      </w:r>
      <w:r w:rsidR="00D144A6">
        <w:rPr>
          <w:rFonts w:cs="Times New Roman"/>
          <w:color w:val="0000FF"/>
        </w:rPr>
        <w:t>A</w:t>
      </w:r>
      <w:r w:rsidR="00D144A6" w:rsidRPr="003165B5">
        <w:rPr>
          <w:rFonts w:cs="Times New Roman"/>
          <w:color w:val="0000FF"/>
        </w:rPr>
        <w:t xml:space="preserve">bsolute IDWG, rather than IDWG%, is an independent risk factor for IDH in heavy hemodialysis patients and that higher absolute IDWG needs to be strictly controlled despite the corresponding IDWG% possibly being relatively small in heavy hemodialysis patients.  </w:t>
      </w:r>
    </w:p>
    <w:p w14:paraId="6DBE204D" w14:textId="77777777" w:rsidR="00D144A6" w:rsidRPr="0092502D" w:rsidRDefault="00D144A6" w:rsidP="00D144A6">
      <w:pPr>
        <w:outlineLvl w:val="3"/>
        <w:rPr>
          <w:rFonts w:cs="Times New Roman"/>
          <w:color w:val="0000FF"/>
        </w:rPr>
      </w:pPr>
    </w:p>
    <w:p w14:paraId="31EA2CE0" w14:textId="77777777" w:rsidR="00D144A6" w:rsidRPr="003165B5" w:rsidRDefault="00D144A6" w:rsidP="00D144A6">
      <w:pPr>
        <w:pStyle w:val="NormalWeb"/>
        <w:numPr>
          <w:ilvl w:val="0"/>
          <w:numId w:val="9"/>
        </w:numPr>
        <w:spacing w:before="0" w:beforeAutospacing="0" w:after="120" w:afterAutospacing="0"/>
        <w:rPr>
          <w:rFonts w:asciiTheme="minorHAnsi" w:hAnsiTheme="minorHAnsi"/>
          <w:b/>
          <w:color w:val="0000FF"/>
          <w:sz w:val="22"/>
          <w:szCs w:val="22"/>
        </w:rPr>
      </w:pPr>
      <w:proofErr w:type="spellStart"/>
      <w:r w:rsidRPr="003165B5">
        <w:rPr>
          <w:rFonts w:asciiTheme="minorHAnsi" w:hAnsiTheme="minorHAnsi"/>
          <w:b/>
          <w:color w:val="0000FF"/>
          <w:sz w:val="22"/>
          <w:szCs w:val="22"/>
        </w:rPr>
        <w:t>Hur</w:t>
      </w:r>
      <w:proofErr w:type="spellEnd"/>
      <w:r w:rsidRPr="003165B5">
        <w:rPr>
          <w:rFonts w:asciiTheme="minorHAnsi" w:hAnsiTheme="minorHAnsi"/>
          <w:b/>
          <w:color w:val="0000FF"/>
          <w:sz w:val="22"/>
          <w:szCs w:val="22"/>
        </w:rPr>
        <w:t xml:space="preserve"> E, </w:t>
      </w:r>
      <w:proofErr w:type="spellStart"/>
      <w:r w:rsidRPr="003165B5">
        <w:rPr>
          <w:rFonts w:asciiTheme="minorHAnsi" w:hAnsiTheme="minorHAnsi"/>
          <w:b/>
          <w:color w:val="0000FF"/>
          <w:sz w:val="22"/>
          <w:szCs w:val="22"/>
        </w:rPr>
        <w:t>Usta</w:t>
      </w:r>
      <w:proofErr w:type="spellEnd"/>
      <w:r w:rsidRPr="003165B5">
        <w:rPr>
          <w:rFonts w:asciiTheme="minorHAnsi" w:hAnsiTheme="minorHAnsi"/>
          <w:b/>
          <w:color w:val="0000FF"/>
          <w:sz w:val="22"/>
          <w:szCs w:val="22"/>
        </w:rPr>
        <w:t xml:space="preserve"> M, </w:t>
      </w:r>
      <w:proofErr w:type="spellStart"/>
      <w:r w:rsidRPr="003165B5">
        <w:rPr>
          <w:rFonts w:asciiTheme="minorHAnsi" w:hAnsiTheme="minorHAnsi"/>
          <w:b/>
          <w:color w:val="0000FF"/>
          <w:sz w:val="22"/>
          <w:szCs w:val="22"/>
        </w:rPr>
        <w:t>Toz</w:t>
      </w:r>
      <w:proofErr w:type="spellEnd"/>
      <w:r w:rsidRPr="003165B5">
        <w:rPr>
          <w:rFonts w:asciiTheme="minorHAnsi" w:hAnsiTheme="minorHAnsi"/>
          <w:b/>
          <w:color w:val="0000FF"/>
          <w:sz w:val="22"/>
          <w:szCs w:val="22"/>
        </w:rPr>
        <w:t xml:space="preserve"> H, et al.  Effect of fluid management guided by </w:t>
      </w:r>
      <w:proofErr w:type="spellStart"/>
      <w:r w:rsidRPr="003165B5">
        <w:rPr>
          <w:rFonts w:asciiTheme="minorHAnsi" w:hAnsiTheme="minorHAnsi"/>
          <w:b/>
          <w:color w:val="0000FF"/>
          <w:sz w:val="22"/>
          <w:szCs w:val="22"/>
        </w:rPr>
        <w:t>bioimpedance</w:t>
      </w:r>
      <w:proofErr w:type="spellEnd"/>
      <w:r w:rsidRPr="003165B5">
        <w:rPr>
          <w:rFonts w:asciiTheme="minorHAnsi" w:hAnsiTheme="minorHAnsi"/>
          <w:b/>
          <w:color w:val="0000FF"/>
          <w:sz w:val="22"/>
          <w:szCs w:val="22"/>
        </w:rPr>
        <w:t xml:space="preserve"> spectroscopy parameters in hemodialysis patients:  A randomized controlled trial.  </w:t>
      </w:r>
      <w:proofErr w:type="gramStart"/>
      <w:r w:rsidRPr="003165B5">
        <w:rPr>
          <w:rFonts w:asciiTheme="minorHAnsi" w:hAnsiTheme="minorHAnsi"/>
          <w:b/>
          <w:i/>
          <w:color w:val="0000FF"/>
          <w:sz w:val="22"/>
          <w:szCs w:val="22"/>
        </w:rPr>
        <w:t>Am</w:t>
      </w:r>
      <w:proofErr w:type="gramEnd"/>
      <w:r w:rsidRPr="003165B5">
        <w:rPr>
          <w:rFonts w:asciiTheme="minorHAnsi" w:hAnsiTheme="minorHAnsi"/>
          <w:b/>
          <w:i/>
          <w:color w:val="0000FF"/>
          <w:sz w:val="22"/>
          <w:szCs w:val="22"/>
        </w:rPr>
        <w:t xml:space="preserve"> J Kidney Dis.</w:t>
      </w:r>
      <w:r w:rsidRPr="003165B5">
        <w:rPr>
          <w:rFonts w:asciiTheme="minorHAnsi" w:hAnsiTheme="minorHAnsi"/>
          <w:b/>
          <w:color w:val="0000FF"/>
          <w:sz w:val="22"/>
          <w:szCs w:val="22"/>
        </w:rPr>
        <w:t xml:space="preserve">  2013:61(</w:t>
      </w:r>
      <w:proofErr w:type="gramStart"/>
      <w:r w:rsidRPr="003165B5">
        <w:rPr>
          <w:rFonts w:asciiTheme="minorHAnsi" w:hAnsiTheme="minorHAnsi"/>
          <w:b/>
          <w:color w:val="0000FF"/>
          <w:sz w:val="22"/>
          <w:szCs w:val="22"/>
        </w:rPr>
        <w:t>6)957</w:t>
      </w:r>
      <w:proofErr w:type="gramEnd"/>
      <w:r w:rsidRPr="003165B5">
        <w:rPr>
          <w:rFonts w:asciiTheme="minorHAnsi" w:hAnsiTheme="minorHAnsi"/>
          <w:b/>
          <w:color w:val="0000FF"/>
          <w:sz w:val="22"/>
          <w:szCs w:val="22"/>
        </w:rPr>
        <w:t>-965.</w:t>
      </w:r>
      <w:r>
        <w:rPr>
          <w:rFonts w:asciiTheme="minorHAnsi" w:hAnsiTheme="minorHAnsi"/>
          <w:b/>
          <w:color w:val="0000FF"/>
          <w:sz w:val="22"/>
          <w:szCs w:val="22"/>
        </w:rPr>
        <w:t xml:space="preserve">  </w:t>
      </w:r>
    </w:p>
    <w:p w14:paraId="38BE955D" w14:textId="77777777" w:rsidR="00BC05B1" w:rsidRDefault="00AF3ECE" w:rsidP="00BC05B1">
      <w:pPr>
        <w:pStyle w:val="NormalWeb"/>
        <w:spacing w:before="0" w:beforeAutospacing="0" w:after="120" w:afterAutospacing="0"/>
        <w:ind w:left="360"/>
        <w:rPr>
          <w:rFonts w:asciiTheme="minorHAnsi" w:hAnsiTheme="minorHAnsi"/>
          <w:color w:val="0000FF"/>
          <w:sz w:val="22"/>
          <w:szCs w:val="22"/>
        </w:rPr>
      </w:pPr>
      <w:r w:rsidRPr="003165B5">
        <w:rPr>
          <w:rFonts w:asciiTheme="minorHAnsi" w:hAnsiTheme="minorHAnsi"/>
          <w:b/>
          <w:color w:val="0000FF"/>
          <w:sz w:val="22"/>
          <w:szCs w:val="22"/>
        </w:rPr>
        <w:t>Background:</w:t>
      </w:r>
      <w:r w:rsidRPr="003165B5">
        <w:rPr>
          <w:rFonts w:asciiTheme="minorHAnsi" w:hAnsiTheme="minorHAnsi"/>
          <w:color w:val="0000FF"/>
          <w:sz w:val="22"/>
          <w:szCs w:val="22"/>
        </w:rPr>
        <w:t xml:space="preserve">  </w:t>
      </w:r>
      <w:r w:rsidR="00D144A6" w:rsidRPr="003165B5">
        <w:rPr>
          <w:rFonts w:asciiTheme="minorHAnsi" w:hAnsiTheme="minorHAnsi"/>
          <w:color w:val="0000FF"/>
          <w:sz w:val="22"/>
          <w:szCs w:val="22"/>
        </w:rPr>
        <w:t xml:space="preserve">Fluid overload is the main determinant of hypertension and left ventricular hypertrophy in hemodialysis patients.  However, </w:t>
      </w:r>
      <w:r w:rsidR="00D144A6" w:rsidRPr="003165B5">
        <w:rPr>
          <w:rStyle w:val="highlight"/>
          <w:rFonts w:asciiTheme="minorHAnsi" w:hAnsiTheme="minorHAnsi"/>
          <w:color w:val="0000FF"/>
          <w:sz w:val="22"/>
          <w:szCs w:val="22"/>
        </w:rPr>
        <w:t>assessment</w:t>
      </w:r>
      <w:r w:rsidR="00D144A6" w:rsidRPr="003165B5">
        <w:rPr>
          <w:rFonts w:asciiTheme="minorHAnsi" w:hAnsiTheme="minorHAnsi"/>
          <w:color w:val="0000FF"/>
          <w:sz w:val="22"/>
          <w:szCs w:val="22"/>
        </w:rPr>
        <w:t xml:space="preserve"> of fluid overload can be difficult in </w:t>
      </w:r>
      <w:r w:rsidR="00D144A6" w:rsidRPr="003165B5">
        <w:rPr>
          <w:rStyle w:val="highlight"/>
          <w:rFonts w:asciiTheme="minorHAnsi" w:hAnsiTheme="minorHAnsi"/>
          <w:color w:val="0000FF"/>
          <w:sz w:val="22"/>
          <w:szCs w:val="22"/>
        </w:rPr>
        <w:t>clinical</w:t>
      </w:r>
      <w:r w:rsidR="00D144A6" w:rsidRPr="003165B5">
        <w:rPr>
          <w:rFonts w:asciiTheme="minorHAnsi" w:hAnsiTheme="minorHAnsi"/>
          <w:color w:val="0000FF"/>
          <w:sz w:val="22"/>
          <w:szCs w:val="22"/>
        </w:rPr>
        <w:t xml:space="preserve"> practice.  We investigated whether objective measurement of fluid overload with </w:t>
      </w:r>
      <w:proofErr w:type="spellStart"/>
      <w:r w:rsidR="00D144A6" w:rsidRPr="003165B5">
        <w:rPr>
          <w:rFonts w:asciiTheme="minorHAnsi" w:hAnsiTheme="minorHAnsi"/>
          <w:color w:val="0000FF"/>
          <w:sz w:val="22"/>
          <w:szCs w:val="22"/>
        </w:rPr>
        <w:t>bioimpedance</w:t>
      </w:r>
      <w:proofErr w:type="spellEnd"/>
      <w:r w:rsidR="00D144A6" w:rsidRPr="003165B5">
        <w:rPr>
          <w:rFonts w:asciiTheme="minorHAnsi" w:hAnsiTheme="minorHAnsi"/>
          <w:color w:val="0000FF"/>
          <w:sz w:val="22"/>
          <w:szCs w:val="22"/>
        </w:rPr>
        <w:t xml:space="preserve"> spectroscopy is helpful in optimizing fluid status.</w:t>
      </w:r>
    </w:p>
    <w:p w14:paraId="424FA724" w14:textId="0274EFB9" w:rsidR="00D144A6" w:rsidRDefault="00AF3ECE" w:rsidP="00BC05B1">
      <w:pPr>
        <w:pStyle w:val="NormalWeb"/>
        <w:spacing w:before="0" w:beforeAutospacing="0" w:after="120" w:afterAutospacing="0"/>
        <w:ind w:left="360"/>
        <w:rPr>
          <w:rFonts w:asciiTheme="minorHAnsi" w:hAnsiTheme="minorHAnsi"/>
          <w:color w:val="0000FF"/>
          <w:sz w:val="22"/>
          <w:szCs w:val="22"/>
        </w:rPr>
      </w:pPr>
      <w:r w:rsidRPr="00BC05B1">
        <w:rPr>
          <w:rFonts w:asciiTheme="minorHAnsi" w:eastAsia="Times New Roman" w:hAnsiTheme="minorHAnsi"/>
          <w:b/>
          <w:color w:val="0000FF"/>
          <w:sz w:val="22"/>
          <w:szCs w:val="22"/>
        </w:rPr>
        <w:t>Study Design:</w:t>
      </w:r>
      <w:r w:rsidRPr="00BC05B1">
        <w:rPr>
          <w:rFonts w:asciiTheme="minorHAnsi" w:hAnsiTheme="minorHAnsi"/>
          <w:color w:val="0000FF"/>
          <w:sz w:val="22"/>
          <w:szCs w:val="22"/>
        </w:rPr>
        <w:t xml:space="preserve">  </w:t>
      </w:r>
      <w:r w:rsidR="00D144A6" w:rsidRPr="00BC05B1">
        <w:rPr>
          <w:rFonts w:asciiTheme="minorHAnsi" w:hAnsiTheme="minorHAnsi"/>
          <w:color w:val="0000FF"/>
          <w:sz w:val="22"/>
          <w:szCs w:val="22"/>
        </w:rPr>
        <w:t>Prospective, randomized, and controlled study.</w:t>
      </w:r>
    </w:p>
    <w:p w14:paraId="26ED3328" w14:textId="77777777" w:rsidR="00BC05B1" w:rsidRPr="003165B5" w:rsidRDefault="00BC05B1" w:rsidP="00BC05B1">
      <w:pPr>
        <w:pStyle w:val="Heading4"/>
        <w:spacing w:before="0" w:after="120" w:line="240" w:lineRule="auto"/>
        <w:ind w:left="360"/>
        <w:rPr>
          <w:rFonts w:asciiTheme="minorHAnsi" w:eastAsia="Times New Roman" w:hAnsiTheme="minorHAnsi" w:cs="Times New Roman"/>
          <w:i w:val="0"/>
          <w:color w:val="0000FF"/>
        </w:rPr>
      </w:pPr>
      <w:r w:rsidRPr="003165B5">
        <w:rPr>
          <w:rFonts w:asciiTheme="minorHAnsi" w:eastAsia="Times New Roman" w:hAnsiTheme="minorHAnsi" w:cs="Times New Roman"/>
          <w:i w:val="0"/>
          <w:color w:val="0000FF"/>
        </w:rPr>
        <w:t xml:space="preserve">Setting &amp; Participants:  </w:t>
      </w:r>
      <w:r w:rsidRPr="003165B5">
        <w:rPr>
          <w:rFonts w:asciiTheme="minorHAnsi" w:hAnsiTheme="minorHAnsi"/>
          <w:b w:val="0"/>
          <w:i w:val="0"/>
          <w:color w:val="0000FF"/>
        </w:rPr>
        <w:t xml:space="preserve">156 hemodialysis patients from </w:t>
      </w:r>
      <w:r>
        <w:rPr>
          <w:rFonts w:asciiTheme="minorHAnsi" w:hAnsiTheme="minorHAnsi"/>
          <w:b w:val="0"/>
          <w:i w:val="0"/>
          <w:color w:val="0000FF"/>
        </w:rPr>
        <w:t>two</w:t>
      </w:r>
      <w:r w:rsidRPr="003165B5">
        <w:rPr>
          <w:rFonts w:asciiTheme="minorHAnsi" w:hAnsiTheme="minorHAnsi"/>
          <w:b w:val="0"/>
          <w:i w:val="0"/>
          <w:color w:val="0000FF"/>
        </w:rPr>
        <w:t xml:space="preserve"> centers were randomly assigned to </w:t>
      </w:r>
      <w:r>
        <w:rPr>
          <w:rFonts w:asciiTheme="minorHAnsi" w:hAnsiTheme="minorHAnsi"/>
          <w:b w:val="0"/>
          <w:i w:val="0"/>
          <w:color w:val="0000FF"/>
        </w:rPr>
        <w:t>two</w:t>
      </w:r>
      <w:r w:rsidRPr="003165B5">
        <w:rPr>
          <w:rFonts w:asciiTheme="minorHAnsi" w:hAnsiTheme="minorHAnsi"/>
          <w:b w:val="0"/>
          <w:i w:val="0"/>
          <w:color w:val="0000FF"/>
        </w:rPr>
        <w:t xml:space="preserve"> groups.</w:t>
      </w:r>
    </w:p>
    <w:p w14:paraId="74D059F9" w14:textId="77777777" w:rsidR="00BC05B1" w:rsidRPr="003165B5" w:rsidRDefault="00BC05B1" w:rsidP="00BC05B1">
      <w:pPr>
        <w:pStyle w:val="Heading4"/>
        <w:spacing w:before="0" w:after="120" w:line="240" w:lineRule="auto"/>
        <w:ind w:left="360"/>
        <w:rPr>
          <w:rFonts w:asciiTheme="minorHAnsi" w:eastAsia="Times New Roman" w:hAnsiTheme="minorHAnsi" w:cs="Times New Roman"/>
          <w:color w:val="0000FF"/>
        </w:rPr>
      </w:pPr>
      <w:r w:rsidRPr="003165B5">
        <w:rPr>
          <w:rFonts w:asciiTheme="minorHAnsi" w:eastAsia="Times New Roman" w:hAnsiTheme="minorHAnsi" w:cs="Times New Roman"/>
          <w:i w:val="0"/>
          <w:color w:val="0000FF"/>
        </w:rPr>
        <w:t>Intervention:</w:t>
      </w:r>
      <w:r w:rsidRPr="003165B5">
        <w:rPr>
          <w:rFonts w:asciiTheme="minorHAnsi" w:eastAsia="Times New Roman" w:hAnsiTheme="minorHAnsi" w:cs="Times New Roman"/>
          <w:color w:val="0000FF"/>
        </w:rPr>
        <w:t xml:space="preserve">  </w:t>
      </w:r>
      <w:r w:rsidRPr="003165B5">
        <w:rPr>
          <w:rStyle w:val="highlight"/>
          <w:rFonts w:asciiTheme="minorHAnsi" w:hAnsiTheme="minorHAnsi"/>
          <w:b w:val="0"/>
          <w:i w:val="0"/>
          <w:color w:val="0000FF"/>
        </w:rPr>
        <w:t>Dry</w:t>
      </w:r>
      <w:r w:rsidRPr="003165B5">
        <w:rPr>
          <w:rFonts w:asciiTheme="minorHAnsi" w:hAnsiTheme="minorHAnsi"/>
          <w:b w:val="0"/>
          <w:i w:val="0"/>
          <w:color w:val="0000FF"/>
        </w:rPr>
        <w:t xml:space="preserve"> </w:t>
      </w:r>
      <w:r w:rsidRPr="003165B5">
        <w:rPr>
          <w:rStyle w:val="highlight"/>
          <w:rFonts w:asciiTheme="minorHAnsi" w:hAnsiTheme="minorHAnsi"/>
          <w:b w:val="0"/>
          <w:i w:val="0"/>
          <w:color w:val="0000FF"/>
        </w:rPr>
        <w:t>weight</w:t>
      </w:r>
      <w:r w:rsidRPr="003165B5">
        <w:rPr>
          <w:rFonts w:asciiTheme="minorHAnsi" w:hAnsiTheme="minorHAnsi"/>
          <w:b w:val="0"/>
          <w:i w:val="0"/>
          <w:color w:val="0000FF"/>
        </w:rPr>
        <w:t xml:space="preserve"> was assessed by routine </w:t>
      </w:r>
      <w:r w:rsidRPr="003165B5">
        <w:rPr>
          <w:rStyle w:val="highlight"/>
          <w:rFonts w:asciiTheme="minorHAnsi" w:hAnsiTheme="minorHAnsi"/>
          <w:b w:val="0"/>
          <w:i w:val="0"/>
          <w:color w:val="0000FF"/>
        </w:rPr>
        <w:t>clinical</w:t>
      </w:r>
      <w:r w:rsidRPr="003165B5">
        <w:rPr>
          <w:rFonts w:asciiTheme="minorHAnsi" w:hAnsiTheme="minorHAnsi"/>
          <w:b w:val="0"/>
          <w:i w:val="0"/>
          <w:color w:val="0000FF"/>
        </w:rPr>
        <w:t xml:space="preserve"> practice and fluid overload was assessed by </w:t>
      </w:r>
      <w:proofErr w:type="spellStart"/>
      <w:r w:rsidRPr="003165B5">
        <w:rPr>
          <w:rFonts w:asciiTheme="minorHAnsi" w:hAnsiTheme="minorHAnsi"/>
          <w:b w:val="0"/>
          <w:i w:val="0"/>
          <w:color w:val="0000FF"/>
        </w:rPr>
        <w:t>bioimpedance</w:t>
      </w:r>
      <w:proofErr w:type="spellEnd"/>
      <w:r w:rsidRPr="003165B5">
        <w:rPr>
          <w:rFonts w:asciiTheme="minorHAnsi" w:hAnsiTheme="minorHAnsi"/>
          <w:b w:val="0"/>
          <w:i w:val="0"/>
          <w:color w:val="0000FF"/>
        </w:rPr>
        <w:t xml:space="preserve"> spectroscopy in both groups.  In the intervention group (n = 78), fluid overload information was provided to treating physicians and used to adjust fluid removal during dialysis.  In the control group (n = 78), fluid overload information was not provided to treating physicians and fluid removal during dialysis was adjusted according to usual </w:t>
      </w:r>
      <w:r w:rsidRPr="003165B5">
        <w:rPr>
          <w:rStyle w:val="highlight"/>
          <w:rFonts w:asciiTheme="minorHAnsi" w:hAnsiTheme="minorHAnsi"/>
          <w:b w:val="0"/>
          <w:i w:val="0"/>
          <w:color w:val="0000FF"/>
        </w:rPr>
        <w:t>clinical</w:t>
      </w:r>
      <w:r w:rsidRPr="003165B5">
        <w:rPr>
          <w:rFonts w:asciiTheme="minorHAnsi" w:hAnsiTheme="minorHAnsi"/>
          <w:b w:val="0"/>
          <w:i w:val="0"/>
          <w:color w:val="0000FF"/>
        </w:rPr>
        <w:t xml:space="preserve"> practice.</w:t>
      </w:r>
    </w:p>
    <w:p w14:paraId="78189A7E" w14:textId="77777777" w:rsidR="00BC05B1" w:rsidRPr="003165B5" w:rsidRDefault="00BC05B1" w:rsidP="00BC05B1">
      <w:pPr>
        <w:pStyle w:val="Heading4"/>
        <w:spacing w:before="0" w:after="120" w:line="240" w:lineRule="auto"/>
        <w:ind w:left="360"/>
        <w:rPr>
          <w:rFonts w:asciiTheme="minorHAnsi" w:eastAsia="Times New Roman" w:hAnsiTheme="minorHAnsi" w:cs="Times New Roman"/>
          <w:i w:val="0"/>
          <w:color w:val="0000FF"/>
        </w:rPr>
      </w:pPr>
      <w:proofErr w:type="gramStart"/>
      <w:r w:rsidRPr="003165B5">
        <w:rPr>
          <w:rFonts w:asciiTheme="minorHAnsi" w:eastAsia="Times New Roman" w:hAnsiTheme="minorHAnsi" w:cs="Times New Roman"/>
          <w:i w:val="0"/>
          <w:color w:val="0000FF"/>
        </w:rPr>
        <w:t>outcomes</w:t>
      </w:r>
      <w:proofErr w:type="gramEnd"/>
      <w:r w:rsidRPr="003165B5">
        <w:rPr>
          <w:rFonts w:asciiTheme="minorHAnsi" w:eastAsia="Times New Roman" w:hAnsiTheme="minorHAnsi" w:cs="Times New Roman"/>
          <w:i w:val="0"/>
          <w:color w:val="0000FF"/>
        </w:rPr>
        <w:t xml:space="preserve">:  </w:t>
      </w:r>
      <w:r w:rsidRPr="003165B5">
        <w:rPr>
          <w:rFonts w:asciiTheme="minorHAnsi" w:hAnsiTheme="minorHAnsi"/>
          <w:b w:val="0"/>
          <w:i w:val="0"/>
          <w:color w:val="0000FF"/>
        </w:rPr>
        <w:t>The primary outcome was regression of left ventricular mass index during a 1-year follow-up. Improvement in blood pressure and left atrial volume were the main secondary outcomes.  Changes in arterial stiffness parameters were additional outcomes.</w:t>
      </w:r>
    </w:p>
    <w:p w14:paraId="62EBC97C" w14:textId="77777777" w:rsidR="00BC05B1" w:rsidRPr="003165B5" w:rsidRDefault="00BC05B1" w:rsidP="00BC05B1">
      <w:pPr>
        <w:pStyle w:val="Heading4"/>
        <w:spacing w:before="0" w:after="120" w:line="240" w:lineRule="auto"/>
        <w:ind w:left="360"/>
        <w:rPr>
          <w:rFonts w:asciiTheme="minorHAnsi" w:eastAsia="Times New Roman" w:hAnsiTheme="minorHAnsi" w:cs="Times New Roman"/>
          <w:color w:val="0000FF"/>
        </w:rPr>
      </w:pPr>
      <w:r w:rsidRPr="003165B5">
        <w:rPr>
          <w:rFonts w:asciiTheme="minorHAnsi" w:eastAsia="Times New Roman" w:hAnsiTheme="minorHAnsi" w:cs="Times New Roman"/>
          <w:i w:val="0"/>
          <w:color w:val="0000FF"/>
        </w:rPr>
        <w:t>Measurements:</w:t>
      </w:r>
      <w:r w:rsidRPr="003165B5">
        <w:rPr>
          <w:rFonts w:asciiTheme="minorHAnsi" w:eastAsia="Times New Roman" w:hAnsiTheme="minorHAnsi" w:cs="Times New Roman"/>
          <w:color w:val="0000FF"/>
        </w:rPr>
        <w:t xml:space="preserve"> </w:t>
      </w:r>
      <w:r w:rsidRPr="003165B5">
        <w:rPr>
          <w:rFonts w:asciiTheme="minorHAnsi" w:eastAsia="Times New Roman" w:hAnsiTheme="minorHAnsi" w:cs="Times New Roman"/>
          <w:b w:val="0"/>
          <w:i w:val="0"/>
          <w:color w:val="0000FF"/>
        </w:rPr>
        <w:t xml:space="preserve"> </w:t>
      </w:r>
      <w:r w:rsidRPr="003165B5">
        <w:rPr>
          <w:rFonts w:asciiTheme="minorHAnsi" w:hAnsiTheme="minorHAnsi"/>
          <w:b w:val="0"/>
          <w:i w:val="0"/>
          <w:color w:val="0000FF"/>
        </w:rPr>
        <w:t xml:space="preserve">Fluid overload was assessed twice monthly in the intervention group and every </w:t>
      </w:r>
      <w:r>
        <w:rPr>
          <w:rFonts w:asciiTheme="minorHAnsi" w:hAnsiTheme="minorHAnsi"/>
          <w:b w:val="0"/>
          <w:i w:val="0"/>
          <w:color w:val="0000FF"/>
        </w:rPr>
        <w:t>three</w:t>
      </w:r>
      <w:r w:rsidRPr="003165B5">
        <w:rPr>
          <w:rFonts w:asciiTheme="minorHAnsi" w:hAnsiTheme="minorHAnsi"/>
          <w:b w:val="0"/>
          <w:i w:val="0"/>
          <w:color w:val="0000FF"/>
        </w:rPr>
        <w:t xml:space="preserve"> months in the control group before the mid- or end-week hemodialysis session.  Echocardiography, 48-hour ambulatory blood pressure measurement, and pulse wave analysis were performed at baseline and 12 months.</w:t>
      </w:r>
    </w:p>
    <w:p w14:paraId="0A9D81AD" w14:textId="77777777" w:rsidR="00BC05B1" w:rsidRPr="003165B5" w:rsidRDefault="00BC05B1" w:rsidP="00BC05B1">
      <w:pPr>
        <w:pStyle w:val="Heading4"/>
        <w:spacing w:before="0" w:after="120" w:line="240" w:lineRule="auto"/>
        <w:ind w:left="360"/>
        <w:rPr>
          <w:rFonts w:asciiTheme="minorHAnsi" w:eastAsia="Times New Roman" w:hAnsiTheme="minorHAnsi" w:cs="Times New Roman"/>
          <w:color w:val="0000FF"/>
        </w:rPr>
      </w:pPr>
      <w:r w:rsidRPr="003165B5">
        <w:rPr>
          <w:rFonts w:asciiTheme="minorHAnsi" w:eastAsia="Times New Roman" w:hAnsiTheme="minorHAnsi" w:cs="Times New Roman"/>
          <w:i w:val="0"/>
          <w:color w:val="0000FF"/>
        </w:rPr>
        <w:t>Results:</w:t>
      </w:r>
      <w:r w:rsidRPr="003165B5">
        <w:rPr>
          <w:rFonts w:asciiTheme="minorHAnsi" w:eastAsia="Times New Roman" w:hAnsiTheme="minorHAnsi" w:cs="Times New Roman"/>
          <w:color w:val="0000FF"/>
        </w:rPr>
        <w:t xml:space="preserve">  </w:t>
      </w:r>
      <w:r w:rsidRPr="003165B5">
        <w:rPr>
          <w:rFonts w:asciiTheme="minorHAnsi" w:hAnsiTheme="minorHAnsi"/>
          <w:b w:val="0"/>
          <w:i w:val="0"/>
          <w:color w:val="0000FF"/>
        </w:rPr>
        <w:t>Baseline fluid overload parameters in the intervention and control groups were 1.45 ± 1.11 (SD) and 1.44 ± 1.12 L, respectively (P = 0.7).  Time-averaged fluid overload values significantly decreased in the intervention group (mean difference, -0.5 ± 0.8 L), but not in the control group (mean difference, 0.1 ± 1.2 L), and the mean difference between groups was -0.5 L (95% CI, -0.8 to -0.2; P = 0.001).  Left ventricular mass index regressed from 131 ± 36 to 116 ± 29 g/m</w:t>
      </w:r>
      <w:r w:rsidRPr="003165B5">
        <w:rPr>
          <w:rFonts w:asciiTheme="minorHAnsi" w:hAnsiTheme="minorHAnsi"/>
          <w:b w:val="0"/>
          <w:bCs w:val="0"/>
          <w:i w:val="0"/>
          <w:iCs w:val="0"/>
          <w:color w:val="0000FF"/>
          <w:vertAlign w:val="superscript"/>
        </w:rPr>
        <w:t>2</w:t>
      </w:r>
      <w:r w:rsidRPr="003165B5">
        <w:rPr>
          <w:rFonts w:asciiTheme="minorHAnsi" w:hAnsiTheme="minorHAnsi"/>
          <w:b w:val="0"/>
          <w:i w:val="0"/>
          <w:color w:val="0000FF"/>
        </w:rPr>
        <w:t xml:space="preserve"> (P &lt; 0.001) in the intervention group, but not in the control group (121 ± 35 to 120 ± 30 g/m</w:t>
      </w:r>
      <w:r w:rsidRPr="003165B5">
        <w:rPr>
          <w:rFonts w:asciiTheme="minorHAnsi" w:hAnsiTheme="minorHAnsi"/>
          <w:b w:val="0"/>
          <w:bCs w:val="0"/>
          <w:i w:val="0"/>
          <w:iCs w:val="0"/>
          <w:color w:val="0000FF"/>
          <w:vertAlign w:val="superscript"/>
        </w:rPr>
        <w:t>2</w:t>
      </w:r>
      <w:r w:rsidRPr="003165B5">
        <w:rPr>
          <w:rFonts w:asciiTheme="minorHAnsi" w:hAnsiTheme="minorHAnsi"/>
          <w:b w:val="0"/>
          <w:i w:val="0"/>
          <w:color w:val="0000FF"/>
        </w:rPr>
        <w:t>; P = 0.9); mean difference between groups was -10.2 g/m</w:t>
      </w:r>
      <w:r w:rsidRPr="003165B5">
        <w:rPr>
          <w:rFonts w:asciiTheme="minorHAnsi" w:hAnsiTheme="minorHAnsi"/>
          <w:b w:val="0"/>
          <w:bCs w:val="0"/>
          <w:i w:val="0"/>
          <w:iCs w:val="0"/>
          <w:color w:val="0000FF"/>
          <w:vertAlign w:val="superscript"/>
        </w:rPr>
        <w:t>2</w:t>
      </w:r>
      <w:r w:rsidRPr="003165B5">
        <w:rPr>
          <w:rFonts w:asciiTheme="minorHAnsi" w:hAnsiTheme="minorHAnsi"/>
          <w:b w:val="0"/>
          <w:i w:val="0"/>
          <w:color w:val="0000FF"/>
        </w:rPr>
        <w:t xml:space="preserve"> (95% CI, -19.2 to -1.17 g/m</w:t>
      </w:r>
      <w:r w:rsidRPr="003165B5">
        <w:rPr>
          <w:rFonts w:asciiTheme="minorHAnsi" w:hAnsiTheme="minorHAnsi"/>
          <w:b w:val="0"/>
          <w:bCs w:val="0"/>
          <w:i w:val="0"/>
          <w:iCs w:val="0"/>
          <w:color w:val="0000FF"/>
          <w:vertAlign w:val="superscript"/>
        </w:rPr>
        <w:t>2</w:t>
      </w:r>
      <w:r w:rsidRPr="003165B5">
        <w:rPr>
          <w:rFonts w:asciiTheme="minorHAnsi" w:hAnsiTheme="minorHAnsi"/>
          <w:b w:val="0"/>
          <w:i w:val="0"/>
          <w:color w:val="0000FF"/>
        </w:rPr>
        <w:t>; P = 0.04).  In addition, values for left atrial volume index, blood pressure, and arterial stiffness parameters decreased in the intervention group, but not in the control group.</w:t>
      </w:r>
    </w:p>
    <w:p w14:paraId="57848557" w14:textId="77777777" w:rsidR="00BC05B1" w:rsidRPr="003165B5" w:rsidRDefault="00BC05B1" w:rsidP="00BC05B1">
      <w:pPr>
        <w:pStyle w:val="Heading4"/>
        <w:spacing w:before="0" w:line="240" w:lineRule="auto"/>
        <w:ind w:left="360"/>
        <w:rPr>
          <w:rFonts w:asciiTheme="minorHAnsi" w:eastAsia="Times New Roman" w:hAnsiTheme="minorHAnsi" w:cs="Times New Roman"/>
          <w:b w:val="0"/>
          <w:color w:val="0000FF"/>
        </w:rPr>
      </w:pPr>
      <w:r w:rsidRPr="003165B5">
        <w:rPr>
          <w:rFonts w:asciiTheme="minorHAnsi" w:eastAsia="Times New Roman" w:hAnsiTheme="minorHAnsi" w:cs="Times New Roman"/>
          <w:i w:val="0"/>
          <w:color w:val="0000FF"/>
        </w:rPr>
        <w:t>Conclusions:</w:t>
      </w:r>
      <w:r w:rsidRPr="003165B5">
        <w:rPr>
          <w:rFonts w:asciiTheme="minorHAnsi" w:eastAsia="Times New Roman" w:hAnsiTheme="minorHAnsi" w:cs="Times New Roman"/>
          <w:color w:val="0000FF"/>
        </w:rPr>
        <w:t xml:space="preserve">  </w:t>
      </w:r>
      <w:r w:rsidRPr="003165B5">
        <w:rPr>
          <w:rStyle w:val="highlight"/>
          <w:rFonts w:asciiTheme="minorHAnsi" w:hAnsiTheme="minorHAnsi"/>
          <w:b w:val="0"/>
          <w:i w:val="0"/>
          <w:color w:val="0000FF"/>
        </w:rPr>
        <w:t>Assessment</w:t>
      </w:r>
      <w:r w:rsidRPr="003165B5">
        <w:rPr>
          <w:rFonts w:asciiTheme="minorHAnsi" w:hAnsiTheme="minorHAnsi"/>
          <w:b w:val="0"/>
          <w:i w:val="0"/>
          <w:color w:val="0000FF"/>
        </w:rPr>
        <w:t xml:space="preserve"> of fluid overload with </w:t>
      </w:r>
      <w:proofErr w:type="spellStart"/>
      <w:r w:rsidRPr="003165B5">
        <w:rPr>
          <w:rFonts w:asciiTheme="minorHAnsi" w:hAnsiTheme="minorHAnsi"/>
          <w:b w:val="0"/>
          <w:i w:val="0"/>
          <w:color w:val="0000FF"/>
        </w:rPr>
        <w:t>bioimpedance</w:t>
      </w:r>
      <w:proofErr w:type="spellEnd"/>
      <w:r w:rsidRPr="003165B5">
        <w:rPr>
          <w:rFonts w:asciiTheme="minorHAnsi" w:hAnsiTheme="minorHAnsi"/>
          <w:b w:val="0"/>
          <w:i w:val="0"/>
          <w:color w:val="0000FF"/>
        </w:rPr>
        <w:t xml:space="preserve"> spectroscopy provides better management of fluid </w:t>
      </w:r>
      <w:proofErr w:type="gramStart"/>
      <w:r w:rsidRPr="003165B5">
        <w:rPr>
          <w:rFonts w:asciiTheme="minorHAnsi" w:hAnsiTheme="minorHAnsi"/>
          <w:b w:val="0"/>
          <w:i w:val="0"/>
          <w:color w:val="0000FF"/>
        </w:rPr>
        <w:t>status,</w:t>
      </w:r>
      <w:proofErr w:type="gramEnd"/>
      <w:r w:rsidRPr="003165B5">
        <w:rPr>
          <w:rFonts w:asciiTheme="minorHAnsi" w:hAnsiTheme="minorHAnsi"/>
          <w:b w:val="0"/>
          <w:i w:val="0"/>
          <w:color w:val="0000FF"/>
        </w:rPr>
        <w:t xml:space="preserve"> leading to regression of left ventricular mass index, decrease in blood pressure, and improvement in arterial stiffness.</w:t>
      </w:r>
    </w:p>
    <w:p w14:paraId="63113A0F" w14:textId="77777777" w:rsidR="00BC05B1" w:rsidRPr="00BC05B1" w:rsidRDefault="00BC05B1" w:rsidP="00BC05B1">
      <w:pPr>
        <w:pStyle w:val="NormalWeb"/>
        <w:spacing w:before="0" w:beforeAutospacing="0" w:after="120" w:afterAutospacing="0"/>
        <w:ind w:left="360"/>
        <w:rPr>
          <w:rFonts w:asciiTheme="minorHAnsi" w:hAnsiTheme="minorHAnsi"/>
          <w:color w:val="0000FF"/>
          <w:sz w:val="22"/>
          <w:szCs w:val="22"/>
        </w:rPr>
      </w:pPr>
    </w:p>
    <w:p w14:paraId="269DCBDF" w14:textId="77777777" w:rsidR="00D144A6" w:rsidRPr="003165B5" w:rsidRDefault="00D144A6" w:rsidP="00BC05B1">
      <w:pPr>
        <w:pStyle w:val="Heading1"/>
        <w:spacing w:before="0"/>
        <w:ind w:left="0" w:firstLine="0"/>
        <w:rPr>
          <w:rFonts w:asciiTheme="minorHAnsi" w:hAnsiTheme="minorHAnsi"/>
          <w:b w:val="0"/>
          <w:color w:val="0000FF"/>
          <w:sz w:val="22"/>
          <w:szCs w:val="22"/>
        </w:rPr>
      </w:pPr>
    </w:p>
    <w:p w14:paraId="0EA2F8D7" w14:textId="77777777" w:rsidR="00D144A6" w:rsidRPr="003165B5" w:rsidRDefault="00D144A6" w:rsidP="00D144A6">
      <w:pPr>
        <w:pStyle w:val="Heading1"/>
        <w:numPr>
          <w:ilvl w:val="0"/>
          <w:numId w:val="9"/>
        </w:numPr>
        <w:spacing w:before="0" w:after="120"/>
        <w:rPr>
          <w:rFonts w:asciiTheme="minorHAnsi" w:eastAsia="Times New Roman" w:hAnsiTheme="minorHAnsi" w:cs="Times New Roman"/>
          <w:color w:val="0000FF"/>
          <w:sz w:val="22"/>
          <w:szCs w:val="22"/>
        </w:rPr>
      </w:pPr>
      <w:proofErr w:type="spellStart"/>
      <w:r w:rsidRPr="003165B5">
        <w:rPr>
          <w:rFonts w:asciiTheme="minorHAnsi" w:eastAsia="Times New Roman" w:hAnsiTheme="minorHAnsi" w:cs="Times New Roman"/>
          <w:color w:val="0000FF"/>
          <w:sz w:val="22"/>
          <w:szCs w:val="22"/>
        </w:rPr>
        <w:t>Chazot</w:t>
      </w:r>
      <w:proofErr w:type="spellEnd"/>
      <w:r w:rsidRPr="003165B5">
        <w:rPr>
          <w:rFonts w:asciiTheme="minorHAnsi" w:eastAsia="Times New Roman" w:hAnsiTheme="minorHAnsi" w:cs="Times New Roman"/>
          <w:color w:val="0000FF"/>
          <w:sz w:val="22"/>
          <w:szCs w:val="22"/>
        </w:rPr>
        <w:t xml:space="preserve"> C, </w:t>
      </w:r>
      <w:proofErr w:type="spellStart"/>
      <w:r w:rsidRPr="003165B5">
        <w:rPr>
          <w:rFonts w:asciiTheme="minorHAnsi" w:eastAsia="Times New Roman" w:hAnsiTheme="minorHAnsi" w:cs="Times New Roman"/>
          <w:color w:val="0000FF"/>
          <w:sz w:val="22"/>
          <w:szCs w:val="22"/>
        </w:rPr>
        <w:t>Wabel</w:t>
      </w:r>
      <w:proofErr w:type="spellEnd"/>
      <w:r w:rsidRPr="003165B5">
        <w:rPr>
          <w:rFonts w:asciiTheme="minorHAnsi" w:eastAsia="Times New Roman" w:hAnsiTheme="minorHAnsi" w:cs="Times New Roman"/>
          <w:color w:val="0000FF"/>
          <w:sz w:val="22"/>
          <w:szCs w:val="22"/>
        </w:rPr>
        <w:t xml:space="preserve"> P, </w:t>
      </w:r>
      <w:proofErr w:type="spellStart"/>
      <w:r w:rsidRPr="003165B5">
        <w:rPr>
          <w:rFonts w:asciiTheme="minorHAnsi" w:eastAsia="Times New Roman" w:hAnsiTheme="minorHAnsi" w:cs="Times New Roman"/>
          <w:color w:val="0000FF"/>
          <w:sz w:val="22"/>
          <w:szCs w:val="22"/>
        </w:rPr>
        <w:t>Chamney</w:t>
      </w:r>
      <w:proofErr w:type="spellEnd"/>
      <w:r w:rsidRPr="003165B5">
        <w:rPr>
          <w:rFonts w:asciiTheme="minorHAnsi" w:eastAsia="Times New Roman" w:hAnsiTheme="minorHAnsi" w:cs="Times New Roman"/>
          <w:color w:val="0000FF"/>
          <w:sz w:val="22"/>
          <w:szCs w:val="22"/>
        </w:rPr>
        <w:t xml:space="preserve"> P, et al.  </w:t>
      </w:r>
      <w:proofErr w:type="gramStart"/>
      <w:r w:rsidRPr="003165B5">
        <w:rPr>
          <w:rFonts w:asciiTheme="minorHAnsi" w:eastAsia="Times New Roman" w:hAnsiTheme="minorHAnsi" w:cs="Times New Roman"/>
          <w:color w:val="0000FF"/>
          <w:sz w:val="22"/>
          <w:szCs w:val="22"/>
        </w:rPr>
        <w:t xml:space="preserve">Importance of </w:t>
      </w:r>
      <w:proofErr w:type="spellStart"/>
      <w:r w:rsidRPr="003165B5">
        <w:rPr>
          <w:rFonts w:asciiTheme="minorHAnsi" w:eastAsia="Times New Roman" w:hAnsiTheme="minorHAnsi" w:cs="Times New Roman"/>
          <w:color w:val="0000FF"/>
          <w:sz w:val="22"/>
          <w:szCs w:val="22"/>
        </w:rPr>
        <w:t>normohydration</w:t>
      </w:r>
      <w:proofErr w:type="spellEnd"/>
      <w:r w:rsidRPr="003165B5">
        <w:rPr>
          <w:rFonts w:asciiTheme="minorHAnsi" w:eastAsia="Times New Roman" w:hAnsiTheme="minorHAnsi" w:cs="Times New Roman"/>
          <w:color w:val="0000FF"/>
          <w:sz w:val="22"/>
          <w:szCs w:val="22"/>
        </w:rPr>
        <w:t xml:space="preserve"> for the long-term survival of </w:t>
      </w:r>
      <w:proofErr w:type="spellStart"/>
      <w:r w:rsidRPr="003165B5">
        <w:rPr>
          <w:rFonts w:asciiTheme="minorHAnsi" w:eastAsia="Times New Roman" w:hAnsiTheme="minorHAnsi" w:cs="Times New Roman"/>
          <w:color w:val="0000FF"/>
          <w:sz w:val="22"/>
          <w:szCs w:val="22"/>
        </w:rPr>
        <w:t>haemodialysis</w:t>
      </w:r>
      <w:proofErr w:type="spellEnd"/>
      <w:r w:rsidRPr="003165B5">
        <w:rPr>
          <w:rFonts w:asciiTheme="minorHAnsi" w:eastAsia="Times New Roman" w:hAnsiTheme="minorHAnsi" w:cs="Times New Roman"/>
          <w:color w:val="0000FF"/>
          <w:sz w:val="22"/>
          <w:szCs w:val="22"/>
        </w:rPr>
        <w:t xml:space="preserve"> patients.</w:t>
      </w:r>
      <w:proofErr w:type="gramEnd"/>
      <w:r w:rsidRPr="003165B5">
        <w:rPr>
          <w:rFonts w:asciiTheme="minorHAnsi" w:eastAsia="Times New Roman" w:hAnsiTheme="minorHAnsi" w:cs="Times New Roman"/>
          <w:color w:val="0000FF"/>
          <w:sz w:val="22"/>
          <w:szCs w:val="22"/>
        </w:rPr>
        <w:t xml:space="preserve">  </w:t>
      </w:r>
      <w:proofErr w:type="spellStart"/>
      <w:r w:rsidRPr="003165B5">
        <w:rPr>
          <w:rFonts w:asciiTheme="minorHAnsi" w:eastAsia="Times New Roman" w:hAnsiTheme="minorHAnsi" w:cs="Times New Roman"/>
          <w:i/>
          <w:color w:val="0000FF"/>
          <w:sz w:val="22"/>
          <w:szCs w:val="22"/>
        </w:rPr>
        <w:t>Nephrol</w:t>
      </w:r>
      <w:proofErr w:type="spellEnd"/>
      <w:r w:rsidRPr="003165B5">
        <w:rPr>
          <w:rFonts w:asciiTheme="minorHAnsi" w:eastAsia="Times New Roman" w:hAnsiTheme="minorHAnsi" w:cs="Times New Roman"/>
          <w:i/>
          <w:color w:val="0000FF"/>
          <w:sz w:val="22"/>
          <w:szCs w:val="22"/>
        </w:rPr>
        <w:t xml:space="preserve"> Dial Transplant.</w:t>
      </w:r>
      <w:r w:rsidRPr="003165B5">
        <w:rPr>
          <w:rFonts w:asciiTheme="minorHAnsi" w:eastAsia="Times New Roman" w:hAnsiTheme="minorHAnsi" w:cs="Times New Roman"/>
          <w:color w:val="0000FF"/>
          <w:sz w:val="22"/>
          <w:szCs w:val="22"/>
        </w:rPr>
        <w:t xml:space="preserve">  2012</w:t>
      </w:r>
      <w:proofErr w:type="gramStart"/>
      <w:r w:rsidRPr="003165B5">
        <w:rPr>
          <w:rFonts w:asciiTheme="minorHAnsi" w:eastAsia="Times New Roman" w:hAnsiTheme="minorHAnsi" w:cs="Times New Roman"/>
          <w:color w:val="0000FF"/>
          <w:sz w:val="22"/>
          <w:szCs w:val="22"/>
        </w:rPr>
        <w:t>;27</w:t>
      </w:r>
      <w:proofErr w:type="gramEnd"/>
      <w:r w:rsidRPr="003165B5">
        <w:rPr>
          <w:rFonts w:asciiTheme="minorHAnsi" w:eastAsia="Times New Roman" w:hAnsiTheme="minorHAnsi" w:cs="Times New Roman"/>
          <w:color w:val="0000FF"/>
          <w:sz w:val="22"/>
          <w:szCs w:val="22"/>
        </w:rPr>
        <w:t xml:space="preserve">(6):2404-2410.  </w:t>
      </w:r>
    </w:p>
    <w:p w14:paraId="1D3106E1" w14:textId="77777777" w:rsidR="00D144A6" w:rsidRPr="003165B5" w:rsidRDefault="00D144A6" w:rsidP="00DE02A1">
      <w:pPr>
        <w:spacing w:after="120"/>
        <w:ind w:firstLine="0"/>
        <w:rPr>
          <w:color w:val="0000FF"/>
        </w:rPr>
      </w:pPr>
      <w:r w:rsidRPr="003165B5">
        <w:rPr>
          <w:b/>
          <w:color w:val="0000FF"/>
        </w:rPr>
        <w:t>Background:</w:t>
      </w:r>
      <w:r w:rsidRPr="003165B5">
        <w:rPr>
          <w:color w:val="0000FF"/>
        </w:rPr>
        <w:t xml:space="preserve">  Fluid overload and hypertension are among the most important risk factors for </w:t>
      </w:r>
      <w:proofErr w:type="spellStart"/>
      <w:r w:rsidRPr="003165B5">
        <w:rPr>
          <w:color w:val="0000FF"/>
        </w:rPr>
        <w:t>haemodialysis</w:t>
      </w:r>
      <w:proofErr w:type="spellEnd"/>
      <w:r w:rsidRPr="003165B5">
        <w:rPr>
          <w:color w:val="0000FF"/>
        </w:rPr>
        <w:t xml:space="preserve"> (HD) patients. The aim of this study was to analy</w:t>
      </w:r>
      <w:r>
        <w:rPr>
          <w:color w:val="0000FF"/>
        </w:rPr>
        <w:t>z</w:t>
      </w:r>
      <w:r w:rsidRPr="003165B5">
        <w:rPr>
          <w:color w:val="0000FF"/>
        </w:rPr>
        <w:t xml:space="preserve">e the impact of fluid overload for the survival of HD patients by using a selected reference population from </w:t>
      </w:r>
      <w:proofErr w:type="spellStart"/>
      <w:r w:rsidRPr="003165B5">
        <w:rPr>
          <w:color w:val="0000FF"/>
        </w:rPr>
        <w:t>Tassin</w:t>
      </w:r>
      <w:proofErr w:type="spellEnd"/>
      <w:r>
        <w:rPr>
          <w:color w:val="0000FF"/>
        </w:rPr>
        <w:t xml:space="preserve"> [France]</w:t>
      </w:r>
      <w:r w:rsidRPr="003165B5">
        <w:rPr>
          <w:color w:val="0000FF"/>
        </w:rPr>
        <w:t>.</w:t>
      </w:r>
    </w:p>
    <w:p w14:paraId="7CE1B71B" w14:textId="77777777" w:rsidR="00D144A6" w:rsidRPr="003165B5" w:rsidRDefault="00D144A6" w:rsidP="00DE02A1">
      <w:pPr>
        <w:spacing w:after="120"/>
        <w:ind w:firstLine="0"/>
        <w:rPr>
          <w:color w:val="0000FF"/>
        </w:rPr>
      </w:pPr>
      <w:r w:rsidRPr="003165B5">
        <w:rPr>
          <w:b/>
          <w:color w:val="0000FF"/>
        </w:rPr>
        <w:t>Methods:</w:t>
      </w:r>
      <w:r w:rsidRPr="003165B5">
        <w:rPr>
          <w:color w:val="0000FF"/>
        </w:rPr>
        <w:t xml:space="preserve">  A positively selected HD population (n = 50) from </w:t>
      </w:r>
      <w:proofErr w:type="spellStart"/>
      <w:r w:rsidRPr="003165B5">
        <w:rPr>
          <w:color w:val="0000FF"/>
        </w:rPr>
        <w:t>Tassin</w:t>
      </w:r>
      <w:proofErr w:type="spellEnd"/>
      <w:r w:rsidRPr="003165B5">
        <w:rPr>
          <w:color w:val="0000FF"/>
        </w:rPr>
        <w:t xml:space="preserve"> (Lyon-France) was used as a reference for fluid status and all-cause mortality.  This population was compared to one dialysis </w:t>
      </w:r>
      <w:proofErr w:type="spellStart"/>
      <w:r w:rsidRPr="003165B5">
        <w:rPr>
          <w:color w:val="0000FF"/>
        </w:rPr>
        <w:t>centre</w:t>
      </w:r>
      <w:proofErr w:type="spellEnd"/>
      <w:r w:rsidRPr="003165B5">
        <w:rPr>
          <w:color w:val="0000FF"/>
        </w:rPr>
        <w:t xml:space="preserve"> from Giessen (Germany), which was separated into a non-</w:t>
      </w:r>
      <w:proofErr w:type="spellStart"/>
      <w:r w:rsidRPr="003165B5">
        <w:rPr>
          <w:color w:val="0000FF"/>
        </w:rPr>
        <w:t>hyperhydrated</w:t>
      </w:r>
      <w:proofErr w:type="spellEnd"/>
      <w:r w:rsidRPr="003165B5">
        <w:rPr>
          <w:color w:val="0000FF"/>
        </w:rPr>
        <w:t xml:space="preserve"> (n = 123) and a </w:t>
      </w:r>
      <w:proofErr w:type="spellStart"/>
      <w:r w:rsidRPr="003165B5">
        <w:rPr>
          <w:color w:val="0000FF"/>
        </w:rPr>
        <w:t>hyperhydrated</w:t>
      </w:r>
      <w:proofErr w:type="spellEnd"/>
      <w:r w:rsidRPr="003165B5">
        <w:rPr>
          <w:color w:val="0000FF"/>
        </w:rPr>
        <w:t xml:space="preserve"> (n = 35) patient group.  The hydration status (ΔHS) of all patients was objectively measured with whole-</w:t>
      </w:r>
      <w:r w:rsidRPr="003165B5">
        <w:rPr>
          <w:rStyle w:val="highlight"/>
          <w:color w:val="0000FF"/>
        </w:rPr>
        <w:t>body</w:t>
      </w:r>
      <w:r w:rsidRPr="003165B5">
        <w:rPr>
          <w:color w:val="0000FF"/>
        </w:rPr>
        <w:t xml:space="preserve"> </w:t>
      </w:r>
      <w:proofErr w:type="spellStart"/>
      <w:r w:rsidRPr="003165B5">
        <w:rPr>
          <w:color w:val="0000FF"/>
        </w:rPr>
        <w:t>bioimpedance</w:t>
      </w:r>
      <w:proofErr w:type="spellEnd"/>
      <w:r w:rsidRPr="003165B5">
        <w:rPr>
          <w:color w:val="0000FF"/>
        </w:rPr>
        <w:t xml:space="preserve"> spectroscopy in 2003.  All-cause mortality was </w:t>
      </w:r>
      <w:proofErr w:type="spellStart"/>
      <w:r w:rsidRPr="003165B5">
        <w:rPr>
          <w:color w:val="0000FF"/>
        </w:rPr>
        <w:t>analysed</w:t>
      </w:r>
      <w:proofErr w:type="spellEnd"/>
      <w:r w:rsidRPr="003165B5">
        <w:rPr>
          <w:color w:val="0000FF"/>
        </w:rPr>
        <w:t xml:space="preserve"> after a 6.5-year follow-up.</w:t>
      </w:r>
    </w:p>
    <w:p w14:paraId="7A3A910C" w14:textId="77777777" w:rsidR="00D144A6" w:rsidRPr="003165B5" w:rsidRDefault="00D144A6" w:rsidP="00DE02A1">
      <w:pPr>
        <w:spacing w:after="120"/>
        <w:ind w:firstLine="0"/>
        <w:rPr>
          <w:color w:val="0000FF"/>
        </w:rPr>
      </w:pPr>
      <w:r w:rsidRPr="003165B5">
        <w:rPr>
          <w:b/>
          <w:color w:val="0000FF"/>
        </w:rPr>
        <w:t>Results:</w:t>
      </w:r>
      <w:r w:rsidRPr="003165B5">
        <w:rPr>
          <w:color w:val="0000FF"/>
        </w:rPr>
        <w:t xml:space="preserve">  Most of the reference patients from </w:t>
      </w:r>
      <w:proofErr w:type="spellStart"/>
      <w:r w:rsidRPr="003165B5">
        <w:rPr>
          <w:color w:val="0000FF"/>
        </w:rPr>
        <w:t>Tassin</w:t>
      </w:r>
      <w:proofErr w:type="spellEnd"/>
      <w:r w:rsidRPr="003165B5">
        <w:rPr>
          <w:color w:val="0000FF"/>
        </w:rPr>
        <w:t xml:space="preserve"> were </w:t>
      </w:r>
      <w:proofErr w:type="spellStart"/>
      <w:r w:rsidRPr="003165B5">
        <w:rPr>
          <w:color w:val="0000FF"/>
        </w:rPr>
        <w:t>normohydrated</w:t>
      </w:r>
      <w:proofErr w:type="spellEnd"/>
      <w:r w:rsidRPr="003165B5">
        <w:rPr>
          <w:color w:val="0000FF"/>
        </w:rPr>
        <w:t xml:space="preserve"> (ΔHS = 0.25 ± 1.15 L) at the start of the HD session.  The hydration status of the </w:t>
      </w:r>
      <w:proofErr w:type="spellStart"/>
      <w:r w:rsidRPr="003165B5">
        <w:rPr>
          <w:color w:val="0000FF"/>
        </w:rPr>
        <w:t>Tassin</w:t>
      </w:r>
      <w:proofErr w:type="spellEnd"/>
      <w:r w:rsidRPr="003165B5">
        <w:rPr>
          <w:color w:val="0000FF"/>
        </w:rPr>
        <w:t xml:space="preserve"> patients was not different to the non-</w:t>
      </w:r>
      <w:proofErr w:type="spellStart"/>
      <w:r w:rsidRPr="003165B5">
        <w:rPr>
          <w:color w:val="0000FF"/>
        </w:rPr>
        <w:t>hyperhydrated</w:t>
      </w:r>
      <w:proofErr w:type="spellEnd"/>
      <w:r w:rsidRPr="003165B5">
        <w:rPr>
          <w:color w:val="0000FF"/>
        </w:rPr>
        <w:t xml:space="preserve"> Giessen patients (ΔHS = 0.8 ± 1.1 L) but significantly lower than in the </w:t>
      </w:r>
      <w:proofErr w:type="spellStart"/>
      <w:r w:rsidRPr="003165B5">
        <w:rPr>
          <w:color w:val="0000FF"/>
        </w:rPr>
        <w:t>hyperhydrated</w:t>
      </w:r>
      <w:proofErr w:type="spellEnd"/>
      <w:r w:rsidRPr="003165B5">
        <w:rPr>
          <w:color w:val="0000FF"/>
        </w:rPr>
        <w:t xml:space="preserve"> Giessen group (ΔHS = 3.5 ± 1.2 L).  Multivariate adjusted all-cause mortality was significantly increased in the </w:t>
      </w:r>
      <w:proofErr w:type="spellStart"/>
      <w:r w:rsidRPr="003165B5">
        <w:rPr>
          <w:color w:val="0000FF"/>
        </w:rPr>
        <w:t>hyperhydrated</w:t>
      </w:r>
      <w:proofErr w:type="spellEnd"/>
      <w:r w:rsidRPr="003165B5">
        <w:rPr>
          <w:color w:val="0000FF"/>
        </w:rPr>
        <w:t xml:space="preserve"> patient group (hazard ratio = 3.41)—no difference in mortality could be observed between the </w:t>
      </w:r>
      <w:proofErr w:type="spellStart"/>
      <w:r w:rsidRPr="003165B5">
        <w:rPr>
          <w:color w:val="0000FF"/>
        </w:rPr>
        <w:t>Tassin</w:t>
      </w:r>
      <w:proofErr w:type="spellEnd"/>
      <w:r w:rsidRPr="003165B5">
        <w:rPr>
          <w:color w:val="0000FF"/>
        </w:rPr>
        <w:t xml:space="preserve"> and the non-</w:t>
      </w:r>
      <w:proofErr w:type="spellStart"/>
      <w:r w:rsidRPr="003165B5">
        <w:rPr>
          <w:color w:val="0000FF"/>
        </w:rPr>
        <w:t>hyperhydrated</w:t>
      </w:r>
      <w:proofErr w:type="spellEnd"/>
      <w:r w:rsidRPr="003165B5">
        <w:rPr>
          <w:color w:val="0000FF"/>
        </w:rPr>
        <w:t xml:space="preserve"> group from Giessen-even considering the fact that </w:t>
      </w:r>
      <w:proofErr w:type="spellStart"/>
      <w:r w:rsidRPr="003165B5">
        <w:rPr>
          <w:color w:val="0000FF"/>
        </w:rPr>
        <w:t>Tassin</w:t>
      </w:r>
      <w:proofErr w:type="spellEnd"/>
      <w:r w:rsidRPr="003165B5">
        <w:rPr>
          <w:color w:val="0000FF"/>
        </w:rPr>
        <w:t xml:space="preserve"> patients presented a significantly lower blood pressure.</w:t>
      </w:r>
    </w:p>
    <w:p w14:paraId="33DB7E82" w14:textId="77777777" w:rsidR="00D144A6" w:rsidRDefault="00D144A6" w:rsidP="00DE02A1">
      <w:pPr>
        <w:ind w:firstLine="0"/>
        <w:rPr>
          <w:color w:val="0000FF"/>
        </w:rPr>
      </w:pPr>
      <w:r w:rsidRPr="003165B5">
        <w:rPr>
          <w:b/>
          <w:color w:val="0000FF"/>
        </w:rPr>
        <w:t>Conclusions:</w:t>
      </w:r>
      <w:r w:rsidRPr="003165B5">
        <w:rPr>
          <w:color w:val="0000FF"/>
        </w:rPr>
        <w:t xml:space="preserve">  Fluid overload has a very high predictive value for all-cause mortality and seems to be one of the major killers in the HD population.  Patients might strongly benefit from active management of fluid overload.</w:t>
      </w:r>
    </w:p>
    <w:p w14:paraId="25AEAE8A" w14:textId="77777777" w:rsidR="00BC05B1" w:rsidRDefault="00BC05B1" w:rsidP="00DE02A1">
      <w:pPr>
        <w:ind w:firstLine="0"/>
        <w:rPr>
          <w:color w:val="0000FF"/>
        </w:rPr>
      </w:pPr>
    </w:p>
    <w:p w14:paraId="4B7A73FF" w14:textId="77777777" w:rsidR="00BC05B1" w:rsidRPr="003165B5" w:rsidRDefault="00BC05B1" w:rsidP="00BC05B1">
      <w:pPr>
        <w:pStyle w:val="Heading1"/>
        <w:numPr>
          <w:ilvl w:val="0"/>
          <w:numId w:val="9"/>
        </w:numPr>
        <w:spacing w:before="0" w:after="120"/>
        <w:rPr>
          <w:rFonts w:asciiTheme="minorHAnsi" w:hAnsiTheme="minorHAnsi"/>
          <w:color w:val="0000FF"/>
          <w:sz w:val="22"/>
          <w:szCs w:val="22"/>
        </w:rPr>
      </w:pPr>
      <w:proofErr w:type="spellStart"/>
      <w:r w:rsidRPr="003165B5">
        <w:rPr>
          <w:rFonts w:asciiTheme="minorHAnsi" w:hAnsiTheme="minorHAnsi"/>
          <w:color w:val="0000FF"/>
          <w:sz w:val="22"/>
          <w:szCs w:val="22"/>
        </w:rPr>
        <w:lastRenderedPageBreak/>
        <w:t>Agarwal</w:t>
      </w:r>
      <w:proofErr w:type="spellEnd"/>
      <w:r w:rsidRPr="003165B5">
        <w:rPr>
          <w:rFonts w:asciiTheme="minorHAnsi" w:hAnsiTheme="minorHAnsi"/>
          <w:color w:val="0000FF"/>
          <w:sz w:val="22"/>
          <w:szCs w:val="22"/>
        </w:rPr>
        <w:t xml:space="preserve"> R.  </w:t>
      </w:r>
      <w:proofErr w:type="gramStart"/>
      <w:r w:rsidRPr="003165B5">
        <w:rPr>
          <w:rFonts w:asciiTheme="minorHAnsi" w:hAnsiTheme="minorHAnsi"/>
          <w:color w:val="0000FF"/>
          <w:sz w:val="22"/>
          <w:szCs w:val="22"/>
        </w:rPr>
        <w:t xml:space="preserve">Epidemiology of </w:t>
      </w:r>
      <w:proofErr w:type="spellStart"/>
      <w:r w:rsidRPr="003165B5">
        <w:rPr>
          <w:rFonts w:asciiTheme="minorHAnsi" w:hAnsiTheme="minorHAnsi"/>
          <w:color w:val="0000FF"/>
          <w:sz w:val="22"/>
          <w:szCs w:val="22"/>
        </w:rPr>
        <w:t>interdialytic</w:t>
      </w:r>
      <w:proofErr w:type="spellEnd"/>
      <w:r w:rsidRPr="003165B5">
        <w:rPr>
          <w:rFonts w:asciiTheme="minorHAnsi" w:hAnsiTheme="minorHAnsi"/>
          <w:color w:val="0000FF"/>
          <w:sz w:val="22"/>
          <w:szCs w:val="22"/>
        </w:rPr>
        <w:t xml:space="preserve"> </w:t>
      </w:r>
      <w:r w:rsidRPr="003165B5">
        <w:rPr>
          <w:rStyle w:val="highlight"/>
          <w:rFonts w:asciiTheme="minorHAnsi" w:eastAsiaTheme="minorEastAsia" w:hAnsiTheme="minorHAnsi"/>
          <w:color w:val="0000FF"/>
          <w:sz w:val="22"/>
          <w:szCs w:val="22"/>
        </w:rPr>
        <w:t>ambulatory</w:t>
      </w:r>
      <w:r w:rsidRPr="003165B5">
        <w:rPr>
          <w:rFonts w:asciiTheme="minorHAnsi" w:hAnsiTheme="minorHAnsi"/>
          <w:color w:val="0000FF"/>
          <w:sz w:val="22"/>
          <w:szCs w:val="22"/>
        </w:rPr>
        <w:t xml:space="preserve"> hypertension and the role of volume excess.</w:t>
      </w:r>
      <w:proofErr w:type="gramEnd"/>
      <w:r w:rsidRPr="003165B5">
        <w:rPr>
          <w:rFonts w:asciiTheme="minorHAnsi" w:hAnsiTheme="minorHAnsi"/>
          <w:color w:val="0000FF"/>
          <w:sz w:val="22"/>
          <w:szCs w:val="22"/>
        </w:rPr>
        <w:t xml:space="preserve">  </w:t>
      </w:r>
      <w:r w:rsidRPr="003165B5">
        <w:rPr>
          <w:rFonts w:asciiTheme="minorHAnsi" w:hAnsiTheme="minorHAnsi"/>
          <w:i/>
          <w:color w:val="0000FF"/>
          <w:sz w:val="22"/>
          <w:szCs w:val="22"/>
        </w:rPr>
        <w:t xml:space="preserve">Am J </w:t>
      </w:r>
      <w:proofErr w:type="spellStart"/>
      <w:proofErr w:type="gramStart"/>
      <w:r w:rsidRPr="003165B5">
        <w:rPr>
          <w:rFonts w:asciiTheme="minorHAnsi" w:hAnsiTheme="minorHAnsi"/>
          <w:i/>
          <w:color w:val="0000FF"/>
          <w:sz w:val="22"/>
          <w:szCs w:val="22"/>
        </w:rPr>
        <w:t>Nephrol</w:t>
      </w:r>
      <w:proofErr w:type="spellEnd"/>
      <w:r w:rsidRPr="003165B5">
        <w:rPr>
          <w:rFonts w:asciiTheme="minorHAnsi" w:hAnsiTheme="minorHAnsi"/>
          <w:i/>
          <w:color w:val="0000FF"/>
          <w:sz w:val="22"/>
          <w:szCs w:val="22"/>
        </w:rPr>
        <w:t>.</w:t>
      </w:r>
      <w:proofErr w:type="gramEnd"/>
      <w:r w:rsidRPr="003165B5">
        <w:rPr>
          <w:rFonts w:asciiTheme="minorHAnsi" w:hAnsiTheme="minorHAnsi"/>
          <w:color w:val="0000FF"/>
          <w:sz w:val="22"/>
          <w:szCs w:val="22"/>
        </w:rPr>
        <w:t xml:space="preserve">  2011</w:t>
      </w:r>
      <w:proofErr w:type="gramStart"/>
      <w:r w:rsidRPr="003165B5">
        <w:rPr>
          <w:rFonts w:asciiTheme="minorHAnsi" w:hAnsiTheme="minorHAnsi"/>
          <w:color w:val="0000FF"/>
          <w:sz w:val="22"/>
          <w:szCs w:val="22"/>
        </w:rPr>
        <w:t>;34</w:t>
      </w:r>
      <w:proofErr w:type="gramEnd"/>
      <w:r w:rsidRPr="003165B5">
        <w:rPr>
          <w:rFonts w:asciiTheme="minorHAnsi" w:hAnsiTheme="minorHAnsi"/>
          <w:color w:val="0000FF"/>
          <w:sz w:val="22"/>
          <w:szCs w:val="22"/>
        </w:rPr>
        <w:t>(4):381-390.</w:t>
      </w:r>
    </w:p>
    <w:p w14:paraId="33C0D4EE" w14:textId="77777777" w:rsidR="00BC05B1" w:rsidRPr="003165B5" w:rsidRDefault="00BC05B1" w:rsidP="00BC05B1">
      <w:pPr>
        <w:pStyle w:val="Heading1"/>
        <w:spacing w:before="0" w:after="120"/>
        <w:ind w:firstLine="0"/>
        <w:rPr>
          <w:rFonts w:asciiTheme="minorHAnsi" w:hAnsiTheme="minorHAnsi"/>
          <w:b w:val="0"/>
          <w:color w:val="0000FF"/>
          <w:sz w:val="22"/>
          <w:szCs w:val="22"/>
        </w:rPr>
      </w:pPr>
      <w:r w:rsidRPr="003165B5">
        <w:rPr>
          <w:rFonts w:asciiTheme="minorHAnsi" w:hAnsiTheme="minorHAnsi"/>
          <w:color w:val="0000FF"/>
          <w:sz w:val="22"/>
          <w:szCs w:val="22"/>
        </w:rPr>
        <w:t>Background:</w:t>
      </w:r>
      <w:r w:rsidRPr="003165B5">
        <w:rPr>
          <w:rFonts w:asciiTheme="minorHAnsi" w:hAnsiTheme="minorHAnsi"/>
          <w:b w:val="0"/>
          <w:color w:val="0000FF"/>
          <w:sz w:val="22"/>
          <w:szCs w:val="22"/>
        </w:rPr>
        <w:t xml:space="preserve">  The epidemiology of hypertension among </w:t>
      </w:r>
      <w:r w:rsidRPr="003165B5">
        <w:rPr>
          <w:rStyle w:val="highlight"/>
          <w:rFonts w:asciiTheme="minorHAnsi" w:hAnsiTheme="minorHAnsi"/>
          <w:b w:val="0"/>
          <w:color w:val="0000FF"/>
          <w:sz w:val="22"/>
          <w:szCs w:val="22"/>
        </w:rPr>
        <w:t>hemodialysis</w:t>
      </w:r>
      <w:r w:rsidRPr="003165B5">
        <w:rPr>
          <w:rFonts w:asciiTheme="minorHAnsi" w:hAnsiTheme="minorHAnsi"/>
          <w:b w:val="0"/>
          <w:color w:val="0000FF"/>
          <w:sz w:val="22"/>
          <w:szCs w:val="22"/>
        </w:rPr>
        <w:t xml:space="preserve"> (HD) patients is difficult to describe accurately because of difficulties in the assessment of </w:t>
      </w:r>
      <w:r w:rsidRPr="003165B5">
        <w:rPr>
          <w:rStyle w:val="highlight"/>
          <w:rFonts w:asciiTheme="minorHAnsi" w:hAnsiTheme="minorHAnsi"/>
          <w:b w:val="0"/>
          <w:color w:val="0000FF"/>
          <w:sz w:val="22"/>
          <w:szCs w:val="22"/>
        </w:rPr>
        <w:t>blood</w:t>
      </w:r>
      <w:r w:rsidRPr="003165B5">
        <w:rPr>
          <w:rFonts w:asciiTheme="minorHAnsi" w:hAnsiTheme="minorHAnsi"/>
          <w:b w:val="0"/>
          <w:color w:val="0000FF"/>
          <w:sz w:val="22"/>
          <w:szCs w:val="22"/>
        </w:rPr>
        <w:t xml:space="preserve"> </w:t>
      </w:r>
      <w:r w:rsidRPr="003165B5">
        <w:rPr>
          <w:rStyle w:val="highlight"/>
          <w:rFonts w:asciiTheme="minorHAnsi" w:hAnsiTheme="minorHAnsi"/>
          <w:b w:val="0"/>
          <w:color w:val="0000FF"/>
          <w:sz w:val="22"/>
          <w:szCs w:val="22"/>
        </w:rPr>
        <w:t>pressure (BP)</w:t>
      </w:r>
      <w:r w:rsidRPr="003165B5">
        <w:rPr>
          <w:rFonts w:asciiTheme="minorHAnsi" w:hAnsiTheme="minorHAnsi"/>
          <w:b w:val="0"/>
          <w:color w:val="0000FF"/>
          <w:sz w:val="22"/>
          <w:szCs w:val="22"/>
        </w:rPr>
        <w:t xml:space="preserve">.  </w:t>
      </w:r>
    </w:p>
    <w:p w14:paraId="07B57965" w14:textId="77777777" w:rsidR="00BC05B1" w:rsidRPr="003165B5" w:rsidRDefault="00BC05B1" w:rsidP="00BC05B1">
      <w:pPr>
        <w:pStyle w:val="Heading1"/>
        <w:spacing w:before="0" w:after="120"/>
        <w:ind w:firstLine="0"/>
        <w:rPr>
          <w:rFonts w:asciiTheme="minorHAnsi" w:hAnsiTheme="minorHAnsi"/>
          <w:b w:val="0"/>
          <w:color w:val="0000FF"/>
          <w:sz w:val="22"/>
          <w:szCs w:val="22"/>
        </w:rPr>
      </w:pPr>
      <w:r w:rsidRPr="003165B5">
        <w:rPr>
          <w:rFonts w:asciiTheme="minorHAnsi" w:hAnsiTheme="minorHAnsi"/>
          <w:color w:val="0000FF"/>
          <w:sz w:val="22"/>
          <w:szCs w:val="22"/>
        </w:rPr>
        <w:t>Methods:</w:t>
      </w:r>
      <w:r w:rsidRPr="003165B5">
        <w:rPr>
          <w:rFonts w:asciiTheme="minorHAnsi" w:hAnsiTheme="minorHAnsi"/>
          <w:b w:val="0"/>
          <w:color w:val="0000FF"/>
          <w:sz w:val="22"/>
          <w:szCs w:val="22"/>
        </w:rPr>
        <w:t xml:space="preserve">  Using 44-hour </w:t>
      </w:r>
      <w:proofErr w:type="spellStart"/>
      <w:r w:rsidRPr="003165B5">
        <w:rPr>
          <w:rFonts w:asciiTheme="minorHAnsi" w:hAnsiTheme="minorHAnsi"/>
          <w:b w:val="0"/>
          <w:color w:val="0000FF"/>
          <w:sz w:val="22"/>
          <w:szCs w:val="22"/>
        </w:rPr>
        <w:t>interdialytic</w:t>
      </w:r>
      <w:proofErr w:type="spellEnd"/>
      <w:r w:rsidRPr="003165B5">
        <w:rPr>
          <w:rFonts w:asciiTheme="minorHAnsi" w:hAnsiTheme="minorHAnsi"/>
          <w:b w:val="0"/>
          <w:color w:val="0000FF"/>
          <w:sz w:val="22"/>
          <w:szCs w:val="22"/>
        </w:rPr>
        <w:t xml:space="preserve"> </w:t>
      </w:r>
      <w:r w:rsidRPr="003165B5">
        <w:rPr>
          <w:rStyle w:val="highlight"/>
          <w:rFonts w:asciiTheme="minorHAnsi" w:hAnsiTheme="minorHAnsi"/>
          <w:b w:val="0"/>
          <w:color w:val="0000FF"/>
          <w:sz w:val="22"/>
          <w:szCs w:val="22"/>
        </w:rPr>
        <w:t>ambulatory</w:t>
      </w:r>
      <w:r w:rsidRPr="003165B5">
        <w:rPr>
          <w:rFonts w:asciiTheme="minorHAnsi" w:hAnsiTheme="minorHAnsi"/>
          <w:b w:val="0"/>
          <w:color w:val="0000FF"/>
          <w:sz w:val="22"/>
          <w:szCs w:val="22"/>
        </w:rPr>
        <w:t xml:space="preserve"> BP measurements, the authors describe the epidemiology of hypertension in a cohort of 369 patients.  To seek correlates of hypertension control, antihypertensive agents were withdrawn among patients with controlled hypertension and </w:t>
      </w:r>
      <w:r w:rsidRPr="003165B5">
        <w:rPr>
          <w:rStyle w:val="highlight"/>
          <w:rFonts w:asciiTheme="minorHAnsi" w:hAnsiTheme="minorHAnsi"/>
          <w:b w:val="0"/>
          <w:color w:val="0000FF"/>
          <w:sz w:val="22"/>
          <w:szCs w:val="22"/>
        </w:rPr>
        <w:t>ambulatory</w:t>
      </w:r>
      <w:r w:rsidRPr="003165B5">
        <w:rPr>
          <w:rFonts w:asciiTheme="minorHAnsi" w:hAnsiTheme="minorHAnsi"/>
          <w:b w:val="0"/>
          <w:color w:val="0000FF"/>
          <w:sz w:val="22"/>
          <w:szCs w:val="22"/>
        </w:rPr>
        <w:t xml:space="preserve"> BP </w:t>
      </w:r>
      <w:r w:rsidRPr="003165B5">
        <w:rPr>
          <w:rStyle w:val="highlight"/>
          <w:rFonts w:asciiTheme="minorHAnsi" w:hAnsiTheme="minorHAnsi"/>
          <w:b w:val="0"/>
          <w:color w:val="0000FF"/>
          <w:sz w:val="22"/>
          <w:szCs w:val="22"/>
        </w:rPr>
        <w:t>monitoring</w:t>
      </w:r>
      <w:r w:rsidRPr="003165B5">
        <w:rPr>
          <w:rFonts w:asciiTheme="minorHAnsi" w:hAnsiTheme="minorHAnsi"/>
          <w:b w:val="0"/>
          <w:color w:val="0000FF"/>
          <w:sz w:val="22"/>
          <w:szCs w:val="22"/>
        </w:rPr>
        <w:t xml:space="preserve"> was repeated.  </w:t>
      </w:r>
    </w:p>
    <w:p w14:paraId="57FEBD61" w14:textId="77777777" w:rsidR="00BC05B1" w:rsidRPr="003165B5" w:rsidRDefault="00BC05B1" w:rsidP="00BC05B1">
      <w:pPr>
        <w:pStyle w:val="Heading1"/>
        <w:spacing w:before="0" w:after="120"/>
        <w:ind w:firstLine="0"/>
        <w:rPr>
          <w:rFonts w:asciiTheme="minorHAnsi" w:hAnsiTheme="minorHAnsi"/>
          <w:b w:val="0"/>
          <w:color w:val="0000FF"/>
          <w:sz w:val="22"/>
          <w:szCs w:val="22"/>
        </w:rPr>
      </w:pPr>
      <w:r w:rsidRPr="003165B5">
        <w:rPr>
          <w:rFonts w:asciiTheme="minorHAnsi" w:hAnsiTheme="minorHAnsi"/>
          <w:color w:val="0000FF"/>
          <w:sz w:val="22"/>
          <w:szCs w:val="22"/>
        </w:rPr>
        <w:t>Results</w:t>
      </w:r>
      <w:r w:rsidRPr="003165B5">
        <w:rPr>
          <w:rFonts w:asciiTheme="minorHAnsi" w:hAnsiTheme="minorHAnsi"/>
          <w:b w:val="0"/>
          <w:color w:val="0000FF"/>
          <w:sz w:val="22"/>
          <w:szCs w:val="22"/>
        </w:rPr>
        <w:t xml:space="preserve">:  Hypertension (defined as an average </w:t>
      </w:r>
      <w:r w:rsidRPr="003165B5">
        <w:rPr>
          <w:rStyle w:val="highlight"/>
          <w:rFonts w:asciiTheme="minorHAnsi" w:hAnsiTheme="minorHAnsi"/>
          <w:b w:val="0"/>
          <w:color w:val="0000FF"/>
          <w:sz w:val="22"/>
          <w:szCs w:val="22"/>
        </w:rPr>
        <w:t>ambulatory</w:t>
      </w:r>
      <w:r w:rsidRPr="003165B5">
        <w:rPr>
          <w:rFonts w:asciiTheme="minorHAnsi" w:hAnsiTheme="minorHAnsi"/>
          <w:b w:val="0"/>
          <w:color w:val="0000FF"/>
          <w:sz w:val="22"/>
          <w:szCs w:val="22"/>
        </w:rPr>
        <w:t xml:space="preserve"> systolic BP ≥135 mm Hg or diastolic BP ≥85 mm Hg, or the use of antihypertensive medications) was prevalent in 82% of the patients and independently associated with </w:t>
      </w:r>
      <w:proofErr w:type="spellStart"/>
      <w:r w:rsidRPr="003165B5">
        <w:rPr>
          <w:rFonts w:asciiTheme="minorHAnsi" w:hAnsiTheme="minorHAnsi"/>
          <w:b w:val="0"/>
          <w:color w:val="0000FF"/>
          <w:sz w:val="22"/>
          <w:szCs w:val="22"/>
        </w:rPr>
        <w:t>epoetin</w:t>
      </w:r>
      <w:proofErr w:type="spellEnd"/>
      <w:r w:rsidRPr="003165B5">
        <w:rPr>
          <w:rFonts w:asciiTheme="minorHAnsi" w:hAnsiTheme="minorHAnsi"/>
          <w:b w:val="0"/>
          <w:color w:val="0000FF"/>
          <w:sz w:val="22"/>
          <w:szCs w:val="22"/>
        </w:rPr>
        <w:t xml:space="preserve"> use, lower body mass index, and fewer years on </w:t>
      </w:r>
      <w:r w:rsidRPr="003165B5">
        <w:rPr>
          <w:rStyle w:val="highlight"/>
          <w:rFonts w:asciiTheme="minorHAnsi" w:hAnsiTheme="minorHAnsi"/>
          <w:b w:val="0"/>
          <w:color w:val="0000FF"/>
          <w:sz w:val="22"/>
          <w:szCs w:val="22"/>
        </w:rPr>
        <w:t>dialysis</w:t>
      </w:r>
      <w:r w:rsidRPr="003165B5">
        <w:rPr>
          <w:rFonts w:asciiTheme="minorHAnsi" w:hAnsiTheme="minorHAnsi"/>
          <w:b w:val="0"/>
          <w:color w:val="0000FF"/>
          <w:sz w:val="22"/>
          <w:szCs w:val="22"/>
        </w:rPr>
        <w:t xml:space="preserve">.  Although 89% of the patients were being treated, hypertension was controlled adequately in only 38%.  Poor control was independently associated with greater antihypertensive drug use.  Inferior vena cava (IVC) diameter in expiration was associated with increased risk of poorly controlled hypertension both in cross-sectional analysis and after withdrawal of antihypertensive drugs.  </w:t>
      </w:r>
    </w:p>
    <w:p w14:paraId="10C3077D" w14:textId="3259B4C1" w:rsidR="00DE02A1" w:rsidRPr="00BC05B1" w:rsidRDefault="00BC05B1" w:rsidP="00BC05B1">
      <w:pPr>
        <w:pStyle w:val="Heading1"/>
        <w:spacing w:before="0"/>
        <w:ind w:firstLine="0"/>
        <w:rPr>
          <w:rFonts w:asciiTheme="minorHAnsi" w:hAnsiTheme="minorHAnsi"/>
          <w:b w:val="0"/>
          <w:color w:val="0000FF"/>
          <w:sz w:val="22"/>
          <w:szCs w:val="22"/>
        </w:rPr>
      </w:pPr>
      <w:r w:rsidRPr="003165B5">
        <w:rPr>
          <w:rFonts w:asciiTheme="minorHAnsi" w:hAnsiTheme="minorHAnsi"/>
          <w:color w:val="0000FF"/>
          <w:sz w:val="22"/>
          <w:szCs w:val="22"/>
        </w:rPr>
        <w:t>Conclusions</w:t>
      </w:r>
      <w:r w:rsidRPr="003165B5">
        <w:rPr>
          <w:rFonts w:asciiTheme="minorHAnsi" w:hAnsiTheme="minorHAnsi"/>
          <w:b w:val="0"/>
          <w:color w:val="0000FF"/>
          <w:sz w:val="22"/>
          <w:szCs w:val="22"/>
        </w:rPr>
        <w:t xml:space="preserve">:  </w:t>
      </w:r>
      <w:proofErr w:type="spellStart"/>
      <w:r w:rsidRPr="003165B5">
        <w:rPr>
          <w:rFonts w:asciiTheme="minorHAnsi" w:hAnsiTheme="minorHAnsi"/>
          <w:b w:val="0"/>
          <w:color w:val="0000FF"/>
          <w:sz w:val="22"/>
          <w:szCs w:val="22"/>
        </w:rPr>
        <w:t>Interdialytic</w:t>
      </w:r>
      <w:proofErr w:type="spellEnd"/>
      <w:r w:rsidRPr="003165B5">
        <w:rPr>
          <w:rFonts w:asciiTheme="minorHAnsi" w:hAnsiTheme="minorHAnsi"/>
          <w:b w:val="0"/>
          <w:color w:val="0000FF"/>
          <w:sz w:val="22"/>
          <w:szCs w:val="22"/>
        </w:rPr>
        <w:t xml:space="preserve"> hypertension is highly prevalent and difficult to control among HD patients.  End-expiration IVC diameter is associated with poor control of hypertension in cross-sectional analyses as well as after washout of antihypertensive drugs.  Among HD patients, an attractive target for improving hypertension control appears to be the reduction of extracellular fluid volume.</w:t>
      </w:r>
    </w:p>
    <w:p w14:paraId="7A96B47B" w14:textId="77777777" w:rsidR="00D144A6" w:rsidRPr="00D8113F" w:rsidRDefault="00D144A6" w:rsidP="00D144A6"/>
    <w:p w14:paraId="0296CB3F" w14:textId="77777777" w:rsidR="00D144A6" w:rsidRPr="003165B5" w:rsidRDefault="00D144A6" w:rsidP="00D144A6">
      <w:pPr>
        <w:pStyle w:val="Heading1"/>
        <w:numPr>
          <w:ilvl w:val="0"/>
          <w:numId w:val="9"/>
        </w:numPr>
        <w:spacing w:before="0" w:after="120"/>
        <w:rPr>
          <w:rFonts w:asciiTheme="minorHAnsi" w:eastAsia="Times New Roman" w:hAnsiTheme="minorHAnsi" w:cs="Times New Roman"/>
          <w:color w:val="0000FF"/>
          <w:sz w:val="22"/>
          <w:szCs w:val="22"/>
        </w:rPr>
      </w:pPr>
      <w:proofErr w:type="spellStart"/>
      <w:proofErr w:type="gramStart"/>
      <w:r w:rsidRPr="003165B5">
        <w:rPr>
          <w:rFonts w:asciiTheme="minorHAnsi" w:eastAsia="Times New Roman" w:hAnsiTheme="minorHAnsi" w:cs="Times New Roman"/>
          <w:color w:val="0000FF"/>
          <w:sz w:val="22"/>
          <w:szCs w:val="22"/>
        </w:rPr>
        <w:t>Passauer</w:t>
      </w:r>
      <w:proofErr w:type="spellEnd"/>
      <w:r w:rsidRPr="003165B5">
        <w:rPr>
          <w:rFonts w:asciiTheme="minorHAnsi" w:eastAsia="Times New Roman" w:hAnsiTheme="minorHAnsi" w:cs="Times New Roman"/>
          <w:color w:val="0000FF"/>
          <w:sz w:val="22"/>
          <w:szCs w:val="22"/>
        </w:rPr>
        <w:t xml:space="preserve"> J, </w:t>
      </w:r>
      <w:proofErr w:type="spellStart"/>
      <w:r w:rsidRPr="003165B5">
        <w:rPr>
          <w:rFonts w:asciiTheme="minorHAnsi" w:eastAsia="Times New Roman" w:hAnsiTheme="minorHAnsi" w:cs="Times New Roman"/>
          <w:color w:val="0000FF"/>
          <w:sz w:val="22"/>
          <w:szCs w:val="22"/>
        </w:rPr>
        <w:t>Petrov</w:t>
      </w:r>
      <w:proofErr w:type="spellEnd"/>
      <w:r w:rsidRPr="003165B5">
        <w:rPr>
          <w:rFonts w:asciiTheme="minorHAnsi" w:eastAsia="Times New Roman" w:hAnsiTheme="minorHAnsi" w:cs="Times New Roman"/>
          <w:color w:val="0000FF"/>
          <w:sz w:val="22"/>
          <w:szCs w:val="22"/>
        </w:rPr>
        <w:t xml:space="preserve"> H, </w:t>
      </w:r>
      <w:proofErr w:type="spellStart"/>
      <w:r w:rsidRPr="003165B5">
        <w:rPr>
          <w:rFonts w:asciiTheme="minorHAnsi" w:eastAsia="Times New Roman" w:hAnsiTheme="minorHAnsi" w:cs="Times New Roman"/>
          <w:color w:val="0000FF"/>
          <w:sz w:val="22"/>
          <w:szCs w:val="22"/>
        </w:rPr>
        <w:t>Schleser</w:t>
      </w:r>
      <w:proofErr w:type="spellEnd"/>
      <w:r w:rsidRPr="003165B5">
        <w:rPr>
          <w:rFonts w:asciiTheme="minorHAnsi" w:eastAsia="Times New Roman" w:hAnsiTheme="minorHAnsi" w:cs="Times New Roman"/>
          <w:color w:val="0000FF"/>
          <w:sz w:val="22"/>
          <w:szCs w:val="22"/>
        </w:rPr>
        <w:t xml:space="preserve"> A, et al.</w:t>
      </w:r>
      <w:proofErr w:type="gramEnd"/>
      <w:r w:rsidRPr="003165B5">
        <w:rPr>
          <w:rFonts w:asciiTheme="minorHAnsi" w:eastAsia="Times New Roman" w:hAnsiTheme="minorHAnsi" w:cs="Times New Roman"/>
          <w:color w:val="0000FF"/>
          <w:sz w:val="22"/>
          <w:szCs w:val="22"/>
        </w:rPr>
        <w:t xml:space="preserve">  Evaluation of clinical dry </w:t>
      </w:r>
      <w:r w:rsidRPr="003165B5">
        <w:rPr>
          <w:rStyle w:val="highlight"/>
          <w:rFonts w:asciiTheme="minorHAnsi" w:eastAsia="Times New Roman" w:hAnsiTheme="minorHAnsi" w:cs="Times New Roman"/>
          <w:color w:val="0000FF"/>
          <w:sz w:val="22"/>
          <w:szCs w:val="22"/>
        </w:rPr>
        <w:t>weight</w:t>
      </w:r>
      <w:r w:rsidRPr="003165B5">
        <w:rPr>
          <w:rFonts w:asciiTheme="minorHAnsi" w:eastAsia="Times New Roman" w:hAnsiTheme="minorHAnsi" w:cs="Times New Roman"/>
          <w:color w:val="0000FF"/>
          <w:sz w:val="22"/>
          <w:szCs w:val="22"/>
        </w:rPr>
        <w:t xml:space="preserve"> assessment in </w:t>
      </w:r>
      <w:proofErr w:type="spellStart"/>
      <w:r w:rsidRPr="003165B5">
        <w:rPr>
          <w:rFonts w:asciiTheme="minorHAnsi" w:eastAsia="Times New Roman" w:hAnsiTheme="minorHAnsi" w:cs="Times New Roman"/>
          <w:color w:val="0000FF"/>
          <w:sz w:val="22"/>
          <w:szCs w:val="22"/>
        </w:rPr>
        <w:t>haemodialysis</w:t>
      </w:r>
      <w:proofErr w:type="spellEnd"/>
      <w:r w:rsidRPr="003165B5">
        <w:rPr>
          <w:rFonts w:asciiTheme="minorHAnsi" w:eastAsia="Times New Roman" w:hAnsiTheme="minorHAnsi" w:cs="Times New Roman"/>
          <w:color w:val="0000FF"/>
          <w:sz w:val="22"/>
          <w:szCs w:val="22"/>
        </w:rPr>
        <w:t xml:space="preserve"> patients using </w:t>
      </w:r>
      <w:proofErr w:type="spellStart"/>
      <w:r w:rsidRPr="003165B5">
        <w:rPr>
          <w:rFonts w:asciiTheme="minorHAnsi" w:eastAsia="Times New Roman" w:hAnsiTheme="minorHAnsi" w:cs="Times New Roman"/>
          <w:color w:val="0000FF"/>
          <w:sz w:val="22"/>
          <w:szCs w:val="22"/>
        </w:rPr>
        <w:t>bioimpedance</w:t>
      </w:r>
      <w:proofErr w:type="spellEnd"/>
      <w:r w:rsidRPr="003165B5">
        <w:rPr>
          <w:rFonts w:asciiTheme="minorHAnsi" w:eastAsia="Times New Roman" w:hAnsiTheme="minorHAnsi" w:cs="Times New Roman"/>
          <w:color w:val="0000FF"/>
          <w:sz w:val="22"/>
          <w:szCs w:val="22"/>
        </w:rPr>
        <w:t xml:space="preserve"> spectroscopy:  A cross-sectional study.  </w:t>
      </w:r>
      <w:proofErr w:type="spellStart"/>
      <w:r w:rsidRPr="003165B5">
        <w:rPr>
          <w:rFonts w:asciiTheme="minorHAnsi" w:eastAsia="Times New Roman" w:hAnsiTheme="minorHAnsi" w:cs="Times New Roman"/>
          <w:i/>
          <w:color w:val="0000FF"/>
          <w:sz w:val="22"/>
          <w:szCs w:val="22"/>
        </w:rPr>
        <w:t>Nephrol</w:t>
      </w:r>
      <w:proofErr w:type="spellEnd"/>
      <w:r w:rsidRPr="003165B5">
        <w:rPr>
          <w:rFonts w:asciiTheme="minorHAnsi" w:eastAsia="Times New Roman" w:hAnsiTheme="minorHAnsi" w:cs="Times New Roman"/>
          <w:i/>
          <w:color w:val="0000FF"/>
          <w:sz w:val="22"/>
          <w:szCs w:val="22"/>
        </w:rPr>
        <w:t xml:space="preserve"> Dial Transplant.</w:t>
      </w:r>
      <w:r w:rsidRPr="003165B5">
        <w:rPr>
          <w:rFonts w:asciiTheme="minorHAnsi" w:eastAsia="Times New Roman" w:hAnsiTheme="minorHAnsi" w:cs="Times New Roman"/>
          <w:color w:val="0000FF"/>
          <w:sz w:val="22"/>
          <w:szCs w:val="22"/>
        </w:rPr>
        <w:t xml:space="preserve">  2010</w:t>
      </w:r>
      <w:proofErr w:type="gramStart"/>
      <w:r w:rsidRPr="003165B5">
        <w:rPr>
          <w:rFonts w:asciiTheme="minorHAnsi" w:eastAsia="Times New Roman" w:hAnsiTheme="minorHAnsi" w:cs="Times New Roman"/>
          <w:color w:val="0000FF"/>
          <w:sz w:val="22"/>
          <w:szCs w:val="22"/>
        </w:rPr>
        <w:t>;25</w:t>
      </w:r>
      <w:proofErr w:type="gramEnd"/>
      <w:r w:rsidRPr="003165B5">
        <w:rPr>
          <w:rFonts w:asciiTheme="minorHAnsi" w:eastAsia="Times New Roman" w:hAnsiTheme="minorHAnsi" w:cs="Times New Roman"/>
          <w:color w:val="0000FF"/>
          <w:sz w:val="22"/>
          <w:szCs w:val="22"/>
        </w:rPr>
        <w:t>(2):545-551.</w:t>
      </w:r>
    </w:p>
    <w:p w14:paraId="6DFFED66" w14:textId="6B5BB6E5" w:rsidR="00D144A6" w:rsidRPr="003165B5" w:rsidRDefault="004E001D" w:rsidP="00D144A6">
      <w:pPr>
        <w:pStyle w:val="Heading4"/>
        <w:spacing w:before="0" w:after="120" w:line="240" w:lineRule="auto"/>
        <w:ind w:left="360"/>
        <w:rPr>
          <w:rFonts w:asciiTheme="minorHAnsi" w:hAnsiTheme="minorHAnsi"/>
          <w:b w:val="0"/>
          <w:i w:val="0"/>
          <w:color w:val="0000FF"/>
        </w:rPr>
      </w:pPr>
      <w:r w:rsidRPr="003165B5">
        <w:rPr>
          <w:rFonts w:asciiTheme="minorHAnsi" w:eastAsia="Times New Roman" w:hAnsiTheme="minorHAnsi" w:cs="Times New Roman"/>
          <w:i w:val="0"/>
          <w:color w:val="0000FF"/>
        </w:rPr>
        <w:t>Background</w:t>
      </w:r>
      <w:r w:rsidR="00D144A6" w:rsidRPr="003165B5">
        <w:rPr>
          <w:rFonts w:asciiTheme="minorHAnsi" w:eastAsia="Times New Roman" w:hAnsiTheme="minorHAnsi" w:cs="Times New Roman"/>
          <w:i w:val="0"/>
          <w:color w:val="0000FF"/>
        </w:rPr>
        <w:t>:</w:t>
      </w:r>
      <w:r w:rsidR="00D144A6" w:rsidRPr="003165B5">
        <w:rPr>
          <w:rFonts w:asciiTheme="minorHAnsi" w:eastAsia="Times New Roman" w:hAnsiTheme="minorHAnsi" w:cs="Times New Roman"/>
          <w:b w:val="0"/>
          <w:i w:val="0"/>
          <w:color w:val="0000FF"/>
        </w:rPr>
        <w:t xml:space="preserve">  </w:t>
      </w:r>
      <w:r w:rsidR="00D144A6" w:rsidRPr="003165B5">
        <w:rPr>
          <w:rFonts w:asciiTheme="minorHAnsi" w:hAnsiTheme="minorHAnsi"/>
          <w:b w:val="0"/>
          <w:i w:val="0"/>
          <w:color w:val="0000FF"/>
        </w:rPr>
        <w:t xml:space="preserve">Dry </w:t>
      </w:r>
      <w:r w:rsidR="00D144A6" w:rsidRPr="003165B5">
        <w:rPr>
          <w:rStyle w:val="highlight"/>
          <w:rFonts w:asciiTheme="minorHAnsi" w:hAnsiTheme="minorHAnsi"/>
          <w:b w:val="0"/>
          <w:i w:val="0"/>
          <w:color w:val="0000FF"/>
        </w:rPr>
        <w:t>weight</w:t>
      </w:r>
      <w:r w:rsidR="00D144A6" w:rsidRPr="003165B5">
        <w:rPr>
          <w:rFonts w:asciiTheme="minorHAnsi" w:hAnsiTheme="minorHAnsi"/>
          <w:b w:val="0"/>
          <w:i w:val="0"/>
          <w:color w:val="0000FF"/>
        </w:rPr>
        <w:t xml:space="preserve"> assessment (DWA) is essential to efficient therapy of hemodialysis (HD) patients.  However, so far objective methods for DWA have not been applicable to daily routine.  Thus, exact fluid management in HD remains difficult and is often based on clinical criteria.  The aims of this study were (1) to objectively define pre- and post-</w:t>
      </w:r>
      <w:proofErr w:type="spellStart"/>
      <w:r w:rsidR="00D144A6" w:rsidRPr="003165B5">
        <w:rPr>
          <w:rFonts w:asciiTheme="minorHAnsi" w:hAnsiTheme="minorHAnsi"/>
          <w:b w:val="0"/>
          <w:i w:val="0"/>
          <w:color w:val="0000FF"/>
        </w:rPr>
        <w:t>dialytic</w:t>
      </w:r>
      <w:proofErr w:type="spellEnd"/>
      <w:r w:rsidR="00D144A6" w:rsidRPr="003165B5">
        <w:rPr>
          <w:rFonts w:asciiTheme="minorHAnsi" w:hAnsiTheme="minorHAnsi"/>
          <w:b w:val="0"/>
          <w:i w:val="0"/>
          <w:color w:val="0000FF"/>
        </w:rPr>
        <w:t xml:space="preserve"> ranges of extracellular volume in a large cohort of HD patients (in whom DWA had been defined according to clinical criteria), (2) to compare the hydration status between diabetic and non-diabetic patients, and (3) to assess a patient subgroup that might benefit from correction of target </w:t>
      </w:r>
      <w:r w:rsidR="00D144A6" w:rsidRPr="003165B5">
        <w:rPr>
          <w:rStyle w:val="highlight"/>
          <w:rFonts w:asciiTheme="minorHAnsi" w:hAnsiTheme="minorHAnsi"/>
          <w:b w:val="0"/>
          <w:i w:val="0"/>
          <w:color w:val="0000FF"/>
        </w:rPr>
        <w:t>weight</w:t>
      </w:r>
      <w:r w:rsidR="00D144A6" w:rsidRPr="003165B5">
        <w:rPr>
          <w:rFonts w:asciiTheme="minorHAnsi" w:hAnsiTheme="minorHAnsi"/>
          <w:b w:val="0"/>
          <w:i w:val="0"/>
          <w:color w:val="0000FF"/>
        </w:rPr>
        <w:t>.</w:t>
      </w:r>
    </w:p>
    <w:p w14:paraId="0E436722" w14:textId="77777777" w:rsidR="00D144A6" w:rsidRPr="003165B5" w:rsidRDefault="00D144A6" w:rsidP="004E001D">
      <w:pPr>
        <w:spacing w:after="120"/>
        <w:ind w:firstLine="0"/>
        <w:rPr>
          <w:color w:val="0000FF"/>
        </w:rPr>
      </w:pPr>
      <w:r w:rsidRPr="003165B5">
        <w:rPr>
          <w:rFonts w:eastAsia="Times New Roman" w:cs="Times New Roman"/>
          <w:b/>
          <w:bCs/>
          <w:iCs/>
          <w:color w:val="0000FF"/>
        </w:rPr>
        <w:t xml:space="preserve">Methods: </w:t>
      </w:r>
      <w:r>
        <w:rPr>
          <w:color w:val="0000FF"/>
        </w:rPr>
        <w:t>F</w:t>
      </w:r>
      <w:r w:rsidRPr="003165B5">
        <w:rPr>
          <w:color w:val="0000FF"/>
        </w:rPr>
        <w:t xml:space="preserve">luid overload (FO) </w:t>
      </w:r>
      <w:r>
        <w:rPr>
          <w:color w:val="0000FF"/>
        </w:rPr>
        <w:t xml:space="preserve">was measured </w:t>
      </w:r>
      <w:r w:rsidRPr="003165B5">
        <w:rPr>
          <w:color w:val="0000FF"/>
        </w:rPr>
        <w:t xml:space="preserve">prior to a mid-week HD session in 370 randomly selected HD patients (50% with diabetes) from five dialysis centers.  A new </w:t>
      </w:r>
      <w:proofErr w:type="spellStart"/>
      <w:r w:rsidRPr="003165B5">
        <w:rPr>
          <w:color w:val="0000FF"/>
        </w:rPr>
        <w:t>bioimpedance</w:t>
      </w:r>
      <w:proofErr w:type="spellEnd"/>
      <w:r w:rsidRPr="003165B5">
        <w:rPr>
          <w:color w:val="0000FF"/>
        </w:rPr>
        <w:t xml:space="preserve"> spectroscopy (BIS) device that implies a validated </w:t>
      </w:r>
      <w:r w:rsidRPr="003165B5">
        <w:rPr>
          <w:rStyle w:val="highlight"/>
          <w:color w:val="0000FF"/>
        </w:rPr>
        <w:t>body</w:t>
      </w:r>
      <w:r w:rsidRPr="003165B5">
        <w:rPr>
          <w:color w:val="0000FF"/>
        </w:rPr>
        <w:t xml:space="preserve"> composition model was applied.  This tool allows correct quantification of extracellular FO or deficiency in comparison to a healthy reference population (normal range -1.1 to 1.1 L according to the 10th and 90th percentile of measurements).  In addition, </w:t>
      </w:r>
      <w:r w:rsidRPr="003165B5">
        <w:rPr>
          <w:rStyle w:val="highlight"/>
          <w:color w:val="0000FF"/>
        </w:rPr>
        <w:t>weight</w:t>
      </w:r>
      <w:r w:rsidRPr="003165B5">
        <w:rPr>
          <w:color w:val="0000FF"/>
        </w:rPr>
        <w:t xml:space="preserve"> and blood pressure were recorded before and after treatment.</w:t>
      </w:r>
    </w:p>
    <w:p w14:paraId="4AD83E52" w14:textId="77777777" w:rsidR="00D144A6" w:rsidRPr="003165B5" w:rsidRDefault="00D144A6" w:rsidP="00D144A6">
      <w:pPr>
        <w:spacing w:after="120"/>
        <w:ind w:firstLine="0"/>
        <w:rPr>
          <w:color w:val="0000FF"/>
        </w:rPr>
      </w:pPr>
      <w:r w:rsidRPr="003165B5">
        <w:rPr>
          <w:rFonts w:eastAsia="Times New Roman" w:cs="Times New Roman"/>
          <w:b/>
          <w:bCs/>
          <w:iCs/>
          <w:color w:val="0000FF"/>
        </w:rPr>
        <w:t xml:space="preserve">Results:  </w:t>
      </w:r>
      <w:r w:rsidRPr="003165B5">
        <w:rPr>
          <w:color w:val="0000FF"/>
        </w:rPr>
        <w:t>Pre-</w:t>
      </w:r>
      <w:proofErr w:type="spellStart"/>
      <w:r w:rsidRPr="003165B5">
        <w:rPr>
          <w:color w:val="0000FF"/>
        </w:rPr>
        <w:t>dialytic</w:t>
      </w:r>
      <w:proofErr w:type="spellEnd"/>
      <w:r w:rsidRPr="003165B5">
        <w:rPr>
          <w:color w:val="0000FF"/>
        </w:rPr>
        <w:t xml:space="preserve"> FO ranged from -0.5 to 4 L and post-</w:t>
      </w:r>
      <w:proofErr w:type="spellStart"/>
      <w:r w:rsidRPr="003165B5">
        <w:rPr>
          <w:color w:val="0000FF"/>
        </w:rPr>
        <w:t>dialytic</w:t>
      </w:r>
      <w:proofErr w:type="spellEnd"/>
      <w:r w:rsidRPr="003165B5">
        <w:rPr>
          <w:color w:val="0000FF"/>
        </w:rPr>
        <w:t xml:space="preserve"> FO from -2.5 to 2 L (10th and 90th percentile of measurements), indicating that on average the hydration status of healthy subjects is considered as the optimal target </w:t>
      </w:r>
      <w:r w:rsidRPr="003165B5">
        <w:rPr>
          <w:rStyle w:val="highlight"/>
          <w:color w:val="0000FF"/>
        </w:rPr>
        <w:t>weight</w:t>
      </w:r>
      <w:r w:rsidRPr="003165B5">
        <w:rPr>
          <w:color w:val="0000FF"/>
        </w:rPr>
        <w:t xml:space="preserve"> in HD patients.  Comparison of FO between diabetic and non-diabetic patients revealed no difference.  Based on the consideration that </w:t>
      </w:r>
      <w:proofErr w:type="gramStart"/>
      <w:r w:rsidRPr="003165B5">
        <w:rPr>
          <w:color w:val="0000FF"/>
        </w:rPr>
        <w:t>an</w:t>
      </w:r>
      <w:proofErr w:type="gramEnd"/>
      <w:r w:rsidRPr="003165B5">
        <w:rPr>
          <w:color w:val="0000FF"/>
        </w:rPr>
        <w:t xml:space="preserve"> FO &lt;-1.1 L before and &gt;1.1 L after HD indicates inadequate DWA, we identified 98 (26%) patients who might benefit from correction of target </w:t>
      </w:r>
      <w:r w:rsidRPr="003165B5">
        <w:rPr>
          <w:rStyle w:val="highlight"/>
          <w:color w:val="0000FF"/>
        </w:rPr>
        <w:t>body weight</w:t>
      </w:r>
      <w:r w:rsidRPr="003165B5">
        <w:rPr>
          <w:color w:val="0000FF"/>
        </w:rPr>
        <w:t>.</w:t>
      </w:r>
    </w:p>
    <w:p w14:paraId="64DBA7C1" w14:textId="77777777" w:rsidR="00D144A6" w:rsidRPr="003165B5" w:rsidRDefault="00D144A6" w:rsidP="00D144A6">
      <w:pPr>
        <w:ind w:firstLine="0"/>
        <w:rPr>
          <w:color w:val="0000FF"/>
        </w:rPr>
      </w:pPr>
      <w:r w:rsidRPr="003165B5">
        <w:rPr>
          <w:rFonts w:eastAsia="Times New Roman" w:cs="Times New Roman"/>
          <w:b/>
          <w:bCs/>
          <w:iCs/>
          <w:color w:val="0000FF"/>
        </w:rPr>
        <w:lastRenderedPageBreak/>
        <w:t>Conclusion:</w:t>
      </w:r>
      <w:r w:rsidRPr="003165B5">
        <w:rPr>
          <w:color w:val="0000FF"/>
        </w:rPr>
        <w:t xml:space="preserve">  BIS is an interesting, objective method to support clinical DWA.  Further studies should be performed to investigate beneficial clinical effects of this approach.</w:t>
      </w:r>
    </w:p>
    <w:p w14:paraId="59BF7A64" w14:textId="77777777" w:rsidR="00D144A6" w:rsidRPr="003165B5" w:rsidRDefault="00D144A6" w:rsidP="00D144A6">
      <w:pPr>
        <w:outlineLvl w:val="3"/>
        <w:rPr>
          <w:rFonts w:eastAsia="Times New Roman" w:cs="Times New Roman"/>
          <w:b/>
          <w:bCs/>
          <w:color w:val="0000FF"/>
        </w:rPr>
      </w:pPr>
    </w:p>
    <w:p w14:paraId="21C74205" w14:textId="77777777" w:rsidR="00D144A6" w:rsidRPr="00194CA1" w:rsidRDefault="00D144A6" w:rsidP="00D144A6">
      <w:pPr>
        <w:pStyle w:val="Heading1"/>
        <w:numPr>
          <w:ilvl w:val="0"/>
          <w:numId w:val="9"/>
        </w:numPr>
        <w:spacing w:before="0" w:after="120"/>
        <w:rPr>
          <w:rFonts w:asciiTheme="minorHAnsi" w:eastAsia="Times New Roman" w:hAnsiTheme="minorHAnsi" w:cs="Times New Roman"/>
          <w:color w:val="0000FF"/>
          <w:sz w:val="22"/>
          <w:szCs w:val="22"/>
        </w:rPr>
      </w:pPr>
      <w:r w:rsidRPr="00194CA1">
        <w:rPr>
          <w:rFonts w:asciiTheme="minorHAnsi" w:hAnsiTheme="minorHAnsi"/>
          <w:color w:val="0000FF"/>
          <w:sz w:val="22"/>
          <w:szCs w:val="22"/>
        </w:rPr>
        <w:t xml:space="preserve">Ritz E.  </w:t>
      </w:r>
      <w:r w:rsidRPr="00194CA1">
        <w:rPr>
          <w:rFonts w:asciiTheme="minorHAnsi" w:eastAsia="Times New Roman" w:hAnsiTheme="minorHAnsi" w:cs="Times New Roman"/>
          <w:color w:val="0000FF"/>
          <w:sz w:val="22"/>
          <w:szCs w:val="22"/>
        </w:rPr>
        <w:t xml:space="preserve">Left ventricular hypertrophy in renal disease:  Beyond preload and afterload.  </w:t>
      </w:r>
      <w:r w:rsidRPr="00194CA1">
        <w:rPr>
          <w:rFonts w:asciiTheme="minorHAnsi" w:eastAsia="Times New Roman" w:hAnsiTheme="minorHAnsi" w:cs="Times New Roman"/>
          <w:i/>
          <w:color w:val="0000FF"/>
          <w:sz w:val="22"/>
          <w:szCs w:val="22"/>
        </w:rPr>
        <w:t>Kidney Int.</w:t>
      </w:r>
      <w:r w:rsidRPr="00194CA1">
        <w:rPr>
          <w:rFonts w:asciiTheme="minorHAnsi" w:eastAsia="Times New Roman" w:hAnsiTheme="minorHAnsi" w:cs="Times New Roman"/>
          <w:color w:val="0000FF"/>
          <w:sz w:val="22"/>
          <w:szCs w:val="22"/>
        </w:rPr>
        <w:t xml:space="preserve">  2009</w:t>
      </w:r>
      <w:proofErr w:type="gramStart"/>
      <w:r w:rsidRPr="00194CA1">
        <w:rPr>
          <w:rFonts w:asciiTheme="minorHAnsi" w:eastAsia="Times New Roman" w:hAnsiTheme="minorHAnsi" w:cs="Times New Roman"/>
          <w:color w:val="0000FF"/>
          <w:sz w:val="22"/>
          <w:szCs w:val="22"/>
        </w:rPr>
        <w:t>;75</w:t>
      </w:r>
      <w:proofErr w:type="gramEnd"/>
      <w:r w:rsidRPr="00194CA1">
        <w:rPr>
          <w:rFonts w:asciiTheme="minorHAnsi" w:eastAsia="Times New Roman" w:hAnsiTheme="minorHAnsi" w:cs="Times New Roman"/>
          <w:color w:val="0000FF"/>
          <w:sz w:val="22"/>
          <w:szCs w:val="22"/>
        </w:rPr>
        <w:t>(8):771-773.</w:t>
      </w:r>
    </w:p>
    <w:p w14:paraId="743C7EAC" w14:textId="77777777" w:rsidR="00D144A6" w:rsidRDefault="00D144A6" w:rsidP="00D144A6">
      <w:pPr>
        <w:pStyle w:val="NormalWeb"/>
        <w:spacing w:before="0" w:beforeAutospacing="0" w:after="0" w:afterAutospacing="0"/>
        <w:ind w:left="360"/>
        <w:rPr>
          <w:rFonts w:asciiTheme="minorHAnsi" w:hAnsiTheme="minorHAnsi"/>
          <w:color w:val="0000FF"/>
          <w:sz w:val="22"/>
          <w:szCs w:val="22"/>
        </w:rPr>
      </w:pPr>
      <w:r w:rsidRPr="00194CA1">
        <w:rPr>
          <w:rFonts w:asciiTheme="minorHAnsi" w:hAnsiTheme="minorHAnsi"/>
          <w:b/>
          <w:color w:val="0000FF"/>
          <w:sz w:val="22"/>
          <w:szCs w:val="22"/>
        </w:rPr>
        <w:t>Abstract:</w:t>
      </w:r>
      <w:r w:rsidRPr="00194CA1">
        <w:rPr>
          <w:rFonts w:asciiTheme="minorHAnsi" w:hAnsiTheme="minorHAnsi"/>
          <w:color w:val="0000FF"/>
          <w:sz w:val="22"/>
          <w:szCs w:val="22"/>
        </w:rPr>
        <w:t xml:space="preserve">  To explain ventricular concentric and/or eccentric hypertrophy in chronic kidney disease, past studies suggested that this was the result of increased preload and/or afterload. </w:t>
      </w:r>
      <w:r>
        <w:rPr>
          <w:rFonts w:asciiTheme="minorHAnsi" w:hAnsiTheme="minorHAnsi"/>
          <w:color w:val="0000FF"/>
          <w:sz w:val="22"/>
          <w:szCs w:val="22"/>
        </w:rPr>
        <w:t xml:space="preserve"> </w:t>
      </w:r>
      <w:r w:rsidRPr="00194CA1">
        <w:rPr>
          <w:rFonts w:asciiTheme="minorHAnsi" w:hAnsiTheme="minorHAnsi"/>
          <w:color w:val="0000FF"/>
          <w:sz w:val="22"/>
          <w:szCs w:val="22"/>
        </w:rPr>
        <w:t xml:space="preserve">Using a renal </w:t>
      </w:r>
      <w:r w:rsidRPr="00E21EB4">
        <w:rPr>
          <w:rFonts w:asciiTheme="minorHAnsi" w:hAnsiTheme="minorHAnsi"/>
          <w:color w:val="0000FF"/>
          <w:sz w:val="22"/>
          <w:szCs w:val="22"/>
        </w:rPr>
        <w:t xml:space="preserve">ablation model of the mouse with documented absence of hypertension, </w:t>
      </w:r>
      <w:proofErr w:type="spellStart"/>
      <w:r w:rsidRPr="00E21EB4">
        <w:rPr>
          <w:rFonts w:asciiTheme="minorHAnsi" w:hAnsiTheme="minorHAnsi"/>
          <w:color w:val="0000FF"/>
          <w:sz w:val="22"/>
          <w:szCs w:val="22"/>
        </w:rPr>
        <w:t>Siedlecki</w:t>
      </w:r>
      <w:proofErr w:type="spellEnd"/>
      <w:r w:rsidRPr="00E21EB4">
        <w:rPr>
          <w:rFonts w:asciiTheme="minorHAnsi" w:hAnsiTheme="minorHAnsi"/>
          <w:color w:val="0000FF"/>
          <w:sz w:val="22"/>
          <w:szCs w:val="22"/>
        </w:rPr>
        <w:t xml:space="preserve"> et al. provide evidence for the involvement of the mammalian target of </w:t>
      </w:r>
      <w:proofErr w:type="spellStart"/>
      <w:r w:rsidRPr="00E21EB4">
        <w:rPr>
          <w:rFonts w:asciiTheme="minorHAnsi" w:hAnsiTheme="minorHAnsi"/>
          <w:color w:val="0000FF"/>
          <w:sz w:val="22"/>
          <w:szCs w:val="22"/>
        </w:rPr>
        <w:t>rapamycin</w:t>
      </w:r>
      <w:proofErr w:type="spellEnd"/>
      <w:r w:rsidRPr="00E21EB4">
        <w:rPr>
          <w:rFonts w:asciiTheme="minorHAnsi" w:hAnsiTheme="minorHAnsi"/>
          <w:color w:val="0000FF"/>
          <w:sz w:val="22"/>
          <w:szCs w:val="22"/>
        </w:rPr>
        <w:t xml:space="preserve"> (</w:t>
      </w:r>
      <w:proofErr w:type="spellStart"/>
      <w:r w:rsidRPr="00E21EB4">
        <w:rPr>
          <w:rFonts w:asciiTheme="minorHAnsi" w:hAnsiTheme="minorHAnsi"/>
          <w:color w:val="0000FF"/>
          <w:sz w:val="22"/>
          <w:szCs w:val="22"/>
        </w:rPr>
        <w:t>mTOR</w:t>
      </w:r>
      <w:proofErr w:type="spellEnd"/>
      <w:r w:rsidRPr="00E21EB4">
        <w:rPr>
          <w:rFonts w:asciiTheme="minorHAnsi" w:hAnsiTheme="minorHAnsi"/>
          <w:color w:val="0000FF"/>
          <w:sz w:val="22"/>
          <w:szCs w:val="22"/>
        </w:rPr>
        <w:t xml:space="preserve">) pathway. </w:t>
      </w:r>
      <w:r>
        <w:rPr>
          <w:rFonts w:asciiTheme="minorHAnsi" w:hAnsiTheme="minorHAnsi"/>
          <w:color w:val="0000FF"/>
          <w:sz w:val="22"/>
          <w:szCs w:val="22"/>
        </w:rPr>
        <w:t xml:space="preserve"> He</w:t>
      </w:r>
      <w:r w:rsidRPr="00E21EB4">
        <w:rPr>
          <w:rFonts w:asciiTheme="minorHAnsi" w:hAnsiTheme="minorHAnsi"/>
          <w:color w:val="0000FF"/>
          <w:sz w:val="22"/>
          <w:szCs w:val="22"/>
        </w:rPr>
        <w:t xml:space="preserve"> suggests that load-independent primary stimuli trigger or contribute to ventricular hypertrophy and fibrosis in uremia.</w:t>
      </w:r>
    </w:p>
    <w:p w14:paraId="4FD489EA" w14:textId="77777777" w:rsidR="00D144A6" w:rsidRDefault="00D144A6" w:rsidP="00D144A6">
      <w:pPr>
        <w:pStyle w:val="ListParagraph"/>
        <w:autoSpaceDE w:val="0"/>
        <w:autoSpaceDN w:val="0"/>
        <w:adjustRightInd w:val="0"/>
        <w:spacing w:after="0" w:line="240" w:lineRule="auto"/>
        <w:ind w:left="360"/>
        <w:contextualSpacing w:val="0"/>
        <w:rPr>
          <w:rFonts w:cs="Trebuchet MS"/>
          <w:b/>
          <w:color w:val="0000FF"/>
        </w:rPr>
      </w:pPr>
    </w:p>
    <w:p w14:paraId="27BBB28C" w14:textId="77777777" w:rsidR="00D144A6" w:rsidRPr="003165B5" w:rsidRDefault="00D144A6" w:rsidP="00D144A6">
      <w:pPr>
        <w:pStyle w:val="ListParagraph"/>
        <w:widowControl w:val="0"/>
        <w:numPr>
          <w:ilvl w:val="0"/>
          <w:numId w:val="9"/>
        </w:numPr>
        <w:autoSpaceDE w:val="0"/>
        <w:autoSpaceDN w:val="0"/>
        <w:adjustRightInd w:val="0"/>
        <w:spacing w:after="120" w:line="240" w:lineRule="auto"/>
        <w:contextualSpacing w:val="0"/>
        <w:rPr>
          <w:rFonts w:cs="Trebuchet MS"/>
          <w:b/>
          <w:color w:val="0000FF"/>
        </w:rPr>
      </w:pPr>
      <w:proofErr w:type="spellStart"/>
      <w:r w:rsidRPr="003165B5">
        <w:rPr>
          <w:rFonts w:cs="Trebuchet MS"/>
          <w:b/>
          <w:color w:val="0000FF"/>
        </w:rPr>
        <w:t>Charra</w:t>
      </w:r>
      <w:proofErr w:type="spellEnd"/>
      <w:r w:rsidRPr="003165B5">
        <w:rPr>
          <w:rFonts w:cs="Trebuchet MS"/>
          <w:b/>
          <w:color w:val="0000FF"/>
        </w:rPr>
        <w:t xml:space="preserve"> B, Laurent G, </w:t>
      </w:r>
      <w:proofErr w:type="spellStart"/>
      <w:r w:rsidRPr="003165B5">
        <w:rPr>
          <w:rFonts w:cs="Trebuchet MS"/>
          <w:b/>
          <w:color w:val="0000FF"/>
        </w:rPr>
        <w:t>Chazot</w:t>
      </w:r>
      <w:proofErr w:type="spellEnd"/>
      <w:r w:rsidRPr="003165B5">
        <w:rPr>
          <w:rFonts w:cs="Trebuchet MS"/>
          <w:b/>
          <w:color w:val="0000FF"/>
        </w:rPr>
        <w:t xml:space="preserve"> C, et al.  Clinical assessment of dry weight.  </w:t>
      </w:r>
      <w:proofErr w:type="spellStart"/>
      <w:r w:rsidRPr="003165B5">
        <w:rPr>
          <w:rFonts w:cs="Trebuchet MS"/>
          <w:b/>
          <w:i/>
          <w:color w:val="0000FF"/>
        </w:rPr>
        <w:t>Nephrol</w:t>
      </w:r>
      <w:proofErr w:type="spellEnd"/>
      <w:r w:rsidRPr="003165B5">
        <w:rPr>
          <w:rFonts w:cs="Trebuchet MS"/>
          <w:b/>
          <w:i/>
          <w:color w:val="0000FF"/>
        </w:rPr>
        <w:t xml:space="preserve"> Dial Transplant.</w:t>
      </w:r>
      <w:r w:rsidRPr="003165B5">
        <w:rPr>
          <w:rFonts w:cs="Trebuchet MS"/>
          <w:b/>
          <w:color w:val="0000FF"/>
        </w:rPr>
        <w:t xml:space="preserve">  1996; 11 </w:t>
      </w:r>
      <w:proofErr w:type="spellStart"/>
      <w:r w:rsidRPr="003165B5">
        <w:rPr>
          <w:rFonts w:cs="Trebuchet MS"/>
          <w:b/>
          <w:color w:val="0000FF"/>
        </w:rPr>
        <w:t>Suppl</w:t>
      </w:r>
      <w:proofErr w:type="spellEnd"/>
      <w:r w:rsidRPr="003165B5">
        <w:rPr>
          <w:rFonts w:cs="Trebuchet MS"/>
          <w:b/>
          <w:color w:val="0000FF"/>
        </w:rPr>
        <w:t xml:space="preserve"> 2:16-19.</w:t>
      </w:r>
    </w:p>
    <w:p w14:paraId="66BD64D9" w14:textId="77777777" w:rsidR="00D144A6" w:rsidRPr="00D8113F" w:rsidRDefault="00D144A6" w:rsidP="00D144A6">
      <w:pPr>
        <w:autoSpaceDE w:val="0"/>
        <w:autoSpaceDN w:val="0"/>
        <w:adjustRightInd w:val="0"/>
        <w:ind w:firstLine="0"/>
        <w:rPr>
          <w:rFonts w:eastAsia="Times New Roman" w:cs="Times New Roman"/>
          <w:color w:val="0000FF"/>
        </w:rPr>
      </w:pPr>
      <w:r w:rsidRPr="005D614C">
        <w:rPr>
          <w:rFonts w:cs="Trebuchet MS"/>
          <w:b/>
          <w:color w:val="0000FF"/>
        </w:rPr>
        <w:t xml:space="preserve">Abstract:  </w:t>
      </w:r>
      <w:r w:rsidRPr="005D614C">
        <w:rPr>
          <w:rFonts w:eastAsia="Times New Roman" w:cs="Times New Roman"/>
          <w:color w:val="0000FF"/>
        </w:rPr>
        <w:t>Unsatisfactory control of blood pressure (BP) leading to an increased rate of cardiovascular events is t</w:t>
      </w:r>
      <w:r>
        <w:rPr>
          <w:rFonts w:eastAsia="Times New Roman" w:cs="Times New Roman"/>
          <w:color w:val="0000FF"/>
        </w:rPr>
        <w:t>he main cause of mortality in h</w:t>
      </w:r>
      <w:r w:rsidRPr="005D614C">
        <w:rPr>
          <w:rFonts w:eastAsia="Times New Roman" w:cs="Times New Roman"/>
          <w:color w:val="0000FF"/>
        </w:rPr>
        <w:t xml:space="preserve">emodialysis.  BP control has deteriorated </w:t>
      </w:r>
      <w:r>
        <w:rPr>
          <w:rFonts w:eastAsia="Times New Roman" w:cs="Times New Roman"/>
          <w:color w:val="0000FF"/>
        </w:rPr>
        <w:t>since h</w:t>
      </w:r>
      <w:r w:rsidRPr="005D614C">
        <w:rPr>
          <w:rFonts w:eastAsia="Times New Roman" w:cs="Times New Roman"/>
          <w:color w:val="0000FF"/>
        </w:rPr>
        <w:t xml:space="preserve">emodialysis session times have been reduced.  Inadequate BP control most often is due to a failure to achieve and maintain dry weight.  Dry weight and </w:t>
      </w:r>
      <w:proofErr w:type="spellStart"/>
      <w:r w:rsidRPr="005D614C">
        <w:rPr>
          <w:rFonts w:eastAsia="Times New Roman" w:cs="Times New Roman"/>
          <w:color w:val="0000FF"/>
        </w:rPr>
        <w:t>normotension</w:t>
      </w:r>
      <w:proofErr w:type="spellEnd"/>
      <w:r w:rsidRPr="005D614C">
        <w:rPr>
          <w:rFonts w:eastAsia="Times New Roman" w:cs="Times New Roman"/>
          <w:color w:val="0000FF"/>
        </w:rPr>
        <w:t xml:space="preserve"> have been gradually omitted in the goals of dialysis, satisfactory dialysis being reduced to </w:t>
      </w:r>
      <w:proofErr w:type="gramStart"/>
      <w:r w:rsidRPr="005D614C">
        <w:rPr>
          <w:rFonts w:eastAsia="Times New Roman" w:cs="Times New Roman"/>
          <w:color w:val="0000FF"/>
        </w:rPr>
        <w:t>an 'adequate'</w:t>
      </w:r>
      <w:proofErr w:type="gramEnd"/>
      <w:r w:rsidRPr="005D614C">
        <w:rPr>
          <w:rFonts w:eastAsia="Times New Roman" w:cs="Times New Roman"/>
          <w:color w:val="0000FF"/>
        </w:rPr>
        <w:t xml:space="preserve"> urea </w:t>
      </w:r>
      <w:proofErr w:type="spellStart"/>
      <w:r w:rsidRPr="005D614C">
        <w:rPr>
          <w:rFonts w:eastAsia="Times New Roman" w:cs="Times New Roman"/>
          <w:color w:val="0000FF"/>
        </w:rPr>
        <w:t>Kt</w:t>
      </w:r>
      <w:proofErr w:type="spellEnd"/>
      <w:r w:rsidRPr="005D614C">
        <w:rPr>
          <w:rFonts w:eastAsia="Times New Roman" w:cs="Times New Roman"/>
          <w:color w:val="0000FF"/>
        </w:rPr>
        <w:t xml:space="preserve">/V.  Ideal dry body weight needs a reappraisal.  What is dry weight?  How should it be clinically assessed, established and maintained in patients?  The problems encountered in estimating dry weight can be solved at the bedside in most cases.  The additional laboratory, echography and </w:t>
      </w:r>
      <w:proofErr w:type="spellStart"/>
      <w:r w:rsidRPr="005D614C">
        <w:rPr>
          <w:rFonts w:eastAsia="Times New Roman" w:cs="Times New Roman"/>
          <w:color w:val="0000FF"/>
        </w:rPr>
        <w:t>impedancemetry</w:t>
      </w:r>
      <w:proofErr w:type="spellEnd"/>
      <w:r w:rsidRPr="005D614C">
        <w:rPr>
          <w:rFonts w:eastAsia="Times New Roman" w:cs="Times New Roman"/>
          <w:color w:val="0000FF"/>
        </w:rPr>
        <w:t xml:space="preserve"> methods are research tools that hopefully can be made simpler and lower in cost so they can be used everyday at the bedside.  In the mean time, with the exception of ambulatory blood pressure measurement, one must rely on careful and repeated clinical observation to determine and </w:t>
      </w:r>
      <w:r w:rsidRPr="0024589F">
        <w:rPr>
          <w:rFonts w:eastAsia="Times New Roman" w:cs="Times New Roman"/>
          <w:color w:val="0000FF"/>
        </w:rPr>
        <w:t>maintain dry weight.</w:t>
      </w:r>
    </w:p>
    <w:p w14:paraId="0AD2B752" w14:textId="77777777" w:rsidR="00D144A6" w:rsidRPr="009E1D70" w:rsidRDefault="00D144A6" w:rsidP="00D144A6">
      <w:pPr>
        <w:pStyle w:val="Heading1"/>
        <w:numPr>
          <w:ilvl w:val="0"/>
          <w:numId w:val="9"/>
        </w:numPr>
        <w:spacing w:before="0" w:after="120"/>
        <w:rPr>
          <w:rFonts w:asciiTheme="minorHAnsi" w:eastAsia="Times New Roman" w:hAnsiTheme="minorHAnsi" w:cs="Times New Roman"/>
          <w:color w:val="0000FF"/>
          <w:sz w:val="22"/>
          <w:szCs w:val="22"/>
        </w:rPr>
      </w:pPr>
      <w:proofErr w:type="spellStart"/>
      <w:r>
        <w:rPr>
          <w:rStyle w:val="highlight"/>
          <w:rFonts w:asciiTheme="minorHAnsi" w:eastAsia="Times New Roman" w:hAnsiTheme="minorHAnsi" w:cs="Times New Roman"/>
          <w:color w:val="0000FF"/>
          <w:sz w:val="22"/>
          <w:szCs w:val="22"/>
        </w:rPr>
        <w:t>Whigham</w:t>
      </w:r>
      <w:proofErr w:type="spellEnd"/>
      <w:r>
        <w:rPr>
          <w:rStyle w:val="highlight"/>
          <w:rFonts w:asciiTheme="minorHAnsi" w:eastAsia="Times New Roman" w:hAnsiTheme="minorHAnsi" w:cs="Times New Roman"/>
          <w:color w:val="0000FF"/>
          <w:sz w:val="22"/>
          <w:szCs w:val="22"/>
        </w:rPr>
        <w:t xml:space="preserve"> LD, </w:t>
      </w:r>
      <w:proofErr w:type="spellStart"/>
      <w:r>
        <w:rPr>
          <w:rStyle w:val="highlight"/>
          <w:rFonts w:asciiTheme="minorHAnsi" w:eastAsia="Times New Roman" w:hAnsiTheme="minorHAnsi" w:cs="Times New Roman"/>
          <w:color w:val="0000FF"/>
          <w:sz w:val="22"/>
          <w:szCs w:val="22"/>
        </w:rPr>
        <w:t>Schoeller</w:t>
      </w:r>
      <w:proofErr w:type="spellEnd"/>
      <w:r>
        <w:rPr>
          <w:rStyle w:val="highlight"/>
          <w:rFonts w:asciiTheme="minorHAnsi" w:eastAsia="Times New Roman" w:hAnsiTheme="minorHAnsi" w:cs="Times New Roman"/>
          <w:color w:val="0000FF"/>
          <w:sz w:val="22"/>
          <w:szCs w:val="22"/>
        </w:rPr>
        <w:t xml:space="preserve"> DA, Johnson LK, and Atkinson RL.  </w:t>
      </w:r>
      <w:proofErr w:type="gramStart"/>
      <w:r w:rsidRPr="009E1D70">
        <w:rPr>
          <w:rStyle w:val="highlight"/>
          <w:rFonts w:asciiTheme="minorHAnsi" w:eastAsia="Times New Roman" w:hAnsiTheme="minorHAnsi" w:cs="Times New Roman"/>
          <w:color w:val="0000FF"/>
          <w:sz w:val="22"/>
          <w:szCs w:val="22"/>
        </w:rPr>
        <w:t>Effect</w:t>
      </w:r>
      <w:r w:rsidRPr="009E1D70">
        <w:rPr>
          <w:rFonts w:asciiTheme="minorHAnsi" w:eastAsia="Times New Roman" w:hAnsiTheme="minorHAnsi" w:cs="Times New Roman"/>
          <w:color w:val="0000FF"/>
          <w:sz w:val="22"/>
          <w:szCs w:val="22"/>
        </w:rPr>
        <w:t xml:space="preserve"> of </w:t>
      </w:r>
      <w:r w:rsidRPr="009E1D70">
        <w:rPr>
          <w:rStyle w:val="highlight"/>
          <w:rFonts w:asciiTheme="minorHAnsi" w:eastAsia="Times New Roman" w:hAnsiTheme="minorHAnsi" w:cs="Times New Roman"/>
          <w:color w:val="0000FF"/>
          <w:sz w:val="22"/>
          <w:szCs w:val="22"/>
        </w:rPr>
        <w:t>clothing</w:t>
      </w:r>
      <w:r w:rsidRPr="009E1D70">
        <w:rPr>
          <w:rFonts w:asciiTheme="minorHAnsi" w:eastAsia="Times New Roman" w:hAnsiTheme="minorHAnsi" w:cs="Times New Roman"/>
          <w:color w:val="0000FF"/>
          <w:sz w:val="22"/>
          <w:szCs w:val="22"/>
        </w:rPr>
        <w:t xml:space="preserve"> </w:t>
      </w:r>
      <w:r w:rsidRPr="009E1D70">
        <w:rPr>
          <w:rStyle w:val="highlight"/>
          <w:rFonts w:asciiTheme="minorHAnsi" w:eastAsia="Times New Roman" w:hAnsiTheme="minorHAnsi" w:cs="Times New Roman"/>
          <w:color w:val="0000FF"/>
          <w:sz w:val="22"/>
          <w:szCs w:val="22"/>
        </w:rPr>
        <w:t>weight</w:t>
      </w:r>
      <w:r w:rsidRPr="009E1D70">
        <w:rPr>
          <w:rFonts w:asciiTheme="minorHAnsi" w:eastAsia="Times New Roman" w:hAnsiTheme="minorHAnsi" w:cs="Times New Roman"/>
          <w:color w:val="0000FF"/>
          <w:sz w:val="22"/>
          <w:szCs w:val="22"/>
        </w:rPr>
        <w:t xml:space="preserve"> on </w:t>
      </w:r>
      <w:r w:rsidRPr="009E1D70">
        <w:rPr>
          <w:rStyle w:val="highlight"/>
          <w:rFonts w:asciiTheme="minorHAnsi" w:eastAsia="Times New Roman" w:hAnsiTheme="minorHAnsi" w:cs="Times New Roman"/>
          <w:color w:val="0000FF"/>
          <w:sz w:val="22"/>
          <w:szCs w:val="22"/>
        </w:rPr>
        <w:t>body weight</w:t>
      </w:r>
      <w:r w:rsidRPr="009E1D70">
        <w:rPr>
          <w:rFonts w:asciiTheme="minorHAnsi" w:eastAsia="Times New Roman" w:hAnsiTheme="minorHAnsi" w:cs="Times New Roman"/>
          <w:color w:val="0000FF"/>
          <w:sz w:val="22"/>
          <w:szCs w:val="22"/>
        </w:rPr>
        <w:t>.</w:t>
      </w:r>
      <w:proofErr w:type="gramEnd"/>
      <w:r>
        <w:rPr>
          <w:rFonts w:asciiTheme="minorHAnsi" w:eastAsia="Times New Roman" w:hAnsiTheme="minorHAnsi" w:cs="Times New Roman"/>
          <w:color w:val="0000FF"/>
          <w:sz w:val="22"/>
          <w:szCs w:val="22"/>
        </w:rPr>
        <w:t xml:space="preserve">  </w:t>
      </w:r>
      <w:proofErr w:type="gramStart"/>
      <w:r w:rsidRPr="009E1D70">
        <w:rPr>
          <w:rFonts w:asciiTheme="minorHAnsi" w:eastAsia="Times New Roman" w:hAnsiTheme="minorHAnsi" w:cs="Times New Roman"/>
          <w:i/>
          <w:color w:val="0000FF"/>
          <w:sz w:val="22"/>
          <w:szCs w:val="22"/>
        </w:rPr>
        <w:t>International Journal of Obesity.</w:t>
      </w:r>
      <w:proofErr w:type="gramEnd"/>
      <w:r>
        <w:rPr>
          <w:rFonts w:asciiTheme="minorHAnsi" w:eastAsia="Times New Roman" w:hAnsiTheme="minorHAnsi" w:cs="Times New Roman"/>
          <w:color w:val="0000FF"/>
          <w:sz w:val="22"/>
          <w:szCs w:val="22"/>
        </w:rPr>
        <w:t xml:space="preserve">  2013</w:t>
      </w:r>
      <w:proofErr w:type="gramStart"/>
      <w:r>
        <w:rPr>
          <w:rFonts w:asciiTheme="minorHAnsi" w:eastAsia="Times New Roman" w:hAnsiTheme="minorHAnsi" w:cs="Times New Roman"/>
          <w:color w:val="0000FF"/>
          <w:sz w:val="22"/>
          <w:szCs w:val="22"/>
        </w:rPr>
        <w:t>;37:160</w:t>
      </w:r>
      <w:proofErr w:type="gramEnd"/>
      <w:r>
        <w:rPr>
          <w:rFonts w:asciiTheme="minorHAnsi" w:eastAsia="Times New Roman" w:hAnsiTheme="minorHAnsi" w:cs="Times New Roman"/>
          <w:color w:val="0000FF"/>
          <w:sz w:val="22"/>
          <w:szCs w:val="22"/>
        </w:rPr>
        <w:t>-161.</w:t>
      </w:r>
    </w:p>
    <w:p w14:paraId="50CF7A23" w14:textId="77777777" w:rsidR="00D144A6" w:rsidRPr="009E1D70"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9E1D70">
        <w:rPr>
          <w:rFonts w:asciiTheme="minorHAnsi" w:eastAsia="Times New Roman" w:hAnsiTheme="minorHAnsi" w:cs="Times New Roman"/>
          <w:i w:val="0"/>
          <w:color w:val="0000FF"/>
        </w:rPr>
        <w:t xml:space="preserve">BACKGROUND: </w:t>
      </w:r>
      <w:r>
        <w:rPr>
          <w:rFonts w:asciiTheme="minorHAnsi" w:eastAsia="Times New Roman" w:hAnsiTheme="minorHAnsi" w:cs="Times New Roman"/>
          <w:i w:val="0"/>
          <w:color w:val="0000FF"/>
        </w:rPr>
        <w:t xml:space="preserve"> </w:t>
      </w:r>
      <w:r w:rsidRPr="009E1D70">
        <w:rPr>
          <w:rFonts w:asciiTheme="minorHAnsi" w:hAnsiTheme="minorHAnsi"/>
          <w:b w:val="0"/>
          <w:i w:val="0"/>
          <w:color w:val="0000FF"/>
        </w:rPr>
        <w:t xml:space="preserve">In clinical settings, it is common to measure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of clothed patients and estimate a correction for the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of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but we can find no papers in the medical literature regarding the variability in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of adults with weather, season and gender.</w:t>
      </w:r>
    </w:p>
    <w:p w14:paraId="428D7724" w14:textId="77777777" w:rsidR="00D144A6" w:rsidRPr="009E1D70"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9E1D70">
        <w:rPr>
          <w:rFonts w:asciiTheme="minorHAnsi" w:eastAsia="Times New Roman" w:hAnsiTheme="minorHAnsi" w:cs="Times New Roman"/>
          <w:i w:val="0"/>
          <w:color w:val="0000FF"/>
        </w:rPr>
        <w:t xml:space="preserve">METHODS: </w:t>
      </w:r>
      <w:r>
        <w:rPr>
          <w:rFonts w:asciiTheme="minorHAnsi" w:eastAsia="Times New Roman" w:hAnsiTheme="minorHAnsi" w:cs="Times New Roman"/>
          <w:i w:val="0"/>
          <w:color w:val="0000FF"/>
        </w:rPr>
        <w:t xml:space="preserve"> </w:t>
      </w:r>
      <w:r w:rsidRPr="009E1D70">
        <w:rPr>
          <w:rFonts w:asciiTheme="minorHAnsi" w:hAnsiTheme="minorHAnsi"/>
          <w:b w:val="0"/>
          <w:i w:val="0"/>
          <w:color w:val="0000FF"/>
        </w:rPr>
        <w:t xml:space="preserve">Fifty adults (35 women) were weighed four times during a 12-month period with and without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Pr>
          <w:rFonts w:asciiTheme="minorHAnsi" w:hAnsiTheme="minorHAnsi"/>
          <w:b w:val="0"/>
          <w:i w:val="0"/>
          <w:color w:val="0000FF"/>
        </w:rPr>
        <w:t xml:space="preserve">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weights</w:t>
      </w:r>
      <w:r w:rsidRPr="009E1D70">
        <w:rPr>
          <w:rFonts w:asciiTheme="minorHAnsi" w:hAnsiTheme="minorHAnsi"/>
          <w:b w:val="0"/>
          <w:i w:val="0"/>
          <w:color w:val="0000FF"/>
        </w:rPr>
        <w:t xml:space="preserve"> were determined and regressed against minimum, maximum and average daily outdoor temperature.</w:t>
      </w:r>
    </w:p>
    <w:p w14:paraId="48208588" w14:textId="77777777" w:rsidR="00D144A6" w:rsidRPr="009E1D70"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9E1D70">
        <w:rPr>
          <w:rFonts w:asciiTheme="minorHAnsi" w:eastAsia="Times New Roman" w:hAnsiTheme="minorHAnsi" w:cs="Times New Roman"/>
          <w:i w:val="0"/>
          <w:color w:val="0000FF"/>
        </w:rPr>
        <w:t xml:space="preserve">RESULTS: </w:t>
      </w:r>
      <w:r>
        <w:rPr>
          <w:rFonts w:asciiTheme="minorHAnsi" w:eastAsia="Times New Roman" w:hAnsiTheme="minorHAnsi" w:cs="Times New Roman"/>
          <w:i w:val="0"/>
          <w:color w:val="0000FF"/>
        </w:rPr>
        <w:t xml:space="preserve"> </w:t>
      </w:r>
      <w:r w:rsidRPr="009E1D70">
        <w:rPr>
          <w:rFonts w:asciiTheme="minorHAnsi" w:hAnsiTheme="minorHAnsi"/>
          <w:b w:val="0"/>
          <w:i w:val="0"/>
          <w:color w:val="0000FF"/>
        </w:rPr>
        <w:t xml:space="preserve">The average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w:t>
      </w:r>
      <w:proofErr w:type="spellStart"/>
      <w:r w:rsidRPr="009E1D70">
        <w:rPr>
          <w:rFonts w:asciiTheme="minorHAnsi" w:hAnsiTheme="minorHAnsi"/>
          <w:b w:val="0"/>
          <w:i w:val="0"/>
          <w:color w:val="0000FF"/>
        </w:rPr>
        <w:t>s.d.</w:t>
      </w:r>
      <w:proofErr w:type="spellEnd"/>
      <w:r w:rsidRPr="009E1D70">
        <w:rPr>
          <w:rFonts w:asciiTheme="minorHAnsi" w:hAnsiTheme="minorHAnsi"/>
          <w:b w:val="0"/>
          <w:i w:val="0"/>
          <w:color w:val="0000FF"/>
        </w:rPr>
        <w:t xml:space="preserve">) throughout the year was significantly greater in men than in women (1.2±0.3 </w:t>
      </w:r>
      <w:proofErr w:type="spellStart"/>
      <w:r w:rsidRPr="009E1D70">
        <w:rPr>
          <w:rFonts w:asciiTheme="minorHAnsi" w:hAnsiTheme="minorHAnsi"/>
          <w:b w:val="0"/>
          <w:i w:val="0"/>
          <w:color w:val="0000FF"/>
        </w:rPr>
        <w:t>vs</w:t>
      </w:r>
      <w:proofErr w:type="spellEnd"/>
      <w:r w:rsidRPr="009E1D70">
        <w:rPr>
          <w:rFonts w:asciiTheme="minorHAnsi" w:hAnsiTheme="minorHAnsi"/>
          <w:b w:val="0"/>
          <w:i w:val="0"/>
          <w:color w:val="0000FF"/>
        </w:rPr>
        <w:t xml:space="preserve"> 0.8±0.3 kg, P&lt;0.0001).</w:t>
      </w:r>
      <w:r>
        <w:rPr>
          <w:rFonts w:asciiTheme="minorHAnsi" w:hAnsiTheme="minorHAnsi"/>
          <w:b w:val="0"/>
          <w:i w:val="0"/>
          <w:color w:val="0000FF"/>
        </w:rPr>
        <w:t xml:space="preserve"> </w:t>
      </w:r>
      <w:r w:rsidRPr="009E1D70">
        <w:rPr>
          <w:rFonts w:asciiTheme="minorHAnsi" w:hAnsiTheme="minorHAnsi"/>
          <w:b w:val="0"/>
          <w:i w:val="0"/>
          <w:color w:val="0000FF"/>
        </w:rPr>
        <w:t xml:space="preserve"> The average within-person minimum and the average within-person maximum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weights</w:t>
      </w:r>
      <w:r w:rsidRPr="009E1D70">
        <w:rPr>
          <w:rFonts w:asciiTheme="minorHAnsi" w:hAnsiTheme="minorHAnsi"/>
          <w:b w:val="0"/>
          <w:i w:val="0"/>
          <w:color w:val="0000FF"/>
        </w:rPr>
        <w:t xml:space="preserve"> across the year were 0.9±0.2 and 1.5±0.4 kg for men, and 0.5±0.2 and 1.1±0.4 kg for women, respectively. </w:t>
      </w:r>
      <w:r>
        <w:rPr>
          <w:rFonts w:asciiTheme="minorHAnsi" w:hAnsiTheme="minorHAnsi"/>
          <w:b w:val="0"/>
          <w:i w:val="0"/>
          <w:color w:val="0000FF"/>
        </w:rPr>
        <w:t xml:space="preserve"> </w:t>
      </w:r>
      <w:r w:rsidRPr="009E1D70">
        <w:rPr>
          <w:rFonts w:asciiTheme="minorHAnsi" w:hAnsiTheme="minorHAnsi"/>
          <w:b w:val="0"/>
          <w:i w:val="0"/>
          <w:color w:val="0000FF"/>
        </w:rPr>
        <w:t xml:space="preserve">The within-person </w:t>
      </w:r>
      <w:proofErr w:type="spellStart"/>
      <w:r w:rsidRPr="009E1D70">
        <w:rPr>
          <w:rFonts w:asciiTheme="minorHAnsi" w:hAnsiTheme="minorHAnsi"/>
          <w:b w:val="0"/>
          <w:i w:val="0"/>
          <w:color w:val="0000FF"/>
        </w:rPr>
        <w:t>s.d.</w:t>
      </w:r>
      <w:proofErr w:type="spellEnd"/>
      <w:r w:rsidRPr="009E1D70">
        <w:rPr>
          <w:rFonts w:asciiTheme="minorHAnsi" w:hAnsiTheme="minorHAnsi"/>
          <w:b w:val="0"/>
          <w:i w:val="0"/>
          <w:color w:val="0000FF"/>
        </w:rPr>
        <w:t xml:space="preserve"> in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was 0.3 kg for both men and women. </w:t>
      </w:r>
      <w:r>
        <w:rPr>
          <w:rFonts w:asciiTheme="minorHAnsi" w:hAnsiTheme="minorHAnsi"/>
          <w:b w:val="0"/>
          <w:i w:val="0"/>
          <w:color w:val="0000FF"/>
        </w:rPr>
        <w:t xml:space="preserve"> </w:t>
      </w:r>
      <w:r w:rsidRPr="009E1D70">
        <w:rPr>
          <w:rFonts w:asciiTheme="minorHAnsi" w:hAnsiTheme="minorHAnsi"/>
          <w:b w:val="0"/>
          <w:i w:val="0"/>
          <w:color w:val="0000FF"/>
        </w:rPr>
        <w:t xml:space="preserve">Over the 55 °C range in the lowest to the highest outdoor temperatures, the regressions predicted a maximal change in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of only 0.4 kg in women and 0.6 kg in men.</w:t>
      </w:r>
    </w:p>
    <w:p w14:paraId="22AF8A00" w14:textId="77777777" w:rsidR="00D144A6" w:rsidRPr="00194CA1" w:rsidRDefault="00D144A6" w:rsidP="00D144A6">
      <w:pPr>
        <w:pStyle w:val="Heading4"/>
        <w:spacing w:before="0" w:line="240" w:lineRule="auto"/>
        <w:ind w:left="360"/>
        <w:rPr>
          <w:rFonts w:asciiTheme="minorHAnsi" w:hAnsiTheme="minorHAnsi"/>
          <w:b w:val="0"/>
          <w:i w:val="0"/>
          <w:color w:val="0000FF"/>
        </w:rPr>
      </w:pPr>
      <w:r w:rsidRPr="009E1D70">
        <w:rPr>
          <w:rFonts w:asciiTheme="minorHAnsi" w:eastAsia="Times New Roman" w:hAnsiTheme="minorHAnsi" w:cs="Times New Roman"/>
          <w:i w:val="0"/>
          <w:color w:val="0000FF"/>
        </w:rPr>
        <w:t xml:space="preserve">CONCLUSION: </w:t>
      </w:r>
      <w:r>
        <w:rPr>
          <w:rFonts w:asciiTheme="minorHAnsi" w:eastAsia="Times New Roman" w:hAnsiTheme="minorHAnsi" w:cs="Times New Roman"/>
          <w:i w:val="0"/>
          <w:color w:val="0000FF"/>
        </w:rPr>
        <w:t xml:space="preserve"> </w:t>
      </w:r>
      <w:r w:rsidRPr="009E1D70">
        <w:rPr>
          <w:rFonts w:asciiTheme="minorHAnsi" w:hAnsiTheme="minorHAnsi"/>
          <w:b w:val="0"/>
          <w:i w:val="0"/>
          <w:color w:val="0000FF"/>
        </w:rPr>
        <w:t xml:space="preserve">The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w:t>
      </w:r>
      <w:r w:rsidRPr="009E1D70">
        <w:rPr>
          <w:rStyle w:val="highlight"/>
          <w:rFonts w:asciiTheme="minorHAnsi" w:hAnsiTheme="minorHAnsi"/>
          <w:b w:val="0"/>
          <w:i w:val="0"/>
          <w:color w:val="0000FF"/>
        </w:rPr>
        <w:t>weight</w:t>
      </w:r>
      <w:r w:rsidRPr="009E1D70">
        <w:rPr>
          <w:rFonts w:asciiTheme="minorHAnsi" w:hAnsiTheme="minorHAnsi"/>
          <w:b w:val="0"/>
          <w:i w:val="0"/>
          <w:color w:val="0000FF"/>
        </w:rPr>
        <w:t xml:space="preserve"> of men is significantly greater than that of women, but there is little variability throughout the year.</w:t>
      </w:r>
      <w:r>
        <w:rPr>
          <w:rFonts w:asciiTheme="minorHAnsi" w:hAnsiTheme="minorHAnsi"/>
          <w:b w:val="0"/>
          <w:i w:val="0"/>
          <w:color w:val="0000FF"/>
        </w:rPr>
        <w:t xml:space="preserve"> </w:t>
      </w:r>
      <w:r w:rsidRPr="009E1D70">
        <w:rPr>
          <w:rFonts w:asciiTheme="minorHAnsi" w:hAnsiTheme="minorHAnsi"/>
          <w:b w:val="0"/>
          <w:i w:val="0"/>
          <w:color w:val="0000FF"/>
        </w:rPr>
        <w:t xml:space="preserve"> Therefore, a </w:t>
      </w:r>
      <w:r w:rsidRPr="009E1D70">
        <w:rPr>
          <w:rStyle w:val="highlight"/>
          <w:rFonts w:asciiTheme="minorHAnsi" w:hAnsiTheme="minorHAnsi"/>
          <w:b w:val="0"/>
          <w:i w:val="0"/>
          <w:color w:val="0000FF"/>
        </w:rPr>
        <w:t>clothing</w:t>
      </w:r>
      <w:r w:rsidRPr="009E1D70">
        <w:rPr>
          <w:rFonts w:asciiTheme="minorHAnsi" w:hAnsiTheme="minorHAnsi"/>
          <w:b w:val="0"/>
          <w:i w:val="0"/>
          <w:color w:val="0000FF"/>
        </w:rPr>
        <w:t xml:space="preserve"> adjustment of approximately 0.8 kg for women </w:t>
      </w:r>
      <w:r w:rsidRPr="00194CA1">
        <w:rPr>
          <w:rFonts w:asciiTheme="minorHAnsi" w:hAnsiTheme="minorHAnsi"/>
          <w:b w:val="0"/>
          <w:i w:val="0"/>
          <w:color w:val="0000FF"/>
        </w:rPr>
        <w:t>and 1.2 kg for men is appropriate regardless of outdoor temperature.</w:t>
      </w:r>
    </w:p>
    <w:p w14:paraId="434DE270" w14:textId="77777777" w:rsidR="00D144A6" w:rsidRPr="00E21EB4" w:rsidRDefault="00D144A6" w:rsidP="00D144A6">
      <w:pPr>
        <w:pStyle w:val="NormalWeb"/>
        <w:spacing w:before="0" w:beforeAutospacing="0" w:after="0" w:afterAutospacing="0"/>
        <w:rPr>
          <w:rFonts w:asciiTheme="minorHAnsi" w:hAnsiTheme="minorHAnsi"/>
          <w:color w:val="0000FF"/>
          <w:sz w:val="22"/>
          <w:szCs w:val="22"/>
        </w:rPr>
      </w:pPr>
    </w:p>
    <w:p w14:paraId="1DF4C49F" w14:textId="77777777" w:rsidR="00D144A6" w:rsidRPr="00E21EB4" w:rsidRDefault="00D144A6" w:rsidP="00D144A6">
      <w:pPr>
        <w:pStyle w:val="ListParagraph"/>
        <w:widowControl w:val="0"/>
        <w:numPr>
          <w:ilvl w:val="0"/>
          <w:numId w:val="9"/>
        </w:numPr>
        <w:autoSpaceDE w:val="0"/>
        <w:autoSpaceDN w:val="0"/>
        <w:adjustRightInd w:val="0"/>
        <w:spacing w:after="120" w:line="240" w:lineRule="auto"/>
        <w:contextualSpacing w:val="0"/>
        <w:rPr>
          <w:rFonts w:cs="Times"/>
          <w:b/>
          <w:color w:val="0000FF"/>
        </w:rPr>
      </w:pPr>
      <w:proofErr w:type="spellStart"/>
      <w:r w:rsidRPr="00E21EB4">
        <w:rPr>
          <w:rFonts w:cs="Times"/>
          <w:b/>
          <w:color w:val="0000FF"/>
        </w:rPr>
        <w:lastRenderedPageBreak/>
        <w:t>Zoccali</w:t>
      </w:r>
      <w:proofErr w:type="spellEnd"/>
      <w:r w:rsidRPr="00E21EB4">
        <w:rPr>
          <w:rFonts w:cs="Times"/>
          <w:b/>
          <w:color w:val="0000FF"/>
        </w:rPr>
        <w:t xml:space="preserve"> C, Benedetto FA, </w:t>
      </w:r>
      <w:proofErr w:type="spellStart"/>
      <w:r w:rsidRPr="00E21EB4">
        <w:rPr>
          <w:rFonts w:cs="Times"/>
          <w:b/>
          <w:color w:val="0000FF"/>
        </w:rPr>
        <w:t>Mallamaci</w:t>
      </w:r>
      <w:proofErr w:type="spellEnd"/>
      <w:r w:rsidRPr="00E21EB4">
        <w:rPr>
          <w:rFonts w:cs="Times"/>
          <w:b/>
          <w:color w:val="0000FF"/>
        </w:rPr>
        <w:t xml:space="preserve"> F, et al.  Left ventricular mass monitoring in the follow-up of dialysis patients:  Prognostic value of left ventricular hypertrophy progression.  </w:t>
      </w:r>
      <w:r w:rsidRPr="00E21EB4">
        <w:rPr>
          <w:rFonts w:cs="Times"/>
          <w:b/>
          <w:i/>
          <w:color w:val="0000FF"/>
        </w:rPr>
        <w:t>Kidney Int.</w:t>
      </w:r>
      <w:r w:rsidRPr="00E21EB4">
        <w:rPr>
          <w:rFonts w:cs="Times"/>
          <w:b/>
          <w:color w:val="0000FF"/>
        </w:rPr>
        <w:t xml:space="preserve">  2004</w:t>
      </w:r>
      <w:proofErr w:type="gramStart"/>
      <w:r w:rsidRPr="00E21EB4">
        <w:rPr>
          <w:rFonts w:cs="Times"/>
          <w:b/>
          <w:color w:val="0000FF"/>
        </w:rPr>
        <w:t>;65:1492</w:t>
      </w:r>
      <w:proofErr w:type="gramEnd"/>
      <w:r w:rsidRPr="00E21EB4">
        <w:rPr>
          <w:rFonts w:cs="Times"/>
          <w:b/>
          <w:color w:val="0000FF"/>
        </w:rPr>
        <w:t>–1498.</w:t>
      </w:r>
    </w:p>
    <w:p w14:paraId="5227CABF" w14:textId="77777777" w:rsidR="00D144A6" w:rsidRPr="00E21EB4"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E21EB4">
        <w:rPr>
          <w:rFonts w:asciiTheme="minorHAnsi" w:eastAsia="Times New Roman" w:hAnsiTheme="minorHAnsi" w:cs="Times New Roman"/>
          <w:i w:val="0"/>
          <w:color w:val="0000FF"/>
        </w:rPr>
        <w:t xml:space="preserve">BACKGROUND: </w:t>
      </w:r>
      <w:r>
        <w:rPr>
          <w:rFonts w:asciiTheme="minorHAnsi" w:eastAsia="Times New Roman" w:hAnsiTheme="minorHAnsi" w:cs="Times New Roman"/>
          <w:i w:val="0"/>
          <w:color w:val="0000FF"/>
        </w:rPr>
        <w:t xml:space="preserve"> </w:t>
      </w:r>
      <w:r w:rsidRPr="00E21EB4">
        <w:rPr>
          <w:rFonts w:asciiTheme="minorHAnsi" w:hAnsiTheme="minorHAnsi"/>
          <w:b w:val="0"/>
          <w:i w:val="0"/>
          <w:color w:val="0000FF"/>
        </w:rPr>
        <w:t>Regression of left ventricular hypertrophy (LVH) in the setting of a well-planned intervention study has been associated with longer survival in hemodialysis patients. Whether changes in left ventricular mass (LVM) in clinical practice predict survival and cardiovascular events in these patients is still unknown.</w:t>
      </w:r>
    </w:p>
    <w:p w14:paraId="5B99EA0F" w14:textId="77777777" w:rsidR="00D144A6" w:rsidRDefault="00D144A6" w:rsidP="00D144A6">
      <w:pPr>
        <w:pStyle w:val="Heading4"/>
        <w:spacing w:before="0" w:after="120" w:line="240" w:lineRule="auto"/>
        <w:ind w:left="360"/>
        <w:rPr>
          <w:rFonts w:asciiTheme="minorHAnsi" w:hAnsiTheme="minorHAnsi"/>
          <w:b w:val="0"/>
          <w:i w:val="0"/>
          <w:color w:val="0000FF"/>
        </w:rPr>
      </w:pPr>
      <w:r w:rsidRPr="00E21EB4">
        <w:rPr>
          <w:rFonts w:asciiTheme="minorHAnsi" w:eastAsia="Times New Roman" w:hAnsiTheme="minorHAnsi" w:cs="Times New Roman"/>
          <w:i w:val="0"/>
          <w:color w:val="0000FF"/>
        </w:rPr>
        <w:t xml:space="preserve">METHODS: </w:t>
      </w:r>
      <w:r w:rsidRPr="00E21EB4">
        <w:rPr>
          <w:rFonts w:asciiTheme="minorHAnsi" w:eastAsia="Times New Roman" w:hAnsiTheme="minorHAnsi" w:cs="Times New Roman"/>
          <w:b w:val="0"/>
          <w:i w:val="0"/>
          <w:color w:val="0000FF"/>
        </w:rPr>
        <w:t xml:space="preserve"> </w:t>
      </w:r>
      <w:r w:rsidRPr="00E21EB4">
        <w:rPr>
          <w:rFonts w:asciiTheme="minorHAnsi" w:hAnsiTheme="minorHAnsi"/>
          <w:b w:val="0"/>
          <w:i w:val="0"/>
          <w:color w:val="0000FF"/>
        </w:rPr>
        <w:t>In a prospective study in 161 hemodialysis patients we tested the prognostic value of changes in LVM on survival and incident cardiovascular events. Echocardiography was performed twice, 18 +/- 2 SD months apart. Changes in LVM occurring between the first and the second echocardiographic study were then used to predict mortality and cardiovascular events during the ensuing 29 +/- 13 months. The prognostic value of LVM changes was tested in a multivariate Cox's model with LVM index (LVMI) [expressed as LVM/</w:t>
      </w:r>
      <w:proofErr w:type="gramStart"/>
      <w:r w:rsidRPr="00E21EB4">
        <w:rPr>
          <w:rFonts w:asciiTheme="minorHAnsi" w:hAnsiTheme="minorHAnsi"/>
          <w:b w:val="0"/>
          <w:i w:val="0"/>
          <w:color w:val="0000FF"/>
        </w:rPr>
        <w:t>height(</w:t>
      </w:r>
      <w:proofErr w:type="gramEnd"/>
      <w:r w:rsidRPr="00E21EB4">
        <w:rPr>
          <w:rFonts w:asciiTheme="minorHAnsi" w:hAnsiTheme="minorHAnsi"/>
          <w:b w:val="0"/>
          <w:i w:val="0"/>
          <w:color w:val="0000FF"/>
        </w:rPr>
        <w:t>2.71)], included as a covariate to control for regression to the mean.</w:t>
      </w:r>
    </w:p>
    <w:p w14:paraId="3AB53823" w14:textId="77777777" w:rsidR="00D144A6" w:rsidRPr="00E21EB4"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E21EB4">
        <w:rPr>
          <w:rFonts w:asciiTheme="minorHAnsi" w:eastAsia="Times New Roman" w:hAnsiTheme="minorHAnsi" w:cs="Times New Roman"/>
          <w:i w:val="0"/>
          <w:color w:val="0000FF"/>
        </w:rPr>
        <w:t xml:space="preserve">RESULTS: </w:t>
      </w:r>
      <w:r>
        <w:rPr>
          <w:rFonts w:asciiTheme="minorHAnsi" w:eastAsia="Times New Roman" w:hAnsiTheme="minorHAnsi" w:cs="Times New Roman"/>
          <w:i w:val="0"/>
          <w:color w:val="0000FF"/>
        </w:rPr>
        <w:t xml:space="preserve"> </w:t>
      </w:r>
      <w:r w:rsidRPr="00E21EB4">
        <w:rPr>
          <w:rFonts w:asciiTheme="minorHAnsi" w:hAnsiTheme="minorHAnsi"/>
          <w:b w:val="0"/>
          <w:i w:val="0"/>
          <w:color w:val="0000FF"/>
        </w:rPr>
        <w:t xml:space="preserve">The rate of increase of LVMI was significantly (P= 0.029) higher in patients with incident cardiovascular events than in those without such events. Accordingly, cardiovascular event-free survival in patients with changes in LVMI below the 25th percentile was significantly (P= 0.004) higher than in those with changes above the 75th percentile. In a multiple Cox regression analysis, including age, diabetes, smoking, </w:t>
      </w:r>
      <w:proofErr w:type="spellStart"/>
      <w:r w:rsidRPr="00E21EB4">
        <w:rPr>
          <w:rFonts w:asciiTheme="minorHAnsi" w:hAnsiTheme="minorHAnsi"/>
          <w:b w:val="0"/>
          <w:i w:val="0"/>
          <w:color w:val="0000FF"/>
        </w:rPr>
        <w:t>homocysteine</w:t>
      </w:r>
      <w:proofErr w:type="spellEnd"/>
      <w:r w:rsidRPr="00E21EB4">
        <w:rPr>
          <w:rFonts w:asciiTheme="minorHAnsi" w:hAnsiTheme="minorHAnsi"/>
          <w:b w:val="0"/>
          <w:i w:val="0"/>
          <w:color w:val="0000FF"/>
        </w:rPr>
        <w:t>, 1 g/</w:t>
      </w:r>
      <w:proofErr w:type="gramStart"/>
      <w:r w:rsidRPr="00E21EB4">
        <w:rPr>
          <w:rFonts w:asciiTheme="minorHAnsi" w:hAnsiTheme="minorHAnsi"/>
          <w:b w:val="0"/>
          <w:i w:val="0"/>
          <w:color w:val="0000FF"/>
        </w:rPr>
        <w:t>m(</w:t>
      </w:r>
      <w:proofErr w:type="gramEnd"/>
      <w:r w:rsidRPr="00E21EB4">
        <w:rPr>
          <w:rFonts w:asciiTheme="minorHAnsi" w:hAnsiTheme="minorHAnsi"/>
          <w:b w:val="0"/>
          <w:i w:val="0"/>
          <w:color w:val="0000FF"/>
        </w:rPr>
        <w:t>2.7)/month increase in LVMI was associated with a 62% increase in the incident risk of fatal and nonfatal cardiovascular events [hazard ratio 1.62 (95% CI 1.13-2.33), P= 0.009].</w:t>
      </w:r>
    </w:p>
    <w:p w14:paraId="553765C3" w14:textId="77777777" w:rsidR="00D144A6" w:rsidRPr="00E21EB4" w:rsidRDefault="00D144A6" w:rsidP="00D144A6">
      <w:pPr>
        <w:pStyle w:val="Heading4"/>
        <w:spacing w:before="0" w:line="240" w:lineRule="auto"/>
        <w:ind w:left="360"/>
        <w:rPr>
          <w:rFonts w:asciiTheme="minorHAnsi" w:eastAsia="Times New Roman" w:hAnsiTheme="minorHAnsi" w:cs="Times New Roman"/>
          <w:i w:val="0"/>
          <w:color w:val="0000FF"/>
        </w:rPr>
      </w:pPr>
      <w:r w:rsidRPr="00E21EB4">
        <w:rPr>
          <w:rFonts w:asciiTheme="minorHAnsi" w:eastAsia="Times New Roman" w:hAnsiTheme="minorHAnsi" w:cs="Times New Roman"/>
          <w:i w:val="0"/>
          <w:color w:val="0000FF"/>
        </w:rPr>
        <w:t xml:space="preserve">CONCLUSION: </w:t>
      </w:r>
      <w:r>
        <w:rPr>
          <w:rFonts w:asciiTheme="minorHAnsi" w:eastAsia="Times New Roman" w:hAnsiTheme="minorHAnsi" w:cs="Times New Roman"/>
          <w:i w:val="0"/>
          <w:color w:val="0000FF"/>
        </w:rPr>
        <w:t xml:space="preserve"> </w:t>
      </w:r>
      <w:r w:rsidRPr="00E21EB4">
        <w:rPr>
          <w:rFonts w:asciiTheme="minorHAnsi" w:hAnsiTheme="minorHAnsi"/>
          <w:b w:val="0"/>
          <w:i w:val="0"/>
          <w:color w:val="0000FF"/>
        </w:rPr>
        <w:t>Changes in LVMI have an independent prognostic value for cardiovascular events and provide scientific support to the use of repeated echocardiographic studies for monitoring cardiovascular risk in dialysis patients.</w:t>
      </w:r>
    </w:p>
    <w:p w14:paraId="4947DBE1" w14:textId="77777777" w:rsidR="00D144A6" w:rsidRPr="00E21EB4" w:rsidRDefault="00D144A6" w:rsidP="00D144A6">
      <w:pPr>
        <w:autoSpaceDE w:val="0"/>
        <w:autoSpaceDN w:val="0"/>
        <w:adjustRightInd w:val="0"/>
        <w:rPr>
          <w:rFonts w:cs="Times"/>
          <w:b/>
          <w:color w:val="0000FF"/>
        </w:rPr>
      </w:pPr>
    </w:p>
    <w:p w14:paraId="64CB321C" w14:textId="77777777" w:rsidR="00D144A6" w:rsidRPr="00C6182A" w:rsidRDefault="00D144A6" w:rsidP="00D144A6">
      <w:pPr>
        <w:pStyle w:val="ListParagraph"/>
        <w:widowControl w:val="0"/>
        <w:numPr>
          <w:ilvl w:val="0"/>
          <w:numId w:val="9"/>
        </w:numPr>
        <w:autoSpaceDE w:val="0"/>
        <w:autoSpaceDN w:val="0"/>
        <w:adjustRightInd w:val="0"/>
        <w:spacing w:after="120" w:line="240" w:lineRule="auto"/>
        <w:contextualSpacing w:val="0"/>
        <w:rPr>
          <w:rFonts w:cs="Times"/>
          <w:b/>
          <w:color w:val="0000FF"/>
        </w:rPr>
      </w:pPr>
      <w:r w:rsidRPr="00E21EB4">
        <w:rPr>
          <w:rFonts w:cs="Times"/>
          <w:b/>
          <w:color w:val="0000FF"/>
        </w:rPr>
        <w:t xml:space="preserve">Burton JO, Jefferies HJ, Selby NM, and McIntyre CW.  Hemodialysis-induced cardiac injury:  </w:t>
      </w:r>
      <w:r w:rsidRPr="00C6182A">
        <w:rPr>
          <w:rFonts w:cs="Times"/>
          <w:b/>
          <w:color w:val="0000FF"/>
        </w:rPr>
        <w:t xml:space="preserve">Determinants and associated outcomes.  </w:t>
      </w:r>
      <w:proofErr w:type="spellStart"/>
      <w:r w:rsidRPr="00C6182A">
        <w:rPr>
          <w:rFonts w:cs="Times"/>
          <w:b/>
          <w:i/>
          <w:color w:val="0000FF"/>
        </w:rPr>
        <w:t>Clin</w:t>
      </w:r>
      <w:proofErr w:type="spellEnd"/>
      <w:r w:rsidRPr="00C6182A">
        <w:rPr>
          <w:rFonts w:cs="Times"/>
          <w:b/>
          <w:i/>
          <w:color w:val="0000FF"/>
        </w:rPr>
        <w:t xml:space="preserve"> J Am </w:t>
      </w:r>
      <w:proofErr w:type="spellStart"/>
      <w:r w:rsidRPr="00C6182A">
        <w:rPr>
          <w:rFonts w:cs="Times"/>
          <w:b/>
          <w:i/>
          <w:color w:val="0000FF"/>
        </w:rPr>
        <w:t>Soc</w:t>
      </w:r>
      <w:proofErr w:type="spellEnd"/>
      <w:r w:rsidRPr="00C6182A">
        <w:rPr>
          <w:rFonts w:cs="Times"/>
          <w:b/>
          <w:i/>
          <w:color w:val="0000FF"/>
        </w:rPr>
        <w:t xml:space="preserve"> </w:t>
      </w:r>
      <w:proofErr w:type="spellStart"/>
      <w:r w:rsidRPr="00C6182A">
        <w:rPr>
          <w:rFonts w:cs="Times"/>
          <w:b/>
          <w:i/>
          <w:color w:val="0000FF"/>
        </w:rPr>
        <w:t>Nephrol</w:t>
      </w:r>
      <w:proofErr w:type="spellEnd"/>
      <w:r w:rsidRPr="00C6182A">
        <w:rPr>
          <w:rFonts w:cs="Times"/>
          <w:b/>
          <w:i/>
          <w:color w:val="0000FF"/>
        </w:rPr>
        <w:t xml:space="preserve">.  </w:t>
      </w:r>
      <w:r w:rsidRPr="00C6182A">
        <w:rPr>
          <w:rFonts w:cs="Times"/>
          <w:b/>
          <w:color w:val="0000FF"/>
        </w:rPr>
        <w:t>2009</w:t>
      </w:r>
      <w:proofErr w:type="gramStart"/>
      <w:r w:rsidRPr="00C6182A">
        <w:rPr>
          <w:rFonts w:cs="Times"/>
          <w:b/>
          <w:color w:val="0000FF"/>
        </w:rPr>
        <w:t>;4:914</w:t>
      </w:r>
      <w:proofErr w:type="gramEnd"/>
      <w:r w:rsidRPr="00C6182A">
        <w:rPr>
          <w:rFonts w:cs="Times"/>
          <w:b/>
          <w:color w:val="0000FF"/>
        </w:rPr>
        <w:t>–920.</w:t>
      </w:r>
    </w:p>
    <w:p w14:paraId="624E412C" w14:textId="77777777" w:rsidR="00D144A6" w:rsidRPr="00C6182A" w:rsidRDefault="00D144A6" w:rsidP="00D144A6">
      <w:pPr>
        <w:pStyle w:val="Heading4"/>
        <w:spacing w:before="0" w:after="120" w:line="240" w:lineRule="auto"/>
        <w:ind w:left="360"/>
        <w:rPr>
          <w:rFonts w:asciiTheme="minorHAnsi" w:eastAsia="Times New Roman" w:hAnsiTheme="minorHAnsi" w:cs="Times New Roman"/>
          <w:i w:val="0"/>
          <w:color w:val="0000FF"/>
        </w:rPr>
      </w:pPr>
      <w:r>
        <w:rPr>
          <w:rFonts w:asciiTheme="minorHAnsi" w:eastAsia="Times New Roman" w:hAnsiTheme="minorHAnsi" w:cs="Times New Roman"/>
          <w:i w:val="0"/>
          <w:color w:val="0000FF"/>
        </w:rPr>
        <w:lastRenderedPageBreak/>
        <w:t xml:space="preserve">BACKGROUND AND OBJECTIVES:  </w:t>
      </w:r>
      <w:r w:rsidRPr="00C6182A">
        <w:rPr>
          <w:rFonts w:asciiTheme="minorHAnsi" w:hAnsiTheme="minorHAnsi"/>
          <w:b w:val="0"/>
          <w:i w:val="0"/>
          <w:color w:val="0000FF"/>
        </w:rPr>
        <w:t xml:space="preserve">Hemodialysis (HD)-induced myocardial stunning driven by ischemia is a recognized complication of HD, which can be ameliorated by HD techniques that improve hemodynamics. </w:t>
      </w:r>
      <w:r>
        <w:rPr>
          <w:rFonts w:asciiTheme="minorHAnsi" w:hAnsiTheme="minorHAnsi"/>
          <w:b w:val="0"/>
          <w:i w:val="0"/>
          <w:color w:val="0000FF"/>
        </w:rPr>
        <w:t xml:space="preserve"> </w:t>
      </w:r>
      <w:r w:rsidRPr="00C6182A">
        <w:rPr>
          <w:rFonts w:asciiTheme="minorHAnsi" w:hAnsiTheme="minorHAnsi"/>
          <w:b w:val="0"/>
          <w:i w:val="0"/>
          <w:color w:val="0000FF"/>
        </w:rPr>
        <w:t xml:space="preserve">In </w:t>
      </w:r>
      <w:proofErr w:type="spellStart"/>
      <w:r w:rsidRPr="00C6182A">
        <w:rPr>
          <w:rFonts w:asciiTheme="minorHAnsi" w:hAnsiTheme="minorHAnsi"/>
          <w:b w:val="0"/>
          <w:i w:val="0"/>
          <w:color w:val="0000FF"/>
        </w:rPr>
        <w:t>nondialysis</w:t>
      </w:r>
      <w:proofErr w:type="spellEnd"/>
      <w:r w:rsidRPr="00C6182A">
        <w:rPr>
          <w:rFonts w:asciiTheme="minorHAnsi" w:hAnsiTheme="minorHAnsi"/>
          <w:b w:val="0"/>
          <w:i w:val="0"/>
          <w:color w:val="0000FF"/>
        </w:rPr>
        <w:t xml:space="preserve"> patients, repeated ischemia leads to chronic reduction in left ventricular (LV) function.</w:t>
      </w:r>
      <w:r>
        <w:rPr>
          <w:rFonts w:asciiTheme="minorHAnsi" w:hAnsiTheme="minorHAnsi"/>
          <w:b w:val="0"/>
          <w:i w:val="0"/>
          <w:color w:val="0000FF"/>
        </w:rPr>
        <w:t xml:space="preserve"> </w:t>
      </w:r>
      <w:r w:rsidRPr="00C6182A">
        <w:rPr>
          <w:rFonts w:asciiTheme="minorHAnsi" w:hAnsiTheme="minorHAnsi"/>
          <w:b w:val="0"/>
          <w:i w:val="0"/>
          <w:color w:val="0000FF"/>
        </w:rPr>
        <w:t xml:space="preserve"> HD may initiate and drive the same process.</w:t>
      </w:r>
      <w:r>
        <w:rPr>
          <w:rFonts w:asciiTheme="minorHAnsi" w:hAnsiTheme="minorHAnsi"/>
          <w:b w:val="0"/>
          <w:i w:val="0"/>
          <w:color w:val="0000FF"/>
        </w:rPr>
        <w:t xml:space="preserve"> </w:t>
      </w:r>
      <w:r w:rsidRPr="00C6182A">
        <w:rPr>
          <w:rFonts w:asciiTheme="minorHAnsi" w:hAnsiTheme="minorHAnsi"/>
          <w:b w:val="0"/>
          <w:i w:val="0"/>
          <w:color w:val="0000FF"/>
        </w:rPr>
        <w:t xml:space="preserve"> In this study, we examined the prevalence and associations of HD-induced repetitive myocardial injury and long-term effects on LV function and patient outcomes.</w:t>
      </w:r>
    </w:p>
    <w:p w14:paraId="6F272F7D" w14:textId="77777777" w:rsidR="00D144A6" w:rsidRPr="00C6182A" w:rsidRDefault="00D144A6" w:rsidP="00D144A6">
      <w:pPr>
        <w:pStyle w:val="Heading4"/>
        <w:spacing w:before="0" w:after="120" w:line="240" w:lineRule="auto"/>
        <w:ind w:left="360"/>
        <w:rPr>
          <w:rFonts w:asciiTheme="minorHAnsi" w:eastAsia="Times New Roman" w:hAnsiTheme="minorHAnsi" w:cs="Times New Roman"/>
          <w:color w:val="0000FF"/>
        </w:rPr>
      </w:pPr>
      <w:r w:rsidRPr="00C6182A">
        <w:rPr>
          <w:rFonts w:asciiTheme="minorHAnsi" w:eastAsia="Times New Roman" w:hAnsiTheme="minorHAnsi" w:cs="Times New Roman"/>
          <w:i w:val="0"/>
          <w:color w:val="0000FF"/>
        </w:rPr>
        <w:t>DESIGN, SETTING, PARTICIPANTS, &amp; MEASUREMENTS:</w:t>
      </w:r>
      <w:r>
        <w:rPr>
          <w:rFonts w:asciiTheme="minorHAnsi" w:eastAsia="Times New Roman" w:hAnsiTheme="minorHAnsi" w:cs="Times New Roman"/>
          <w:color w:val="0000FF"/>
        </w:rPr>
        <w:t xml:space="preserve"> </w:t>
      </w:r>
      <w:r w:rsidRPr="00C6182A">
        <w:rPr>
          <w:rFonts w:asciiTheme="minorHAnsi" w:eastAsia="Times New Roman" w:hAnsiTheme="minorHAnsi" w:cs="Times New Roman"/>
          <w:b w:val="0"/>
          <w:i w:val="0"/>
          <w:color w:val="0000FF"/>
        </w:rPr>
        <w:t xml:space="preserve"> </w:t>
      </w:r>
      <w:r w:rsidRPr="00C6182A">
        <w:rPr>
          <w:rFonts w:asciiTheme="minorHAnsi" w:hAnsiTheme="minorHAnsi"/>
          <w:b w:val="0"/>
          <w:i w:val="0"/>
          <w:color w:val="0000FF"/>
        </w:rPr>
        <w:t xml:space="preserve">Seventy prevalent HD patients were assessed for evidence of subclinical myocardial injury at baseline using serial echocardiography and followed up after 12 </w:t>
      </w:r>
      <w:proofErr w:type="gramStart"/>
      <w:r w:rsidRPr="00C6182A">
        <w:rPr>
          <w:rFonts w:asciiTheme="minorHAnsi" w:hAnsiTheme="minorHAnsi"/>
          <w:b w:val="0"/>
          <w:i w:val="0"/>
          <w:color w:val="0000FF"/>
        </w:rPr>
        <w:t>mo</w:t>
      </w:r>
      <w:proofErr w:type="gramEnd"/>
      <w:r w:rsidRPr="00C6182A">
        <w:rPr>
          <w:rFonts w:asciiTheme="minorHAnsi" w:hAnsiTheme="minorHAnsi"/>
          <w:b w:val="0"/>
          <w:i w:val="0"/>
          <w:color w:val="0000FF"/>
        </w:rPr>
        <w:t>.</w:t>
      </w:r>
      <w:r>
        <w:rPr>
          <w:rFonts w:asciiTheme="minorHAnsi" w:hAnsiTheme="minorHAnsi"/>
          <w:b w:val="0"/>
          <w:i w:val="0"/>
          <w:color w:val="0000FF"/>
        </w:rPr>
        <w:t xml:space="preserve"> </w:t>
      </w:r>
      <w:r w:rsidRPr="00C6182A">
        <w:rPr>
          <w:rFonts w:asciiTheme="minorHAnsi" w:hAnsiTheme="minorHAnsi"/>
          <w:b w:val="0"/>
          <w:i w:val="0"/>
          <w:color w:val="0000FF"/>
        </w:rPr>
        <w:t xml:space="preserve"> </w:t>
      </w:r>
      <w:proofErr w:type="spellStart"/>
      <w:r w:rsidRPr="00C6182A">
        <w:rPr>
          <w:rFonts w:asciiTheme="minorHAnsi" w:hAnsiTheme="minorHAnsi"/>
          <w:b w:val="0"/>
          <w:i w:val="0"/>
          <w:color w:val="0000FF"/>
        </w:rPr>
        <w:t>Intradialytic</w:t>
      </w:r>
      <w:proofErr w:type="spellEnd"/>
      <w:r w:rsidRPr="00C6182A">
        <w:rPr>
          <w:rFonts w:asciiTheme="minorHAnsi" w:hAnsiTheme="minorHAnsi"/>
          <w:b w:val="0"/>
          <w:i w:val="0"/>
          <w:color w:val="0000FF"/>
        </w:rPr>
        <w:t xml:space="preserve"> blood pressure, hematologic and biochemical samples, and patient demographics were also collected at both time points.</w:t>
      </w:r>
    </w:p>
    <w:p w14:paraId="4D55CDF0" w14:textId="77777777" w:rsidR="00D144A6" w:rsidRPr="00C6182A" w:rsidRDefault="00D144A6" w:rsidP="00D144A6">
      <w:pPr>
        <w:pStyle w:val="Heading4"/>
        <w:spacing w:before="0" w:after="120" w:line="240" w:lineRule="auto"/>
        <w:ind w:left="360"/>
        <w:rPr>
          <w:rFonts w:asciiTheme="minorHAnsi" w:eastAsia="Times New Roman" w:hAnsiTheme="minorHAnsi" w:cs="Times New Roman"/>
          <w:i w:val="0"/>
          <w:color w:val="0000FF"/>
        </w:rPr>
      </w:pPr>
      <w:r w:rsidRPr="00C6182A">
        <w:rPr>
          <w:rFonts w:asciiTheme="minorHAnsi" w:eastAsia="Times New Roman" w:hAnsiTheme="minorHAnsi" w:cs="Times New Roman"/>
          <w:i w:val="0"/>
          <w:color w:val="0000FF"/>
        </w:rPr>
        <w:t xml:space="preserve">RESULTS: </w:t>
      </w:r>
      <w:r>
        <w:rPr>
          <w:rFonts w:asciiTheme="minorHAnsi" w:eastAsia="Times New Roman" w:hAnsiTheme="minorHAnsi" w:cs="Times New Roman"/>
          <w:i w:val="0"/>
          <w:color w:val="0000FF"/>
        </w:rPr>
        <w:t xml:space="preserve"> </w:t>
      </w:r>
      <w:r w:rsidRPr="00C6182A">
        <w:rPr>
          <w:rFonts w:asciiTheme="minorHAnsi" w:hAnsiTheme="minorHAnsi"/>
          <w:b w:val="0"/>
          <w:i w:val="0"/>
          <w:color w:val="0000FF"/>
        </w:rPr>
        <w:t>Sixty-four percent of patients had significant myocardial stunning during HD.</w:t>
      </w:r>
      <w:r>
        <w:rPr>
          <w:rFonts w:asciiTheme="minorHAnsi" w:hAnsiTheme="minorHAnsi"/>
          <w:b w:val="0"/>
          <w:i w:val="0"/>
          <w:color w:val="0000FF"/>
        </w:rPr>
        <w:t xml:space="preserve"> </w:t>
      </w:r>
      <w:r w:rsidRPr="00C6182A">
        <w:rPr>
          <w:rFonts w:asciiTheme="minorHAnsi" w:hAnsiTheme="minorHAnsi"/>
          <w:b w:val="0"/>
          <w:i w:val="0"/>
          <w:color w:val="0000FF"/>
        </w:rPr>
        <w:t xml:space="preserve"> Age, ultrafiltration volumes, </w:t>
      </w:r>
      <w:proofErr w:type="spellStart"/>
      <w:r w:rsidRPr="00C6182A">
        <w:rPr>
          <w:rFonts w:asciiTheme="minorHAnsi" w:hAnsiTheme="minorHAnsi"/>
          <w:b w:val="0"/>
          <w:i w:val="0"/>
          <w:color w:val="0000FF"/>
        </w:rPr>
        <w:t>intradialytic</w:t>
      </w:r>
      <w:proofErr w:type="spellEnd"/>
      <w:r w:rsidRPr="00C6182A">
        <w:rPr>
          <w:rFonts w:asciiTheme="minorHAnsi" w:hAnsiTheme="minorHAnsi"/>
          <w:b w:val="0"/>
          <w:i w:val="0"/>
          <w:color w:val="0000FF"/>
        </w:rPr>
        <w:t xml:space="preserve"> hypotension, and cardiac troponin-T (</w:t>
      </w:r>
      <w:proofErr w:type="spellStart"/>
      <w:r w:rsidRPr="00C6182A">
        <w:rPr>
          <w:rFonts w:asciiTheme="minorHAnsi" w:hAnsiTheme="minorHAnsi"/>
          <w:b w:val="0"/>
          <w:i w:val="0"/>
          <w:color w:val="0000FF"/>
        </w:rPr>
        <w:t>cTnT</w:t>
      </w:r>
      <w:proofErr w:type="spellEnd"/>
      <w:r w:rsidRPr="00C6182A">
        <w:rPr>
          <w:rFonts w:asciiTheme="minorHAnsi" w:hAnsiTheme="minorHAnsi"/>
          <w:b w:val="0"/>
          <w:i w:val="0"/>
          <w:color w:val="0000FF"/>
        </w:rPr>
        <w:t xml:space="preserve">) levels were independent determinants associated with its presence. </w:t>
      </w:r>
      <w:r>
        <w:rPr>
          <w:rFonts w:asciiTheme="minorHAnsi" w:hAnsiTheme="minorHAnsi"/>
          <w:b w:val="0"/>
          <w:i w:val="0"/>
          <w:color w:val="0000FF"/>
        </w:rPr>
        <w:t xml:space="preserve"> </w:t>
      </w:r>
      <w:r w:rsidRPr="00C6182A">
        <w:rPr>
          <w:rFonts w:asciiTheme="minorHAnsi" w:hAnsiTheme="minorHAnsi"/>
          <w:b w:val="0"/>
          <w:i w:val="0"/>
          <w:color w:val="0000FF"/>
        </w:rPr>
        <w:t xml:space="preserve">Myocardial stunning was associated with increased relative mortality </w:t>
      </w:r>
      <w:proofErr w:type="gramStart"/>
      <w:r w:rsidRPr="00C6182A">
        <w:rPr>
          <w:rFonts w:asciiTheme="minorHAnsi" w:hAnsiTheme="minorHAnsi"/>
          <w:b w:val="0"/>
          <w:i w:val="0"/>
          <w:color w:val="0000FF"/>
        </w:rPr>
        <w:t xml:space="preserve">at 12 </w:t>
      </w:r>
      <w:proofErr w:type="spellStart"/>
      <w:r w:rsidRPr="00C6182A">
        <w:rPr>
          <w:rFonts w:asciiTheme="minorHAnsi" w:hAnsiTheme="minorHAnsi"/>
          <w:b w:val="0"/>
          <w:i w:val="0"/>
          <w:color w:val="0000FF"/>
        </w:rPr>
        <w:t>mo</w:t>
      </w:r>
      <w:proofErr w:type="spellEnd"/>
      <w:proofErr w:type="gramEnd"/>
      <w:r w:rsidRPr="00C6182A">
        <w:rPr>
          <w:rFonts w:asciiTheme="minorHAnsi" w:hAnsiTheme="minorHAnsi"/>
          <w:b w:val="0"/>
          <w:i w:val="0"/>
          <w:color w:val="0000FF"/>
        </w:rPr>
        <w:t xml:space="preserve"> (P = 0.019). </w:t>
      </w:r>
      <w:r>
        <w:rPr>
          <w:rFonts w:asciiTheme="minorHAnsi" w:hAnsiTheme="minorHAnsi"/>
          <w:b w:val="0"/>
          <w:i w:val="0"/>
          <w:color w:val="0000FF"/>
        </w:rPr>
        <w:t xml:space="preserve"> </w:t>
      </w:r>
      <w:r w:rsidRPr="00C6182A">
        <w:rPr>
          <w:rFonts w:asciiTheme="minorHAnsi" w:hAnsiTheme="minorHAnsi"/>
          <w:b w:val="0"/>
          <w:i w:val="0"/>
          <w:color w:val="0000FF"/>
        </w:rPr>
        <w:t xml:space="preserve">Cox regression analysis showed increased hazard of death in patients with myocardial stunning and elevated </w:t>
      </w:r>
      <w:proofErr w:type="spellStart"/>
      <w:r w:rsidRPr="00C6182A">
        <w:rPr>
          <w:rFonts w:asciiTheme="minorHAnsi" w:hAnsiTheme="minorHAnsi"/>
          <w:b w:val="0"/>
          <w:i w:val="0"/>
          <w:color w:val="0000FF"/>
        </w:rPr>
        <w:t>cTnT</w:t>
      </w:r>
      <w:proofErr w:type="spellEnd"/>
      <w:r w:rsidRPr="00C6182A">
        <w:rPr>
          <w:rFonts w:asciiTheme="minorHAnsi" w:hAnsiTheme="minorHAnsi"/>
          <w:b w:val="0"/>
          <w:i w:val="0"/>
          <w:color w:val="0000FF"/>
        </w:rPr>
        <w:t xml:space="preserve"> than in patients with elevated </w:t>
      </w:r>
      <w:proofErr w:type="spellStart"/>
      <w:r w:rsidRPr="00C6182A">
        <w:rPr>
          <w:rFonts w:asciiTheme="minorHAnsi" w:hAnsiTheme="minorHAnsi"/>
          <w:b w:val="0"/>
          <w:i w:val="0"/>
          <w:color w:val="0000FF"/>
        </w:rPr>
        <w:t>cTnT</w:t>
      </w:r>
      <w:proofErr w:type="spellEnd"/>
      <w:r w:rsidRPr="00C6182A">
        <w:rPr>
          <w:rFonts w:asciiTheme="minorHAnsi" w:hAnsiTheme="minorHAnsi"/>
          <w:b w:val="0"/>
          <w:i w:val="0"/>
          <w:color w:val="0000FF"/>
        </w:rPr>
        <w:t xml:space="preserve"> alone (P &lt; 0.02).</w:t>
      </w:r>
      <w:r>
        <w:rPr>
          <w:rFonts w:asciiTheme="minorHAnsi" w:hAnsiTheme="minorHAnsi"/>
          <w:b w:val="0"/>
          <w:i w:val="0"/>
          <w:color w:val="0000FF"/>
        </w:rPr>
        <w:t xml:space="preserve"> </w:t>
      </w:r>
      <w:r w:rsidRPr="00C6182A">
        <w:rPr>
          <w:rFonts w:asciiTheme="minorHAnsi" w:hAnsiTheme="minorHAnsi"/>
          <w:b w:val="0"/>
          <w:i w:val="0"/>
          <w:color w:val="0000FF"/>
        </w:rPr>
        <w:t xml:space="preserve"> Patients with myocardial stunning who survived 12 </w:t>
      </w:r>
      <w:proofErr w:type="spellStart"/>
      <w:proofErr w:type="gramStart"/>
      <w:r w:rsidRPr="00C6182A">
        <w:rPr>
          <w:rFonts w:asciiTheme="minorHAnsi" w:hAnsiTheme="minorHAnsi"/>
          <w:b w:val="0"/>
          <w:i w:val="0"/>
          <w:color w:val="0000FF"/>
        </w:rPr>
        <w:t>mo</w:t>
      </w:r>
      <w:proofErr w:type="spellEnd"/>
      <w:proofErr w:type="gramEnd"/>
      <w:r w:rsidRPr="00C6182A">
        <w:rPr>
          <w:rFonts w:asciiTheme="minorHAnsi" w:hAnsiTheme="minorHAnsi"/>
          <w:b w:val="0"/>
          <w:i w:val="0"/>
          <w:color w:val="0000FF"/>
        </w:rPr>
        <w:t xml:space="preserve"> had significantly lower LV ejection fractions at rest and on HD (P &lt; 0.001).</w:t>
      </w:r>
    </w:p>
    <w:p w14:paraId="6FCA5005" w14:textId="77777777" w:rsidR="00D144A6" w:rsidRPr="00C6182A" w:rsidRDefault="00D144A6" w:rsidP="00D144A6">
      <w:pPr>
        <w:pStyle w:val="Heading4"/>
        <w:spacing w:before="0" w:line="240" w:lineRule="auto"/>
        <w:ind w:left="360"/>
        <w:rPr>
          <w:rFonts w:asciiTheme="minorHAnsi" w:eastAsia="Times New Roman" w:hAnsiTheme="minorHAnsi" w:cs="Times New Roman"/>
          <w:i w:val="0"/>
          <w:color w:val="0000FF"/>
        </w:rPr>
      </w:pPr>
      <w:r w:rsidRPr="00C6182A">
        <w:rPr>
          <w:rFonts w:asciiTheme="minorHAnsi" w:eastAsia="Times New Roman" w:hAnsiTheme="minorHAnsi" w:cs="Times New Roman"/>
          <w:i w:val="0"/>
          <w:color w:val="0000FF"/>
        </w:rPr>
        <w:t xml:space="preserve">CONCLUSIONS: </w:t>
      </w:r>
      <w:r>
        <w:rPr>
          <w:rFonts w:asciiTheme="minorHAnsi" w:eastAsia="Times New Roman" w:hAnsiTheme="minorHAnsi" w:cs="Times New Roman"/>
          <w:i w:val="0"/>
          <w:color w:val="0000FF"/>
        </w:rPr>
        <w:t xml:space="preserve"> </w:t>
      </w:r>
      <w:r w:rsidRPr="00C6182A">
        <w:rPr>
          <w:rFonts w:asciiTheme="minorHAnsi" w:hAnsiTheme="minorHAnsi"/>
          <w:b w:val="0"/>
          <w:i w:val="0"/>
          <w:color w:val="0000FF"/>
        </w:rPr>
        <w:t>HD-induced myocardial stunning is common, and may contribute to the development of heart failure and increased mortality in HD patients.</w:t>
      </w:r>
      <w:r>
        <w:rPr>
          <w:rFonts w:asciiTheme="minorHAnsi" w:hAnsiTheme="minorHAnsi"/>
          <w:b w:val="0"/>
          <w:i w:val="0"/>
          <w:color w:val="0000FF"/>
        </w:rPr>
        <w:t xml:space="preserve"> </w:t>
      </w:r>
      <w:r w:rsidRPr="00C6182A">
        <w:rPr>
          <w:rFonts w:asciiTheme="minorHAnsi" w:hAnsiTheme="minorHAnsi"/>
          <w:b w:val="0"/>
          <w:i w:val="0"/>
          <w:color w:val="0000FF"/>
        </w:rPr>
        <w:t xml:space="preserve"> Enhanced understanding of dialysis-induced cardiac injury may provide novel therapeutic targets to reduce currently excessive rates of cardiovascular morbidity and mortality.</w:t>
      </w:r>
    </w:p>
    <w:p w14:paraId="603C40C8" w14:textId="77777777" w:rsidR="00D144A6" w:rsidRPr="001B772D" w:rsidRDefault="00D144A6" w:rsidP="002E2177">
      <w:pPr>
        <w:ind w:left="0" w:firstLine="0"/>
      </w:pPr>
    </w:p>
    <w:sectPr w:rsidR="00D144A6" w:rsidRPr="001B772D" w:rsidSect="00D31857">
      <w:headerReference w:type="default" r:id="rId16"/>
      <w:footerReference w:type="default" r:id="rId17"/>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EE185" w14:textId="77777777" w:rsidR="00AF3ECE" w:rsidRDefault="00AF3ECE" w:rsidP="007E37A5">
      <w:r>
        <w:separator/>
      </w:r>
    </w:p>
  </w:endnote>
  <w:endnote w:type="continuationSeparator" w:id="0">
    <w:p w14:paraId="20043B42" w14:textId="77777777" w:rsidR="00AF3ECE" w:rsidRDefault="00AF3EC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Futura">
    <w:panose1 w:val="020B0602020204020303"/>
    <w:charset w:val="00"/>
    <w:family w:val="auto"/>
    <w:pitch w:val="variable"/>
    <w:sig w:usb0="80000067" w:usb1="00000000" w:usb2="00000000" w:usb3="00000000" w:csb0="000001FB"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48E6" w14:textId="77777777" w:rsidR="00AF3ECE" w:rsidRDefault="00AF3ECE">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6B344D">
      <w:rPr>
        <w:noProof/>
      </w:rPr>
      <w:t>1</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EC320" w14:textId="77777777" w:rsidR="00AF3ECE" w:rsidRDefault="00AF3ECE" w:rsidP="007E37A5">
      <w:r>
        <w:separator/>
      </w:r>
    </w:p>
  </w:footnote>
  <w:footnote w:type="continuationSeparator" w:id="0">
    <w:p w14:paraId="53D3ACE6" w14:textId="77777777" w:rsidR="00AF3ECE" w:rsidRDefault="00AF3ECE"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F9AE3" w14:textId="77777777" w:rsidR="00AF3ECE" w:rsidRDefault="00AF3ECE"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CF0081F"/>
    <w:multiLevelType w:val="hybridMultilevel"/>
    <w:tmpl w:val="8F2281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35B48"/>
    <w:rsid w:val="00440687"/>
    <w:rsid w:val="0044131D"/>
    <w:rsid w:val="00441ADA"/>
    <w:rsid w:val="00457E46"/>
    <w:rsid w:val="00496AF8"/>
    <w:rsid w:val="004A575D"/>
    <w:rsid w:val="004B65C6"/>
    <w:rsid w:val="004D1DC7"/>
    <w:rsid w:val="004E001D"/>
    <w:rsid w:val="004F7D7E"/>
    <w:rsid w:val="00500B0C"/>
    <w:rsid w:val="00537150"/>
    <w:rsid w:val="00540984"/>
    <w:rsid w:val="00543851"/>
    <w:rsid w:val="0055559D"/>
    <w:rsid w:val="005569AE"/>
    <w:rsid w:val="005857F8"/>
    <w:rsid w:val="00595F6C"/>
    <w:rsid w:val="005B0D18"/>
    <w:rsid w:val="005B12C3"/>
    <w:rsid w:val="005B409D"/>
    <w:rsid w:val="005D0FDB"/>
    <w:rsid w:val="005D25E9"/>
    <w:rsid w:val="005D6D59"/>
    <w:rsid w:val="00617390"/>
    <w:rsid w:val="00623420"/>
    <w:rsid w:val="00634768"/>
    <w:rsid w:val="0063596F"/>
    <w:rsid w:val="006709EB"/>
    <w:rsid w:val="00672824"/>
    <w:rsid w:val="0068184A"/>
    <w:rsid w:val="006B344D"/>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2A55"/>
    <w:rsid w:val="00935265"/>
    <w:rsid w:val="0094689F"/>
    <w:rsid w:val="009477D6"/>
    <w:rsid w:val="00953ED3"/>
    <w:rsid w:val="00965FF6"/>
    <w:rsid w:val="009846D6"/>
    <w:rsid w:val="0098657F"/>
    <w:rsid w:val="009A3236"/>
    <w:rsid w:val="009B5A93"/>
    <w:rsid w:val="009B5BEA"/>
    <w:rsid w:val="009C291F"/>
    <w:rsid w:val="009C347A"/>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F3ECE"/>
    <w:rsid w:val="00B058A6"/>
    <w:rsid w:val="00B117D0"/>
    <w:rsid w:val="00B13998"/>
    <w:rsid w:val="00B439DD"/>
    <w:rsid w:val="00B52E0F"/>
    <w:rsid w:val="00B74629"/>
    <w:rsid w:val="00B91F58"/>
    <w:rsid w:val="00BA579E"/>
    <w:rsid w:val="00BC05B1"/>
    <w:rsid w:val="00BD4AD8"/>
    <w:rsid w:val="00BE2295"/>
    <w:rsid w:val="00BE6373"/>
    <w:rsid w:val="00BF533A"/>
    <w:rsid w:val="00C04129"/>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4A6"/>
    <w:rsid w:val="00D14F0B"/>
    <w:rsid w:val="00D178CA"/>
    <w:rsid w:val="00D31857"/>
    <w:rsid w:val="00D3311C"/>
    <w:rsid w:val="00D53405"/>
    <w:rsid w:val="00D5457B"/>
    <w:rsid w:val="00D72995"/>
    <w:rsid w:val="00DA7FA2"/>
    <w:rsid w:val="00DC2D8D"/>
    <w:rsid w:val="00DE02A1"/>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66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D144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D144A6"/>
    <w:pPr>
      <w:keepNext/>
      <w:keepLines/>
      <w:widowControl w:val="0"/>
      <w:spacing w:before="200" w:line="276" w:lineRule="auto"/>
      <w:ind w:left="0" w:firstLine="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95F6C"/>
    <w:rPr>
      <w:b/>
      <w:bCs/>
    </w:rPr>
  </w:style>
  <w:style w:type="character" w:styleId="Emphasis">
    <w:name w:val="Emphasis"/>
    <w:basedOn w:val="DefaultParagraphFont"/>
    <w:uiPriority w:val="20"/>
    <w:qFormat/>
    <w:rsid w:val="00595F6C"/>
    <w:rPr>
      <w:i/>
      <w:iCs/>
    </w:rPr>
  </w:style>
  <w:style w:type="character" w:customStyle="1" w:styleId="s1">
    <w:name w:val="s1"/>
    <w:basedOn w:val="DefaultParagraphFont"/>
    <w:rsid w:val="00D144A6"/>
  </w:style>
  <w:style w:type="character" w:customStyle="1" w:styleId="Heading1Char">
    <w:name w:val="Heading 1 Char"/>
    <w:basedOn w:val="DefaultParagraphFont"/>
    <w:link w:val="Heading1"/>
    <w:uiPriority w:val="9"/>
    <w:rsid w:val="00D144A6"/>
    <w:rPr>
      <w:rFonts w:asciiTheme="majorHAnsi" w:eastAsiaTheme="majorEastAsia" w:hAnsiTheme="majorHAnsi" w:cstheme="majorBidi"/>
      <w:b/>
      <w:bCs/>
      <w:color w:val="345A8A" w:themeColor="accent1" w:themeShade="B5"/>
      <w:sz w:val="32"/>
      <w:szCs w:val="32"/>
    </w:rPr>
  </w:style>
  <w:style w:type="character" w:customStyle="1" w:styleId="Heading4Char">
    <w:name w:val="Heading 4 Char"/>
    <w:basedOn w:val="DefaultParagraphFont"/>
    <w:link w:val="Heading4"/>
    <w:uiPriority w:val="9"/>
    <w:rsid w:val="00D144A6"/>
    <w:rPr>
      <w:rFonts w:asciiTheme="majorHAnsi" w:eastAsiaTheme="majorEastAsia" w:hAnsiTheme="majorHAnsi" w:cstheme="majorBidi"/>
      <w:b/>
      <w:bCs/>
      <w:i/>
      <w:iCs/>
      <w:color w:val="4F81BD" w:themeColor="accent1"/>
    </w:rPr>
  </w:style>
  <w:style w:type="character" w:customStyle="1" w:styleId="highlight">
    <w:name w:val="highlight"/>
    <w:basedOn w:val="DefaultParagraphFont"/>
    <w:rsid w:val="00D144A6"/>
  </w:style>
  <w:style w:type="paragraph" w:styleId="NormalWeb">
    <w:name w:val="Normal (Web)"/>
    <w:basedOn w:val="Normal"/>
    <w:uiPriority w:val="99"/>
    <w:unhideWhenUsed/>
    <w:rsid w:val="00D144A6"/>
    <w:pPr>
      <w:spacing w:before="100" w:beforeAutospacing="1" w:after="100" w:afterAutospacing="1"/>
      <w:ind w:left="0" w:firstLine="0"/>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D144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D144A6"/>
    <w:pPr>
      <w:keepNext/>
      <w:keepLines/>
      <w:widowControl w:val="0"/>
      <w:spacing w:before="200" w:line="276" w:lineRule="auto"/>
      <w:ind w:left="0" w:firstLine="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95F6C"/>
    <w:rPr>
      <w:b/>
      <w:bCs/>
    </w:rPr>
  </w:style>
  <w:style w:type="character" w:styleId="Emphasis">
    <w:name w:val="Emphasis"/>
    <w:basedOn w:val="DefaultParagraphFont"/>
    <w:uiPriority w:val="20"/>
    <w:qFormat/>
    <w:rsid w:val="00595F6C"/>
    <w:rPr>
      <w:i/>
      <w:iCs/>
    </w:rPr>
  </w:style>
  <w:style w:type="character" w:customStyle="1" w:styleId="s1">
    <w:name w:val="s1"/>
    <w:basedOn w:val="DefaultParagraphFont"/>
    <w:rsid w:val="00D144A6"/>
  </w:style>
  <w:style w:type="character" w:customStyle="1" w:styleId="Heading1Char">
    <w:name w:val="Heading 1 Char"/>
    <w:basedOn w:val="DefaultParagraphFont"/>
    <w:link w:val="Heading1"/>
    <w:uiPriority w:val="9"/>
    <w:rsid w:val="00D144A6"/>
    <w:rPr>
      <w:rFonts w:asciiTheme="majorHAnsi" w:eastAsiaTheme="majorEastAsia" w:hAnsiTheme="majorHAnsi" w:cstheme="majorBidi"/>
      <w:b/>
      <w:bCs/>
      <w:color w:val="345A8A" w:themeColor="accent1" w:themeShade="B5"/>
      <w:sz w:val="32"/>
      <w:szCs w:val="32"/>
    </w:rPr>
  </w:style>
  <w:style w:type="character" w:customStyle="1" w:styleId="Heading4Char">
    <w:name w:val="Heading 4 Char"/>
    <w:basedOn w:val="DefaultParagraphFont"/>
    <w:link w:val="Heading4"/>
    <w:uiPriority w:val="9"/>
    <w:rsid w:val="00D144A6"/>
    <w:rPr>
      <w:rFonts w:asciiTheme="majorHAnsi" w:eastAsiaTheme="majorEastAsia" w:hAnsiTheme="majorHAnsi" w:cstheme="majorBidi"/>
      <w:b/>
      <w:bCs/>
      <w:i/>
      <w:iCs/>
      <w:color w:val="4F81BD" w:themeColor="accent1"/>
    </w:rPr>
  </w:style>
  <w:style w:type="character" w:customStyle="1" w:styleId="highlight">
    <w:name w:val="highlight"/>
    <w:basedOn w:val="DefaultParagraphFont"/>
    <w:rsid w:val="00D144A6"/>
  </w:style>
  <w:style w:type="paragraph" w:styleId="NormalWeb">
    <w:name w:val="Normal (Web)"/>
    <w:basedOn w:val="Normal"/>
    <w:uiPriority w:val="99"/>
    <w:unhideWhenUsed/>
    <w:rsid w:val="00D144A6"/>
    <w:pPr>
      <w:spacing w:before="100" w:beforeAutospacing="1" w:after="100" w:afterAutospacing="1"/>
      <w:ind w:left="0" w:firstLine="0"/>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Submitting_Standards.aspx" TargetMode="External"/><Relationship Id="rId20"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image" Target="media/image1.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Futura">
    <w:panose1 w:val="020B0602020204020303"/>
    <w:charset w:val="00"/>
    <w:family w:val="auto"/>
    <w:pitch w:val="variable"/>
    <w:sig w:usb0="80000067" w:usb1="00000000" w:usb2="00000000" w:usb3="00000000" w:csb0="000001FB" w:csb1="00000000"/>
  </w:font>
  <w:font w:name="Helvetica">
    <w:panose1 w:val="00000000000000000000"/>
    <w:charset w:val="00"/>
    <w:family w:val="auto"/>
    <w:pitch w:val="variable"/>
    <w:sig w:usb0="E00002FF" w:usb1="5000785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E099A"/>
    <w:rsid w:val="00160241"/>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AEB28-2603-4941-B11E-4552B190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6200</Words>
  <Characters>35344</Characters>
  <Application>Microsoft Macintosh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Lisa McGonigal</cp:lastModifiedBy>
  <cp:revision>2</cp:revision>
  <dcterms:created xsi:type="dcterms:W3CDTF">2015-03-05T23:38:00Z</dcterms:created>
  <dcterms:modified xsi:type="dcterms:W3CDTF">2015-03-05T23:38:00Z</dcterms:modified>
</cp:coreProperties>
</file>