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71E44D8B"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563C95">
            <w:rPr>
              <w:rStyle w:val="Style1"/>
            </w:rPr>
            <w:t>0249</w:t>
          </w:r>
        </w:sdtContent>
      </w:sdt>
    </w:p>
    <w:p w14:paraId="55B8DA2F" w14:textId="2D0796CC"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rStyle w:val="Style1"/>
              </w:rPr>
              <w:id w:val="-1923252161"/>
              <w:placeholder>
                <w:docPart w:val="5D9EAC6077814B12A49E3A00F6B5B00E"/>
              </w:placeholder>
            </w:sdtPr>
            <w:sdtEndPr>
              <w:rPr>
                <w:rStyle w:val="DefaultParagraphFont"/>
                <w:noProof/>
                <w:color w:val="auto"/>
              </w:rPr>
            </w:sdtEndPr>
            <w:sdtContent>
              <w:r w:rsidR="00563C95" w:rsidRPr="00563C95">
                <w:rPr>
                  <w:color w:val="0000FF"/>
                </w:rPr>
                <w:t xml:space="preserve">Delivered Dose of Hemodialysis </w:t>
              </w:r>
              <w:proofErr w:type="gramStart"/>
              <w:r w:rsidR="00563C95" w:rsidRPr="00563C95">
                <w:rPr>
                  <w:color w:val="0000FF"/>
                </w:rPr>
                <w:t>Above</w:t>
              </w:r>
              <w:proofErr w:type="gramEnd"/>
              <w:r w:rsidR="00563C95" w:rsidRPr="00563C95">
                <w:rPr>
                  <w:color w:val="0000FF"/>
                </w:rPr>
                <w:t xml:space="preserve"> Minimum </w:t>
              </w:r>
            </w:sdtContent>
          </w:sdt>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1AC97881"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9-04-02T00:00:00Z">
            <w:dateFormat w:val="M/d/yyyy"/>
            <w:lid w:val="en-US"/>
            <w:storeMappedDataAs w:val="dateTime"/>
            <w:calendar w:val="gregorian"/>
          </w:date>
        </w:sdtPr>
        <w:sdtEndPr>
          <w:rPr>
            <w:rStyle w:val="DefaultParagraphFont"/>
            <w:noProof/>
            <w:color w:val="auto"/>
            <w:u w:val="none"/>
          </w:rPr>
        </w:sdtEndPr>
        <w:sdtContent>
          <w:r w:rsidR="002C3DB5">
            <w:rPr>
              <w:rStyle w:val="Style2"/>
            </w:rPr>
            <w:t>4/2</w:t>
          </w:r>
          <w:r w:rsidR="00563C95">
            <w:rPr>
              <w:rStyle w:val="Style2"/>
            </w:rPr>
            <w:t>/2019</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bookmarkStart w:id="0" w:name="_GoBack"/>
            <w:bookmarkEnd w:id="0"/>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1" w:name="Note2"/>
            <w:bookmarkEnd w:id="1"/>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proofErr w:type="gramStart"/>
            <w:r w:rsidRPr="003B1CC5">
              <w:rPr>
                <w:rFonts w:eastAsia="Calibri" w:cs="Calibri"/>
                <w:sz w:val="20"/>
                <w:szCs w:val="20"/>
              </w:rPr>
              <w:lastRenderedPageBreak/>
              <w:t>step</w:t>
            </w:r>
            <w:proofErr w:type="gramEnd"/>
            <w:r w:rsidRPr="003B1CC5">
              <w:rPr>
                <w:rFonts w:eastAsia="Calibri" w:cs="Calibri"/>
                <w:sz w:val="20"/>
                <w:szCs w:val="20"/>
              </w:rPr>
              <w:t xml:space="preserve">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2C3DB5"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2C3DB5"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39F3795" w:rsidR="00496AF8" w:rsidRPr="003B1CC5" w:rsidRDefault="002C3DB5" w:rsidP="004E7215">
      <w:pPr>
        <w:rPr>
          <w:bCs/>
        </w:rPr>
      </w:pPr>
      <w:sdt>
        <w:sdtPr>
          <w:rPr>
            <w:bCs/>
            <w:color w:val="0000FF"/>
          </w:rPr>
          <w:id w:val="-720977531"/>
          <w14:checkbox>
            <w14:checked w14:val="1"/>
            <w14:checkedState w14:val="2612" w14:font="MS Gothic"/>
            <w14:uncheckedState w14:val="2610" w14:font="MS Gothic"/>
          </w14:checkbox>
        </w:sdtPr>
        <w:sdtEndPr/>
        <w:sdtContent>
          <w:r w:rsidR="00563C95">
            <w:rPr>
              <w:rFonts w:ascii="MS Gothic" w:eastAsia="MS Gothic" w:hAnsi="MS Gothic" w:hint="eastAsia"/>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dtPr>
        <w:sdtEndPr>
          <w:rPr>
            <w:rStyle w:val="DefaultParagraphFont"/>
            <w:rFonts w:cstheme="minorBidi"/>
            <w:bCs/>
            <w:color w:val="auto"/>
            <w:u w:val="none"/>
          </w:rPr>
        </w:sdtEndPr>
        <w:sdtContent>
          <w:proofErr w:type="spellStart"/>
          <w:r w:rsidR="00563C95">
            <w:rPr>
              <w:rStyle w:val="Style2"/>
              <w:rFonts w:cstheme="minorHAnsi"/>
            </w:rPr>
            <w:t>Kt</w:t>
          </w:r>
          <w:proofErr w:type="spellEnd"/>
          <w:r w:rsidR="00563C95">
            <w:rPr>
              <w:rStyle w:val="Style2"/>
              <w:rFonts w:cstheme="minorHAnsi"/>
            </w:rPr>
            <w:t>/V</w:t>
          </w:r>
        </w:sdtContent>
      </w:sdt>
    </w:p>
    <w:p w14:paraId="55B8DA55" w14:textId="77777777" w:rsidR="00D73685" w:rsidRDefault="002C3DB5"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2C3DB5"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2C3DB5"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3A47D816" w:rsidR="002B06BD"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71398434" w14:textId="0B061704" w:rsidR="00563C95" w:rsidRDefault="00563C95" w:rsidP="002B06BD">
      <w:pPr>
        <w:ind w:left="432" w:hanging="432"/>
        <w:rPr>
          <w:iCs/>
        </w:rPr>
      </w:pPr>
    </w:p>
    <w:p w14:paraId="67D60B34" w14:textId="77777777" w:rsidR="00563C95" w:rsidRPr="00563C95" w:rsidRDefault="00563C95" w:rsidP="00563C95">
      <w:pPr>
        <w:ind w:left="0" w:firstLine="0"/>
        <w:rPr>
          <w:color w:val="0000FF"/>
        </w:rPr>
      </w:pPr>
      <w:r w:rsidRPr="00563C95">
        <w:rPr>
          <w:color w:val="0000FF"/>
        </w:rPr>
        <w:t xml:space="preserve">The measure focus is measurement of </w:t>
      </w:r>
      <w:proofErr w:type="spellStart"/>
      <w:r w:rsidRPr="00563C95">
        <w:rPr>
          <w:color w:val="0000FF"/>
        </w:rPr>
        <w:t>spKt</w:t>
      </w:r>
      <w:proofErr w:type="spellEnd"/>
      <w:r w:rsidRPr="00563C95">
        <w:rPr>
          <w:color w:val="0000FF"/>
        </w:rPr>
        <w:t xml:space="preserve">/V &gt;= 1.2. This process leads to improvement in mortality as follows: Measure </w:t>
      </w:r>
      <w:proofErr w:type="spellStart"/>
      <w:r w:rsidRPr="00563C95">
        <w:rPr>
          <w:color w:val="0000FF"/>
        </w:rPr>
        <w:t>spKt</w:t>
      </w:r>
      <w:proofErr w:type="spellEnd"/>
      <w:r w:rsidRPr="00563C95">
        <w:rPr>
          <w:color w:val="0000FF"/>
        </w:rPr>
        <w:t>/V--&gt; Assess value--&gt;Impact on mortality.</w:t>
      </w:r>
    </w:p>
    <w:p w14:paraId="03ADA927" w14:textId="77777777" w:rsidR="00563C95" w:rsidRPr="00676BD4" w:rsidRDefault="00563C95" w:rsidP="002B06BD">
      <w:pPr>
        <w:ind w:left="432" w:hanging="432"/>
        <w:rPr>
          <w:iCs/>
        </w:rPr>
      </w:pPr>
    </w:p>
    <w:p w14:paraId="33C7741B" w14:textId="4993289B" w:rsidR="004922E4" w:rsidRPr="004922E4" w:rsidRDefault="004922E4" w:rsidP="004922E4">
      <w:pPr>
        <w:ind w:right="140"/>
        <w:rPr>
          <w:b/>
          <w:iCs/>
        </w:rPr>
      </w:pPr>
      <w:r>
        <w:rPr>
          <w:b/>
          <w:bCs/>
          <w:color w:val="0000FF"/>
        </w:rPr>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55B8DA5D" w14:textId="21C95AC4" w:rsidR="00676BD4" w:rsidRPr="00563C95" w:rsidRDefault="00563C95" w:rsidP="002E2177">
      <w:pPr>
        <w:ind w:left="432" w:hanging="432"/>
        <w:rPr>
          <w:color w:val="0000FF"/>
        </w:rPr>
      </w:pPr>
      <w:r w:rsidRPr="00563C95">
        <w:rPr>
          <w:color w:val="0000FF"/>
        </w:rPr>
        <w:t>N/A</w:t>
      </w:r>
    </w:p>
    <w:p w14:paraId="55B8DA5E" w14:textId="77777777" w:rsidR="00F90F82" w:rsidRDefault="00F90F82" w:rsidP="002E2177">
      <w:pPr>
        <w:ind w:left="432" w:hanging="432"/>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C41794" w:rsidRDefault="00B058A6" w:rsidP="00C41794">
      <w:pPr>
        <w:ind w:left="432" w:hanging="432"/>
        <w:rPr>
          <w:b/>
        </w:rPr>
      </w:pPr>
      <w:r w:rsidRPr="003B1CC5">
        <w:rPr>
          <w:b/>
          <w:color w:val="0000FF"/>
        </w:rPr>
        <w:t>1</w:t>
      </w:r>
      <w:r w:rsidR="00773485" w:rsidRPr="003B1CC5">
        <w:rPr>
          <w:b/>
          <w:color w:val="0000FF"/>
        </w:rPr>
        <w:t>a</w:t>
      </w:r>
      <w:r w:rsidRPr="003B1CC5">
        <w:rPr>
          <w:b/>
          <w:color w:val="0000FF"/>
        </w:rPr>
        <w:t>.2</w:t>
      </w:r>
      <w:r w:rsidR="00E41417" w:rsidRPr="003B1CC5">
        <w:rPr>
          <w:iCs/>
        </w:rPr>
        <w:t xml:space="preserve"> </w:t>
      </w:r>
      <w:r w:rsidR="00C41794" w:rsidRPr="00676BD4">
        <w:rPr>
          <w:b/>
        </w:rPr>
        <w:t>FOR OUTCOME MEASURES including PATIENT REPORTED OUTCOMES</w:t>
      </w:r>
      <w:r w:rsidR="003D6721">
        <w:rPr>
          <w:b/>
        </w:rPr>
        <w:t xml:space="preserve"> </w:t>
      </w:r>
      <w:r w:rsidR="00C41794">
        <w:rPr>
          <w:b/>
        </w:rPr>
        <w:t>-</w:t>
      </w:r>
      <w:r w:rsidR="00C41794" w:rsidRPr="003B1CC5">
        <w:rPr>
          <w:b/>
          <w:iCs/>
        </w:rPr>
        <w:t xml:space="preserve"> </w:t>
      </w:r>
      <w:r w:rsidR="003D6721">
        <w:rPr>
          <w:b/>
          <w:iCs/>
        </w:rPr>
        <w:t xml:space="preserve">Provide empirical data demonstrating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3D6721">
        <w:rPr>
          <w:b/>
          <w:iCs/>
        </w:rPr>
        <w:t xml:space="preserve">healthcare structure, process, </w:t>
      </w:r>
      <w:r w:rsidR="00496AF8" w:rsidRPr="003B1CC5">
        <w:rPr>
          <w:b/>
          <w:iCs/>
        </w:rPr>
        <w:t>intervention, or service</w:t>
      </w:r>
      <w:r w:rsidR="00676BD4">
        <w:rPr>
          <w:b/>
          <w:iCs/>
        </w:rPr>
        <w:t>.</w:t>
      </w:r>
      <w:r w:rsidR="00AC1E53">
        <w:rPr>
          <w:b/>
          <w:iCs/>
        </w:rPr>
        <w:t xml:space="preserve"> </w:t>
      </w:r>
    </w:p>
    <w:p w14:paraId="2A444455" w14:textId="77777777" w:rsidR="00563C95" w:rsidRPr="00563C95" w:rsidRDefault="00563C95" w:rsidP="00563C95">
      <w:pPr>
        <w:ind w:left="432" w:hanging="432"/>
        <w:rPr>
          <w:color w:val="0000FF"/>
        </w:rPr>
      </w:pPr>
      <w:r w:rsidRPr="00563C95">
        <w:rPr>
          <w:color w:val="0000FF"/>
        </w:rPr>
        <w:t>N/A</w:t>
      </w:r>
    </w:p>
    <w:p w14:paraId="55B8DA64" w14:textId="77777777" w:rsidR="00D14F0B" w:rsidRPr="003B1CC5" w:rsidRDefault="00D14F0B" w:rsidP="002E2177">
      <w:pPr>
        <w:ind w:left="0" w:firstLine="0"/>
        <w:rPr>
          <w:iCs/>
        </w:rPr>
      </w:pPr>
    </w:p>
    <w:p w14:paraId="55B8DA66" w14:textId="725FE95F"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w:t>
      </w:r>
      <w:proofErr w:type="spellStart"/>
      <w:r>
        <w:rPr>
          <w:rFonts w:ascii="Calibri" w:eastAsia="Calibri" w:hAnsi="Calibri" w:cs="Times New Roman"/>
          <w:b/>
        </w:rPr>
        <w:t>prespecified</w:t>
      </w:r>
      <w:proofErr w:type="spellEnd"/>
      <w:r>
        <w:rPr>
          <w:rFonts w:ascii="Calibri" w:eastAsia="Calibri" w:hAnsi="Calibri" w:cs="Times New Roman"/>
          <w:b/>
        </w:rPr>
        <w:t xml:space="preserve"> scientific methods to identify, select, assess, and summarize the findings of </w:t>
      </w:r>
      <w:r>
        <w:rPr>
          <w:rFonts w:ascii="Calibri" w:eastAsia="Calibri" w:hAnsi="Calibri" w:cs="Times New Roman"/>
          <w:b/>
        </w:rPr>
        <w:lastRenderedPageBreak/>
        <w:t>similar but separate studies. It may include a quantitative synthesis (meta-analysis), depending on the available data. (IOM)</w:t>
      </w:r>
    </w:p>
    <w:p w14:paraId="55B8DA69" w14:textId="29FBA718" w:rsidR="00A9011D" w:rsidRPr="00A9011D" w:rsidRDefault="00563C95" w:rsidP="00A9011D">
      <w:pPr>
        <w:ind w:left="0" w:firstLine="0"/>
        <w:rPr>
          <w:rFonts w:ascii="Calibri" w:eastAsia="Calibri" w:hAnsi="Calibri" w:cs="Times New Roman"/>
        </w:rPr>
      </w:pPr>
      <w:r>
        <w:rPr>
          <w:rFonts w:ascii="Times New Roman" w:eastAsia="Arial Unicode MS" w:hAnsi="Times New Roman" w:cs="Mangal" w:hint="cs"/>
          <w:color w:val="0000FF"/>
          <w:kern w:val="1"/>
          <w:sz w:val="24"/>
          <w:szCs w:val="24"/>
          <w:cs/>
          <w:lang w:eastAsia="hi-IN" w:bidi="hi-IN"/>
        </w:rPr>
        <w:t>X</w:t>
      </w:r>
      <w:r w:rsidR="00EC1225">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sidR="00EC1225">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2718"/>
        <w:gridCol w:w="6632"/>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5E2D1A67" w14:textId="77777777" w:rsidR="00AC6749" w:rsidRPr="00AC6749" w:rsidRDefault="00AC6749" w:rsidP="00AC6749">
            <w:pPr>
              <w:ind w:left="0" w:firstLine="0"/>
              <w:rPr>
                <w:color w:val="0000FF"/>
              </w:rPr>
            </w:pPr>
            <w:r w:rsidRPr="00AC6749">
              <w:rPr>
                <w:color w:val="0000FF"/>
              </w:rPr>
              <w:t xml:space="preserve">National Kidney Foundation. KDOQI Clinical Practice Guidelines and Clinical Practice Recommendations for Hemodialysis Adequacy, Update 2006. http://www.kidney.org/professionals/KDOQI/guidelines_commentaries  </w:t>
            </w:r>
          </w:p>
          <w:p w14:paraId="303CACE2" w14:textId="77777777" w:rsidR="00AC6749" w:rsidRDefault="00AC6749" w:rsidP="00563C95">
            <w:pPr>
              <w:ind w:left="0" w:firstLine="0"/>
              <w:rPr>
                <w:color w:val="0000FF"/>
              </w:rPr>
            </w:pPr>
          </w:p>
          <w:p w14:paraId="18E7B552" w14:textId="00574D49" w:rsidR="00563C95" w:rsidRPr="00AC6749" w:rsidRDefault="00590510" w:rsidP="00563C95">
            <w:pPr>
              <w:ind w:left="0" w:firstLine="0"/>
              <w:rPr>
                <w:color w:val="FF0000"/>
              </w:rPr>
            </w:pPr>
            <w:r w:rsidRPr="00AC6749">
              <w:rPr>
                <w:color w:val="FF0000"/>
              </w:rPr>
              <w:t>National Kidney Foundation. KDOQI clinical practice guideline for hemodialysis adequacy: 2015 update. Am J Kidney Dis. 2015</w:t>
            </w:r>
            <w:proofErr w:type="gramStart"/>
            <w:r w:rsidRPr="00AC6749">
              <w:rPr>
                <w:color w:val="FF0000"/>
              </w:rPr>
              <w:t>;66</w:t>
            </w:r>
            <w:proofErr w:type="gramEnd"/>
            <w:r w:rsidRPr="00AC6749">
              <w:rPr>
                <w:color w:val="FF0000"/>
              </w:rPr>
              <w:t xml:space="preserve">(5):884-930. </w:t>
            </w:r>
            <w:r w:rsidR="00563C95" w:rsidRPr="00AC6749">
              <w:rPr>
                <w:color w:val="FF0000"/>
              </w:rPr>
              <w:t xml:space="preserve">http://www.kidney.org/professionals/KDOQI/guidelines_commentaries  </w:t>
            </w:r>
          </w:p>
          <w:p w14:paraId="55B8DA75" w14:textId="77777777" w:rsidR="00AB4ECE" w:rsidRPr="006257CC" w:rsidRDefault="00AB4ECE" w:rsidP="002E2177">
            <w:pPr>
              <w:ind w:left="0" w:firstLine="0"/>
              <w:rPr>
                <w:b/>
                <w:color w:val="0000FF"/>
              </w:rPr>
            </w:pPr>
          </w:p>
        </w:tc>
      </w:tr>
      <w:tr w:rsidR="00AB4ECE" w14:paraId="55B8DA79" w14:textId="77777777" w:rsidTr="00F90F82">
        <w:tc>
          <w:tcPr>
            <w:tcW w:w="406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621BA80C" w14:textId="739C93B3" w:rsidR="00AC6749" w:rsidRDefault="00AC6749" w:rsidP="002E2177">
            <w:pPr>
              <w:ind w:left="0" w:firstLine="0"/>
              <w:rPr>
                <w:color w:val="0000FF"/>
              </w:rPr>
            </w:pPr>
            <w:r w:rsidRPr="00AC6749">
              <w:rPr>
                <w:color w:val="0000FF"/>
              </w:rPr>
              <w:t xml:space="preserve">4.1 The minimally adequate dose of HD given 3 times per week to patients with Kr less than 2 mL/min/1.73 m2 should be </w:t>
            </w:r>
            <w:proofErr w:type="gramStart"/>
            <w:r w:rsidRPr="00AC6749">
              <w:rPr>
                <w:color w:val="0000FF"/>
              </w:rPr>
              <w:t>an</w:t>
            </w:r>
            <w:proofErr w:type="gramEnd"/>
            <w:r w:rsidRPr="00AC6749">
              <w:rPr>
                <w:color w:val="0000FF"/>
              </w:rPr>
              <w:t xml:space="preserve"> </w:t>
            </w:r>
            <w:proofErr w:type="spellStart"/>
            <w:r w:rsidRPr="00AC6749">
              <w:rPr>
                <w:color w:val="0000FF"/>
              </w:rPr>
              <w:t>spKt</w:t>
            </w:r>
            <w:proofErr w:type="spellEnd"/>
            <w:r w:rsidRPr="00AC6749">
              <w:rPr>
                <w:color w:val="0000FF"/>
              </w:rPr>
              <w:t>/V (excluding RKF) of 1.2 per dialysis session. (A)</w:t>
            </w:r>
          </w:p>
          <w:p w14:paraId="551DBF13" w14:textId="77777777" w:rsidR="00AC6749" w:rsidRDefault="00AC6749" w:rsidP="002E2177">
            <w:pPr>
              <w:ind w:left="0" w:firstLine="0"/>
              <w:rPr>
                <w:color w:val="0000FF"/>
              </w:rPr>
            </w:pPr>
          </w:p>
          <w:p w14:paraId="58457594" w14:textId="71012CBA" w:rsidR="008C11E7" w:rsidRPr="00AC6749" w:rsidRDefault="00590510" w:rsidP="002E2177">
            <w:pPr>
              <w:ind w:left="0" w:firstLine="0"/>
              <w:rPr>
                <w:color w:val="FF0000"/>
              </w:rPr>
            </w:pPr>
            <w:r w:rsidRPr="00AC6749">
              <w:rPr>
                <w:color w:val="FF0000"/>
              </w:rPr>
              <w:t xml:space="preserve">We recommend a target single pool </w:t>
            </w:r>
            <w:proofErr w:type="spellStart"/>
            <w:r w:rsidRPr="00AC6749">
              <w:rPr>
                <w:color w:val="FF0000"/>
              </w:rPr>
              <w:t>Kt</w:t>
            </w:r>
            <w:proofErr w:type="spellEnd"/>
            <w:r w:rsidRPr="00AC6749">
              <w:rPr>
                <w:color w:val="FF0000"/>
              </w:rPr>
              <w:t>/V (</w:t>
            </w:r>
            <w:proofErr w:type="spellStart"/>
            <w:r w:rsidRPr="00AC6749">
              <w:rPr>
                <w:color w:val="FF0000"/>
              </w:rPr>
              <w:t>spKt</w:t>
            </w:r>
            <w:proofErr w:type="spellEnd"/>
            <w:r w:rsidRPr="00AC6749">
              <w:rPr>
                <w:color w:val="FF0000"/>
              </w:rPr>
              <w:t xml:space="preserve">/V) of 1.4 per hemodialysis session for patients treated thrice weekly, with a minimum delivered </w:t>
            </w:r>
            <w:proofErr w:type="spellStart"/>
            <w:r w:rsidRPr="00AC6749">
              <w:rPr>
                <w:color w:val="FF0000"/>
              </w:rPr>
              <w:t>spKt</w:t>
            </w:r>
            <w:proofErr w:type="spellEnd"/>
            <w:r w:rsidRPr="00AC6749">
              <w:rPr>
                <w:color w:val="FF0000"/>
              </w:rPr>
              <w:t>/V of 1.2. (1B)</w:t>
            </w:r>
          </w:p>
          <w:p w14:paraId="4C20CD19" w14:textId="77777777" w:rsidR="008C11E7" w:rsidRPr="00AC6749" w:rsidRDefault="008C11E7" w:rsidP="002E2177">
            <w:pPr>
              <w:ind w:left="0" w:firstLine="0"/>
              <w:rPr>
                <w:color w:val="FF0000"/>
              </w:rPr>
            </w:pPr>
          </w:p>
          <w:p w14:paraId="55B8DA78" w14:textId="2A69A653" w:rsidR="008C11E7" w:rsidRPr="006257CC" w:rsidRDefault="008C11E7" w:rsidP="00D0398C">
            <w:pPr>
              <w:ind w:left="0" w:firstLine="0"/>
              <w:rPr>
                <w:color w:val="0000FF"/>
              </w:rPr>
            </w:pPr>
          </w:p>
        </w:tc>
      </w:tr>
      <w:tr w:rsidR="00AB4ECE" w14:paraId="55B8DA7C" w14:textId="77777777" w:rsidTr="00F90F82">
        <w:tc>
          <w:tcPr>
            <w:tcW w:w="4068"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4B6F7213" w14:textId="7B03143D" w:rsidR="00AC6749" w:rsidRDefault="00AC6749" w:rsidP="00563C95">
            <w:pPr>
              <w:ind w:left="0" w:firstLine="0"/>
              <w:rPr>
                <w:color w:val="0000FF"/>
              </w:rPr>
            </w:pPr>
            <w:r w:rsidRPr="00AC6749">
              <w:rPr>
                <w:color w:val="0000FF"/>
              </w:rPr>
              <w:t>Grade A: It is strongly recommended that clinicians routinely follow the guideline for eligible patients. There is strong evidence that the practice improves health outcomes.</w:t>
            </w:r>
          </w:p>
          <w:p w14:paraId="1FDCBEBB" w14:textId="77777777" w:rsidR="00AC6749" w:rsidRDefault="00AC6749" w:rsidP="00563C95">
            <w:pPr>
              <w:ind w:left="0" w:firstLine="0"/>
              <w:rPr>
                <w:color w:val="0000FF"/>
              </w:rPr>
            </w:pPr>
          </w:p>
          <w:p w14:paraId="799DA8F4" w14:textId="01BBE214" w:rsidR="00563C95" w:rsidRPr="00AC6749" w:rsidRDefault="00DF74B6" w:rsidP="00563C95">
            <w:pPr>
              <w:ind w:left="0" w:firstLine="0"/>
              <w:rPr>
                <w:color w:val="FF0000"/>
              </w:rPr>
            </w:pPr>
            <w:r w:rsidRPr="00AC6749">
              <w:rPr>
                <w:color w:val="FF0000"/>
              </w:rPr>
              <w:t>Grade B</w:t>
            </w:r>
            <w:r w:rsidR="00563C95" w:rsidRPr="00AC6749">
              <w:rPr>
                <w:color w:val="FF0000"/>
              </w:rPr>
              <w:t xml:space="preserve">: </w:t>
            </w:r>
            <w:r w:rsidRPr="00AC6749">
              <w:rPr>
                <w:color w:val="FF0000"/>
              </w:rPr>
              <w:t>Moderate quality of evidence. The true effect is likely to be close to the estimate of the effect, but there is a possibility that it is substantially different.</w:t>
            </w:r>
          </w:p>
          <w:p w14:paraId="55B8DA7B" w14:textId="77777777" w:rsidR="00AB4ECE" w:rsidRPr="006257CC" w:rsidRDefault="00AB4ECE" w:rsidP="002E2177">
            <w:pPr>
              <w:ind w:left="0" w:firstLine="0"/>
              <w:rPr>
                <w:color w:val="0000FF"/>
              </w:rPr>
            </w:pPr>
          </w:p>
        </w:tc>
      </w:tr>
      <w:tr w:rsidR="00AB4ECE" w14:paraId="55B8DA7F" w14:textId="77777777" w:rsidTr="00F90F82">
        <w:tc>
          <w:tcPr>
            <w:tcW w:w="4068" w:type="dxa"/>
          </w:tcPr>
          <w:p w14:paraId="55B8DA7D" w14:textId="77777777" w:rsidR="00AB4ECE" w:rsidRDefault="00AB4ECE" w:rsidP="00E42FAA">
            <w:pPr>
              <w:ind w:left="0" w:firstLine="0"/>
            </w:pPr>
            <w:r>
              <w:t>Provide all other grades and definitions from the evidence grading system</w:t>
            </w:r>
          </w:p>
        </w:tc>
        <w:tc>
          <w:tcPr>
            <w:tcW w:w="5130" w:type="dxa"/>
          </w:tcPr>
          <w:p w14:paraId="0AA483E5" w14:textId="77777777" w:rsidR="00AC6749" w:rsidRPr="00AC6749" w:rsidRDefault="00AC6749" w:rsidP="00AC6749">
            <w:pPr>
              <w:ind w:left="0" w:firstLine="0"/>
              <w:rPr>
                <w:color w:val="0000FF"/>
              </w:rPr>
            </w:pPr>
            <w:r w:rsidRPr="00AC6749">
              <w:rPr>
                <w:color w:val="0000FF"/>
              </w:rPr>
              <w:t>The rating system defined in the KDOQI Guidelines was used to grade the strength of the Guideline recommendation. KDOQI defined grades as follows:</w:t>
            </w:r>
          </w:p>
          <w:p w14:paraId="64649466" w14:textId="77777777" w:rsidR="00AC6749" w:rsidRPr="00AC6749" w:rsidRDefault="00AC6749" w:rsidP="00AC6749">
            <w:pPr>
              <w:ind w:left="0" w:firstLine="0"/>
              <w:rPr>
                <w:color w:val="0000FF"/>
              </w:rPr>
            </w:pPr>
            <w:r w:rsidRPr="00AC6749">
              <w:rPr>
                <w:color w:val="0000FF"/>
              </w:rPr>
              <w:t>Grade A: It is strongly recommended that clinicians routinely follow the guideline for eligible patients. There is strong evidence that the practice improves health outcomes.</w:t>
            </w:r>
          </w:p>
          <w:p w14:paraId="019DED57" w14:textId="77777777" w:rsidR="00AC6749" w:rsidRPr="00AC6749" w:rsidRDefault="00AC6749" w:rsidP="00AC6749">
            <w:pPr>
              <w:ind w:left="0" w:firstLine="0"/>
              <w:rPr>
                <w:color w:val="0000FF"/>
              </w:rPr>
            </w:pPr>
            <w:r w:rsidRPr="00AC6749">
              <w:rPr>
                <w:color w:val="0000FF"/>
              </w:rPr>
              <w:t>Grade B: It is recommended that clinicians routinely follow the guideline for eligible patients. There is moderately strong evidence that the practice improves health outcomes.</w:t>
            </w:r>
          </w:p>
          <w:p w14:paraId="0B420A27" w14:textId="22A6E5BE" w:rsidR="00AC6749" w:rsidRDefault="00AC6749" w:rsidP="00AC6749">
            <w:pPr>
              <w:ind w:left="0" w:firstLine="0"/>
              <w:rPr>
                <w:color w:val="0000FF"/>
              </w:rPr>
            </w:pPr>
            <w:r w:rsidRPr="00AC6749">
              <w:rPr>
                <w:color w:val="0000FF"/>
              </w:rPr>
              <w:lastRenderedPageBreak/>
              <w:t>Grade CPR: It is recommended that clinicians consider following the guideline for eligible patients. This recommendation is based on either weak evidence or on the opinions of the Work Group and reviewers that the practice might improve health outcomes.</w:t>
            </w:r>
          </w:p>
          <w:p w14:paraId="4CC57D78" w14:textId="77777777" w:rsidR="00AC6749" w:rsidRDefault="00AC6749" w:rsidP="00563C95">
            <w:pPr>
              <w:ind w:left="0" w:firstLine="0"/>
              <w:rPr>
                <w:color w:val="0000FF"/>
              </w:rPr>
            </w:pPr>
          </w:p>
          <w:p w14:paraId="5B93F73B" w14:textId="77777777" w:rsidR="00AC6749" w:rsidRDefault="00AC6749" w:rsidP="00563C95">
            <w:pPr>
              <w:ind w:left="0" w:firstLine="0"/>
              <w:rPr>
                <w:color w:val="0000FF"/>
              </w:rPr>
            </w:pPr>
          </w:p>
          <w:p w14:paraId="604D5377" w14:textId="77777777" w:rsidR="00AC6749" w:rsidRDefault="00AC6749" w:rsidP="00563C95">
            <w:pPr>
              <w:ind w:left="0" w:firstLine="0"/>
              <w:rPr>
                <w:color w:val="0000FF"/>
              </w:rPr>
            </w:pPr>
          </w:p>
          <w:p w14:paraId="49DC17E9" w14:textId="5C771AD5" w:rsidR="00563C95" w:rsidRPr="00AC6749" w:rsidRDefault="00563C95" w:rsidP="00563C95">
            <w:pPr>
              <w:ind w:left="0" w:firstLine="0"/>
              <w:rPr>
                <w:color w:val="FF0000"/>
              </w:rPr>
            </w:pPr>
            <w:r w:rsidRPr="00AC6749">
              <w:rPr>
                <w:color w:val="FF0000"/>
              </w:rPr>
              <w:t>The rating system defined in the KDOQI Guidelines was used to grade the strength of the Guideline recommendation. KDOQI defined grades as follows:</w:t>
            </w:r>
          </w:p>
          <w:p w14:paraId="5C897ECE" w14:textId="77777777" w:rsidR="00DF74B6" w:rsidRPr="00AC6749" w:rsidRDefault="00DF74B6" w:rsidP="00DF74B6">
            <w:pPr>
              <w:ind w:left="0" w:firstLine="0"/>
              <w:rPr>
                <w:color w:val="FF0000"/>
              </w:rPr>
            </w:pPr>
            <w:r w:rsidRPr="00AC6749">
              <w:rPr>
                <w:color w:val="FF0000"/>
              </w:rPr>
              <w:t>A: High quality of evidence. We are confident that the true effect lies close to that of the estimate of the effect.</w:t>
            </w:r>
          </w:p>
          <w:p w14:paraId="22BFEB1E" w14:textId="1F4A859E" w:rsidR="00DF74B6" w:rsidRPr="00AC6749" w:rsidRDefault="00DF74B6" w:rsidP="00DF74B6">
            <w:pPr>
              <w:ind w:left="0" w:firstLine="0"/>
              <w:rPr>
                <w:color w:val="FF0000"/>
              </w:rPr>
            </w:pPr>
            <w:r w:rsidRPr="00AC6749">
              <w:rPr>
                <w:color w:val="FF0000"/>
              </w:rPr>
              <w:t>B: Moderate quality of evidence. The true effect is likely to be close to the estimate of the effect, but there is a possibility that it is substantially different.</w:t>
            </w:r>
          </w:p>
          <w:p w14:paraId="37ABA348" w14:textId="77777777" w:rsidR="00DF74B6" w:rsidRPr="00AC6749" w:rsidRDefault="00DF74B6" w:rsidP="00DF74B6">
            <w:pPr>
              <w:ind w:left="0" w:firstLine="0"/>
              <w:rPr>
                <w:color w:val="FF0000"/>
              </w:rPr>
            </w:pPr>
            <w:r w:rsidRPr="00AC6749">
              <w:rPr>
                <w:color w:val="FF0000"/>
              </w:rPr>
              <w:t>C: Low quality of evidence. The true effect may be substantially different from the estimate of the effect.</w:t>
            </w:r>
          </w:p>
          <w:p w14:paraId="55B8DA7E" w14:textId="4EA3E2A3" w:rsidR="00AB4ECE" w:rsidRPr="006257CC" w:rsidRDefault="00DF74B6" w:rsidP="00DF74B6">
            <w:pPr>
              <w:ind w:left="0" w:firstLine="0"/>
              <w:rPr>
                <w:color w:val="0000FF"/>
              </w:rPr>
            </w:pPr>
            <w:r w:rsidRPr="00AC6749">
              <w:rPr>
                <w:color w:val="FF0000"/>
              </w:rPr>
              <w:t>D: Very low quality of evidence. The estimate of effect is very uncertain and often will be far from the truth.</w:t>
            </w:r>
          </w:p>
        </w:tc>
      </w:tr>
      <w:tr w:rsidR="00AB4ECE" w14:paraId="55B8DA82" w14:textId="77777777" w:rsidTr="00F90F82">
        <w:tc>
          <w:tcPr>
            <w:tcW w:w="4068" w:type="dxa"/>
          </w:tcPr>
          <w:p w14:paraId="55B8DA80" w14:textId="77777777" w:rsidR="00AB4ECE" w:rsidRPr="00522B63" w:rsidRDefault="00AB4ECE" w:rsidP="00E42FAA">
            <w:pPr>
              <w:ind w:left="0" w:firstLine="0"/>
            </w:pPr>
            <w:r w:rsidRPr="00522B63">
              <w:lastRenderedPageBreak/>
              <w:t xml:space="preserve">Grade assigned to the </w:t>
            </w:r>
            <w:r w:rsidRPr="00522B63">
              <w:rPr>
                <w:b/>
              </w:rPr>
              <w:t>recommendation</w:t>
            </w:r>
            <w:r w:rsidRPr="00522B63">
              <w:t xml:space="preserve"> with definition of the grade</w:t>
            </w:r>
          </w:p>
        </w:tc>
        <w:tc>
          <w:tcPr>
            <w:tcW w:w="5130" w:type="dxa"/>
          </w:tcPr>
          <w:p w14:paraId="16629458" w14:textId="77777777" w:rsidR="00DF74B6" w:rsidRPr="00AC6749" w:rsidRDefault="00A439AD" w:rsidP="002E2177">
            <w:pPr>
              <w:ind w:left="0" w:firstLine="0"/>
              <w:rPr>
                <w:color w:val="FF0000"/>
              </w:rPr>
            </w:pPr>
            <w:r w:rsidRPr="00AC6749">
              <w:rPr>
                <w:color w:val="FF0000"/>
              </w:rPr>
              <w:t>Level 1 (strong recommendation): “We Recommend”</w:t>
            </w:r>
            <w:r w:rsidR="00DF74B6" w:rsidRPr="00AC6749">
              <w:rPr>
                <w:color w:val="FF0000"/>
              </w:rPr>
              <w:t xml:space="preserve">. </w:t>
            </w:r>
          </w:p>
          <w:p w14:paraId="7FDE1E6D" w14:textId="77777777" w:rsidR="00AB4ECE" w:rsidRPr="00AC6749" w:rsidRDefault="00DF74B6" w:rsidP="002E2177">
            <w:pPr>
              <w:ind w:left="0" w:firstLine="0"/>
              <w:rPr>
                <w:color w:val="FF0000"/>
              </w:rPr>
            </w:pPr>
            <w:r w:rsidRPr="00AC6749">
              <w:rPr>
                <w:color w:val="FF0000"/>
              </w:rPr>
              <w:t>Implications</w:t>
            </w:r>
          </w:p>
          <w:p w14:paraId="0ED12C93" w14:textId="77777777" w:rsidR="00DF74B6" w:rsidRPr="00AC6749" w:rsidRDefault="00DF74B6" w:rsidP="00DF74B6">
            <w:pPr>
              <w:pStyle w:val="ListParagraph"/>
              <w:numPr>
                <w:ilvl w:val="0"/>
                <w:numId w:val="14"/>
              </w:numPr>
              <w:rPr>
                <w:color w:val="FF0000"/>
              </w:rPr>
            </w:pPr>
            <w:r w:rsidRPr="00AC6749">
              <w:rPr>
                <w:color w:val="FF0000"/>
              </w:rPr>
              <w:t>Patients: Most people in your situation would want the recommended course of action and only a small proportion would not.</w:t>
            </w:r>
          </w:p>
          <w:p w14:paraId="581B83FD" w14:textId="77777777" w:rsidR="00DF74B6" w:rsidRPr="00AC6749" w:rsidRDefault="00DF74B6" w:rsidP="00DF74B6">
            <w:pPr>
              <w:pStyle w:val="ListParagraph"/>
              <w:numPr>
                <w:ilvl w:val="0"/>
                <w:numId w:val="14"/>
              </w:numPr>
              <w:rPr>
                <w:color w:val="FF0000"/>
              </w:rPr>
            </w:pPr>
            <w:r w:rsidRPr="00AC6749">
              <w:rPr>
                <w:color w:val="FF0000"/>
              </w:rPr>
              <w:t>Clinicians: Most patients should receive the recommended course of action.</w:t>
            </w:r>
          </w:p>
          <w:p w14:paraId="55B8DA81" w14:textId="4734CAD6" w:rsidR="00DF74B6" w:rsidRPr="00AC6749" w:rsidRDefault="00DF74B6" w:rsidP="00DF74B6">
            <w:pPr>
              <w:pStyle w:val="ListParagraph"/>
              <w:numPr>
                <w:ilvl w:val="0"/>
                <w:numId w:val="14"/>
              </w:numPr>
              <w:rPr>
                <w:color w:val="FF0000"/>
              </w:rPr>
            </w:pPr>
            <w:r w:rsidRPr="00AC6749">
              <w:rPr>
                <w:color w:val="FF0000"/>
              </w:rPr>
              <w:t>Policy: The recommendation can be adopted as policy in most situations.</w:t>
            </w:r>
          </w:p>
        </w:tc>
      </w:tr>
      <w:tr w:rsidR="00AB4ECE" w14:paraId="55B8DA85" w14:textId="77777777" w:rsidTr="00F90F82">
        <w:tc>
          <w:tcPr>
            <w:tcW w:w="4068" w:type="dxa"/>
          </w:tcPr>
          <w:p w14:paraId="55B8DA83" w14:textId="77777777" w:rsidR="00AB4ECE" w:rsidRPr="00522B63" w:rsidRDefault="00AB4ECE" w:rsidP="00E42FAA">
            <w:pPr>
              <w:ind w:left="0" w:firstLine="0"/>
            </w:pPr>
            <w:r w:rsidRPr="00522B63">
              <w:t>Provide all other grades and definitions from the recommendation grading system</w:t>
            </w:r>
          </w:p>
        </w:tc>
        <w:tc>
          <w:tcPr>
            <w:tcW w:w="5130" w:type="dxa"/>
          </w:tcPr>
          <w:p w14:paraId="39A38F62" w14:textId="77777777" w:rsidR="00AB4ECE" w:rsidRPr="00AC6749" w:rsidRDefault="00DF74B6" w:rsidP="002E2177">
            <w:pPr>
              <w:ind w:left="0" w:firstLine="0"/>
              <w:rPr>
                <w:color w:val="FF0000"/>
              </w:rPr>
            </w:pPr>
            <w:r w:rsidRPr="00AC6749">
              <w:rPr>
                <w:color w:val="FF0000"/>
              </w:rPr>
              <w:t>Level 2 (conditional recommendation/suggestion): “We Suggest”. Implications:</w:t>
            </w:r>
          </w:p>
          <w:p w14:paraId="14B08E95" w14:textId="7FA72CF4" w:rsidR="00DF74B6" w:rsidRPr="00AC6749" w:rsidRDefault="00DF74B6" w:rsidP="00DF74B6">
            <w:pPr>
              <w:pStyle w:val="ListParagraph"/>
              <w:numPr>
                <w:ilvl w:val="0"/>
                <w:numId w:val="14"/>
              </w:numPr>
              <w:rPr>
                <w:color w:val="FF0000"/>
              </w:rPr>
            </w:pPr>
            <w:r w:rsidRPr="00AC6749">
              <w:rPr>
                <w:color w:val="FF0000"/>
              </w:rPr>
              <w:t>Patients: The majority of people in your situation would want the recommended course of action, but many would not.</w:t>
            </w:r>
          </w:p>
          <w:p w14:paraId="118C9DF2" w14:textId="1FB74C07" w:rsidR="00DF74B6" w:rsidRPr="00AC6749" w:rsidRDefault="00DF74B6" w:rsidP="00DF74B6">
            <w:pPr>
              <w:pStyle w:val="ListParagraph"/>
              <w:numPr>
                <w:ilvl w:val="0"/>
                <w:numId w:val="14"/>
              </w:numPr>
              <w:rPr>
                <w:color w:val="FF0000"/>
              </w:rPr>
            </w:pPr>
            <w:r w:rsidRPr="00AC6749">
              <w:rPr>
                <w:color w:val="FF0000"/>
              </w:rPr>
              <w:t>Clinicians: Different choices will be appropriate for different patients. Each patient needs help to arrive at a management</w:t>
            </w:r>
          </w:p>
          <w:p w14:paraId="56DD8381" w14:textId="2333B3FC" w:rsidR="00DF74B6" w:rsidRPr="00AC6749" w:rsidRDefault="00DF74B6" w:rsidP="00DF74B6">
            <w:pPr>
              <w:pStyle w:val="ListParagraph"/>
              <w:ind w:firstLine="0"/>
              <w:rPr>
                <w:color w:val="FF0000"/>
              </w:rPr>
            </w:pPr>
            <w:proofErr w:type="gramStart"/>
            <w:r w:rsidRPr="00AC6749">
              <w:rPr>
                <w:color w:val="FF0000"/>
              </w:rPr>
              <w:t>decision</w:t>
            </w:r>
            <w:proofErr w:type="gramEnd"/>
            <w:r w:rsidRPr="00AC6749">
              <w:rPr>
                <w:color w:val="FF0000"/>
              </w:rPr>
              <w:t xml:space="preserve"> consistent with her or his values and preferences.</w:t>
            </w:r>
          </w:p>
          <w:p w14:paraId="55B8DA84" w14:textId="484710A1" w:rsidR="00DF74B6" w:rsidRPr="00AC6749" w:rsidRDefault="00DF74B6" w:rsidP="00DF74B6">
            <w:pPr>
              <w:pStyle w:val="ListParagraph"/>
              <w:numPr>
                <w:ilvl w:val="0"/>
                <w:numId w:val="14"/>
              </w:numPr>
              <w:rPr>
                <w:color w:val="FF0000"/>
              </w:rPr>
            </w:pPr>
            <w:r w:rsidRPr="00AC6749">
              <w:rPr>
                <w:color w:val="FF0000"/>
              </w:rPr>
              <w:t>Policy: The recommendation is likely to require substantial debate and involvement of stakeholders before policy can be determined.</w:t>
            </w:r>
          </w:p>
        </w:tc>
      </w:tr>
      <w:tr w:rsidR="00AB4ECE" w14:paraId="55B8DA8A" w14:textId="77777777" w:rsidTr="00F90F82">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lastRenderedPageBreak/>
              <w:t>Quality – what type of studies?</w:t>
            </w:r>
          </w:p>
        </w:tc>
        <w:tc>
          <w:tcPr>
            <w:tcW w:w="5130" w:type="dxa"/>
          </w:tcPr>
          <w:p w14:paraId="3B52ED3A" w14:textId="22A16A5B" w:rsidR="00563C95" w:rsidRPr="006257CC" w:rsidRDefault="008C11E7" w:rsidP="00563C95">
            <w:pPr>
              <w:ind w:left="0" w:firstLine="0"/>
              <w:rPr>
                <w:color w:val="0000FF"/>
              </w:rPr>
            </w:pPr>
            <w:r w:rsidRPr="00AC6749">
              <w:rPr>
                <w:color w:val="FF0000"/>
              </w:rPr>
              <w:lastRenderedPageBreak/>
              <w:t xml:space="preserve">The 2015 K/DOQI guidelines are essentially unchanged with respect to small solute clearance targets using the urea kinetic approach for a single dialysis session in the setting of thrice weekly hemodialysis. The literature reviewed in preparation for these guidelines include clinical trials and observational studies published between 2000 and March 2014. The body of evidence </w:t>
            </w:r>
            <w:r w:rsidR="00563C95" w:rsidRPr="00AC6749">
              <w:rPr>
                <w:color w:val="FF0000"/>
              </w:rPr>
              <w:t>show</w:t>
            </w:r>
            <w:r w:rsidRPr="00AC6749">
              <w:rPr>
                <w:color w:val="FF0000"/>
              </w:rPr>
              <w:t>ed</w:t>
            </w:r>
            <w:r w:rsidR="00563C95" w:rsidRPr="00AC6749">
              <w:rPr>
                <w:color w:val="FF0000"/>
              </w:rPr>
              <w:t xml:space="preserve"> a correlation between delivered </w:t>
            </w:r>
            <w:r w:rsidR="00563C95" w:rsidRPr="00AC6749">
              <w:rPr>
                <w:color w:val="FF0000"/>
              </w:rPr>
              <w:lastRenderedPageBreak/>
              <w:t xml:space="preserve">dose of HD and patient mortality and morbidity. Thus, this evidence directly supports this measure. </w:t>
            </w:r>
            <w:r w:rsidR="00563C95" w:rsidRPr="006257CC">
              <w:rPr>
                <w:color w:val="0000FF"/>
              </w:rPr>
              <w:t xml:space="preserve">Of the 11 studies, 5 measured dialysis dose using </w:t>
            </w:r>
            <w:proofErr w:type="spellStart"/>
            <w:r w:rsidR="00563C95" w:rsidRPr="006257CC">
              <w:rPr>
                <w:color w:val="0000FF"/>
              </w:rPr>
              <w:t>spKt</w:t>
            </w:r>
            <w:proofErr w:type="spellEnd"/>
            <w:r w:rsidR="00563C95" w:rsidRPr="006257CC">
              <w:rPr>
                <w:color w:val="0000FF"/>
              </w:rPr>
              <w:t>/v [1</w:t>
            </w:r>
            <w:proofErr w:type="gramStart"/>
            <w:r w:rsidR="00563C95" w:rsidRPr="006257CC">
              <w:rPr>
                <w:color w:val="0000FF"/>
              </w:rPr>
              <w:t>,3,8,9,10</w:t>
            </w:r>
            <w:proofErr w:type="gramEnd"/>
            <w:r w:rsidR="00563C95" w:rsidRPr="006257CC">
              <w:rPr>
                <w:color w:val="0000FF"/>
              </w:rPr>
              <w:t xml:space="preserve">], and 3 used URR[4,5,7]. The remaining studies used </w:t>
            </w:r>
            <w:proofErr w:type="spellStart"/>
            <w:r w:rsidR="00563C95" w:rsidRPr="006257CC">
              <w:rPr>
                <w:color w:val="0000FF"/>
              </w:rPr>
              <w:t>eKt</w:t>
            </w:r>
            <w:proofErr w:type="spellEnd"/>
            <w:r w:rsidR="00563C95" w:rsidRPr="006257CC">
              <w:rPr>
                <w:color w:val="0000FF"/>
              </w:rPr>
              <w:t>/V [2</w:t>
            </w:r>
            <w:proofErr w:type="gramStart"/>
            <w:r w:rsidR="00563C95" w:rsidRPr="006257CC">
              <w:rPr>
                <w:color w:val="0000FF"/>
              </w:rPr>
              <w:t>,6</w:t>
            </w:r>
            <w:proofErr w:type="gramEnd"/>
            <w:r w:rsidR="00563C95" w:rsidRPr="006257CC">
              <w:rPr>
                <w:color w:val="0000FF"/>
              </w:rPr>
              <w:t xml:space="preserve">]. Among the studies using </w:t>
            </w:r>
            <w:proofErr w:type="spellStart"/>
            <w:r w:rsidR="00563C95" w:rsidRPr="006257CC">
              <w:rPr>
                <w:color w:val="0000FF"/>
              </w:rPr>
              <w:t>spKt</w:t>
            </w:r>
            <w:proofErr w:type="spellEnd"/>
            <w:r w:rsidR="00563C95" w:rsidRPr="006257CC">
              <w:rPr>
                <w:color w:val="0000FF"/>
              </w:rPr>
              <w:t xml:space="preserve">/V, one study was a randomized clinical trial (HEMO study) with 1846 patients, one was a prospective study with 740 patients, and the remaining were retrospective cohort studies with sample sizes of 1771 and 1151. Two of these studies found a significant improvement in mortality with increasing dose of </w:t>
            </w:r>
            <w:proofErr w:type="spellStart"/>
            <w:r w:rsidR="00563C95" w:rsidRPr="006257CC">
              <w:rPr>
                <w:color w:val="0000FF"/>
              </w:rPr>
              <w:t>spKt</w:t>
            </w:r>
            <w:proofErr w:type="spellEnd"/>
            <w:r w:rsidR="00563C95" w:rsidRPr="006257CC">
              <w:rPr>
                <w:color w:val="0000FF"/>
              </w:rPr>
              <w:t xml:space="preserve">/V. The remaining study compared higher doses of </w:t>
            </w:r>
            <w:proofErr w:type="spellStart"/>
            <w:r w:rsidR="00563C95" w:rsidRPr="006257CC">
              <w:rPr>
                <w:color w:val="0000FF"/>
              </w:rPr>
              <w:t>spKt</w:t>
            </w:r>
            <w:proofErr w:type="spellEnd"/>
            <w:r w:rsidR="00563C95" w:rsidRPr="006257CC">
              <w:rPr>
                <w:color w:val="0000FF"/>
              </w:rPr>
              <w:t>/v to the standard dose (</w:t>
            </w:r>
            <w:proofErr w:type="spellStart"/>
            <w:r w:rsidR="00563C95" w:rsidRPr="006257CC">
              <w:rPr>
                <w:color w:val="0000FF"/>
              </w:rPr>
              <w:t>spKt</w:t>
            </w:r>
            <w:proofErr w:type="spellEnd"/>
            <w:r w:rsidR="00563C95" w:rsidRPr="006257CC">
              <w:rPr>
                <w:color w:val="0000FF"/>
              </w:rPr>
              <w:t>/V =1.2) and found higher doses did not improvement in mortality compared to the standard dose. Of the three studies measuring URR, one study found a significant association between increased URR and lower mortality among all patients, one also found higher URR was associated with lower mortality but only among women, and one study found no significant association between URR and mortality.</w:t>
            </w:r>
          </w:p>
          <w:p w14:paraId="7763984B" w14:textId="77777777" w:rsidR="00563C95" w:rsidRPr="006257CC" w:rsidRDefault="00563C95" w:rsidP="00563C95">
            <w:pPr>
              <w:ind w:left="0" w:firstLine="0"/>
              <w:rPr>
                <w:color w:val="0000FF"/>
              </w:rPr>
            </w:pPr>
          </w:p>
          <w:p w14:paraId="42D6675D" w14:textId="77777777" w:rsidR="00563C95" w:rsidRPr="006257CC" w:rsidRDefault="00563C95" w:rsidP="00563C95">
            <w:pPr>
              <w:pStyle w:val="ListParagraph"/>
              <w:numPr>
                <w:ilvl w:val="0"/>
                <w:numId w:val="12"/>
              </w:numPr>
              <w:rPr>
                <w:color w:val="0000FF"/>
              </w:rPr>
            </w:pPr>
            <w:proofErr w:type="spellStart"/>
            <w:r w:rsidRPr="006257CC">
              <w:rPr>
                <w:color w:val="0000FF"/>
              </w:rPr>
              <w:t>Eknoyan</w:t>
            </w:r>
            <w:proofErr w:type="spellEnd"/>
            <w:r w:rsidRPr="006257CC">
              <w:rPr>
                <w:color w:val="0000FF"/>
              </w:rPr>
              <w:t xml:space="preserve"> G, Beck GJ, Cheung AK, et al: Effect of dialysis dose and membrane flux in maintenance hemodialysis. N </w:t>
            </w:r>
            <w:proofErr w:type="spellStart"/>
            <w:r w:rsidRPr="006257CC">
              <w:rPr>
                <w:color w:val="0000FF"/>
              </w:rPr>
              <w:t>Engl</w:t>
            </w:r>
            <w:proofErr w:type="spellEnd"/>
            <w:r w:rsidRPr="006257CC">
              <w:rPr>
                <w:color w:val="0000FF"/>
              </w:rPr>
              <w:t xml:space="preserve"> J Med347:2010-2019, 2002.</w:t>
            </w:r>
          </w:p>
          <w:p w14:paraId="364826D7" w14:textId="77777777" w:rsidR="00563C95" w:rsidRPr="006257CC" w:rsidRDefault="00563C95" w:rsidP="00563C95">
            <w:pPr>
              <w:pStyle w:val="ListParagraph"/>
              <w:numPr>
                <w:ilvl w:val="0"/>
                <w:numId w:val="12"/>
              </w:numPr>
              <w:rPr>
                <w:color w:val="0000FF"/>
              </w:rPr>
            </w:pPr>
            <w:proofErr w:type="spellStart"/>
            <w:r w:rsidRPr="006257CC">
              <w:rPr>
                <w:color w:val="0000FF"/>
              </w:rPr>
              <w:t>Depner</w:t>
            </w:r>
            <w:proofErr w:type="spellEnd"/>
            <w:r w:rsidRPr="006257CC">
              <w:rPr>
                <w:color w:val="0000FF"/>
              </w:rPr>
              <w:t xml:space="preserve"> T, </w:t>
            </w:r>
            <w:proofErr w:type="spellStart"/>
            <w:r w:rsidRPr="006257CC">
              <w:rPr>
                <w:color w:val="0000FF"/>
              </w:rPr>
              <w:t>Daugirdas</w:t>
            </w:r>
            <w:proofErr w:type="spellEnd"/>
            <w:r w:rsidRPr="006257CC">
              <w:rPr>
                <w:color w:val="0000FF"/>
              </w:rPr>
              <w:t xml:space="preserve"> J, Greene T, et al: Dialysis dose and the effect of gender and body size on outcome in the HEMO Study. Kidney </w:t>
            </w:r>
            <w:proofErr w:type="spellStart"/>
            <w:r w:rsidRPr="006257CC">
              <w:rPr>
                <w:color w:val="0000FF"/>
              </w:rPr>
              <w:t>Int</w:t>
            </w:r>
            <w:proofErr w:type="spellEnd"/>
            <w:r w:rsidRPr="006257CC">
              <w:rPr>
                <w:color w:val="0000FF"/>
              </w:rPr>
              <w:t xml:space="preserve"> 65:1386-1394, 2004.</w:t>
            </w:r>
          </w:p>
          <w:p w14:paraId="0906C799" w14:textId="77777777" w:rsidR="00563C95" w:rsidRPr="006257CC" w:rsidRDefault="00563C95" w:rsidP="00563C95">
            <w:pPr>
              <w:pStyle w:val="ListParagraph"/>
              <w:numPr>
                <w:ilvl w:val="0"/>
                <w:numId w:val="12"/>
              </w:numPr>
              <w:rPr>
                <w:color w:val="0000FF"/>
              </w:rPr>
            </w:pPr>
            <w:proofErr w:type="spellStart"/>
            <w:r w:rsidRPr="006257CC">
              <w:rPr>
                <w:color w:val="0000FF"/>
              </w:rPr>
              <w:t>Termorshuizen</w:t>
            </w:r>
            <w:proofErr w:type="spellEnd"/>
            <w:r w:rsidRPr="006257CC">
              <w:rPr>
                <w:color w:val="0000FF"/>
              </w:rPr>
              <w:t xml:space="preserve"> F, Dekker FW, van </w:t>
            </w:r>
            <w:proofErr w:type="spellStart"/>
            <w:r w:rsidRPr="006257CC">
              <w:rPr>
                <w:color w:val="0000FF"/>
              </w:rPr>
              <w:t>Manen</w:t>
            </w:r>
            <w:proofErr w:type="spellEnd"/>
            <w:r w:rsidRPr="006257CC">
              <w:rPr>
                <w:color w:val="0000FF"/>
              </w:rPr>
              <w:t xml:space="preserve"> JG, </w:t>
            </w:r>
            <w:proofErr w:type="spellStart"/>
            <w:r w:rsidRPr="006257CC">
              <w:rPr>
                <w:color w:val="0000FF"/>
              </w:rPr>
              <w:t>Korevaar</w:t>
            </w:r>
            <w:proofErr w:type="spellEnd"/>
            <w:r w:rsidRPr="006257CC">
              <w:rPr>
                <w:color w:val="0000FF"/>
              </w:rPr>
              <w:t xml:space="preserve"> JC, </w:t>
            </w:r>
            <w:proofErr w:type="spellStart"/>
            <w:r w:rsidRPr="006257CC">
              <w:rPr>
                <w:color w:val="0000FF"/>
              </w:rPr>
              <w:t>Boeschoten</w:t>
            </w:r>
            <w:proofErr w:type="spellEnd"/>
            <w:r w:rsidRPr="006257CC">
              <w:rPr>
                <w:color w:val="0000FF"/>
              </w:rPr>
              <w:t xml:space="preserve"> EW, </w:t>
            </w:r>
            <w:proofErr w:type="spellStart"/>
            <w:r w:rsidRPr="006257CC">
              <w:rPr>
                <w:color w:val="0000FF"/>
              </w:rPr>
              <w:t>Krediet</w:t>
            </w:r>
            <w:proofErr w:type="spellEnd"/>
            <w:r w:rsidRPr="006257CC">
              <w:rPr>
                <w:color w:val="0000FF"/>
              </w:rPr>
              <w:t xml:space="preserve"> RT: Relative contribution of residual renal function and different measures of adequacy to survival in hemodialysis patients: An analysis of the Netherlands Cooperative Study on the Adequacy of Dialysis (NECOSAD)-2. J Am </w:t>
            </w:r>
            <w:proofErr w:type="spellStart"/>
            <w:r w:rsidRPr="006257CC">
              <w:rPr>
                <w:color w:val="0000FF"/>
              </w:rPr>
              <w:t>Soc</w:t>
            </w:r>
            <w:proofErr w:type="spellEnd"/>
            <w:r w:rsidRPr="006257CC">
              <w:rPr>
                <w:color w:val="0000FF"/>
              </w:rPr>
              <w:t xml:space="preserve"> </w:t>
            </w:r>
            <w:proofErr w:type="spellStart"/>
            <w:r w:rsidRPr="006257CC">
              <w:rPr>
                <w:color w:val="0000FF"/>
              </w:rPr>
              <w:t>Nephrol</w:t>
            </w:r>
            <w:proofErr w:type="spellEnd"/>
            <w:r w:rsidRPr="006257CC">
              <w:rPr>
                <w:color w:val="0000FF"/>
              </w:rPr>
              <w:t xml:space="preserve"> 15:1061-1070, 2004.</w:t>
            </w:r>
          </w:p>
          <w:p w14:paraId="6423E29D" w14:textId="77777777" w:rsidR="00563C95" w:rsidRPr="006257CC" w:rsidRDefault="00563C95" w:rsidP="00563C95">
            <w:pPr>
              <w:pStyle w:val="ListParagraph"/>
              <w:numPr>
                <w:ilvl w:val="0"/>
                <w:numId w:val="12"/>
              </w:numPr>
              <w:rPr>
                <w:color w:val="0000FF"/>
              </w:rPr>
            </w:pPr>
            <w:r w:rsidRPr="006257CC">
              <w:rPr>
                <w:color w:val="0000FF"/>
              </w:rPr>
              <w:t xml:space="preserve">Port FK, Wolfe RA, Hulbert-Shearon TE, McCullough KP, Ashby VB, </w:t>
            </w:r>
            <w:proofErr w:type="gramStart"/>
            <w:r w:rsidRPr="006257CC">
              <w:rPr>
                <w:color w:val="0000FF"/>
              </w:rPr>
              <w:t>Held</w:t>
            </w:r>
            <w:proofErr w:type="gramEnd"/>
            <w:r w:rsidRPr="006257CC">
              <w:rPr>
                <w:color w:val="0000FF"/>
              </w:rPr>
              <w:t xml:space="preserve"> PJ: High dialysis dose is associated with lower mortality among women but not among men. Am J Kidney Dis 43:1014-1023, </w:t>
            </w:r>
            <w:proofErr w:type="gramStart"/>
            <w:r w:rsidRPr="006257CC">
              <w:rPr>
                <w:color w:val="0000FF"/>
              </w:rPr>
              <w:t>2004.</w:t>
            </w:r>
            <w:proofErr w:type="gramEnd"/>
          </w:p>
          <w:p w14:paraId="4FB99D6A" w14:textId="77777777" w:rsidR="00563C95" w:rsidRPr="006257CC" w:rsidRDefault="00563C95" w:rsidP="00563C95">
            <w:pPr>
              <w:pStyle w:val="ListParagraph"/>
              <w:numPr>
                <w:ilvl w:val="0"/>
                <w:numId w:val="12"/>
              </w:numPr>
              <w:rPr>
                <w:color w:val="0000FF"/>
              </w:rPr>
            </w:pPr>
            <w:proofErr w:type="gramStart"/>
            <w:r w:rsidRPr="006257CC">
              <w:rPr>
                <w:color w:val="0000FF"/>
              </w:rPr>
              <w:t>5.Port</w:t>
            </w:r>
            <w:proofErr w:type="gramEnd"/>
            <w:r w:rsidRPr="006257CC">
              <w:rPr>
                <w:color w:val="0000FF"/>
              </w:rPr>
              <w:t xml:space="preserve"> FK, Ashby VB, </w:t>
            </w:r>
            <w:proofErr w:type="spellStart"/>
            <w:r w:rsidRPr="006257CC">
              <w:rPr>
                <w:color w:val="0000FF"/>
              </w:rPr>
              <w:t>Dhingra</w:t>
            </w:r>
            <w:proofErr w:type="spellEnd"/>
            <w:r w:rsidRPr="006257CC">
              <w:rPr>
                <w:color w:val="0000FF"/>
              </w:rPr>
              <w:t xml:space="preserve"> RK, </w:t>
            </w:r>
            <w:proofErr w:type="spellStart"/>
            <w:r w:rsidRPr="006257CC">
              <w:rPr>
                <w:color w:val="0000FF"/>
              </w:rPr>
              <w:t>Roys</w:t>
            </w:r>
            <w:proofErr w:type="spellEnd"/>
            <w:r w:rsidRPr="006257CC">
              <w:rPr>
                <w:color w:val="0000FF"/>
              </w:rPr>
              <w:t xml:space="preserve"> EC, Wolfe RA: Dialysis dose and body mass index are strongly associated with survival in hemodialysis patients. J Am </w:t>
            </w:r>
            <w:proofErr w:type="spellStart"/>
            <w:r w:rsidRPr="006257CC">
              <w:rPr>
                <w:color w:val="0000FF"/>
              </w:rPr>
              <w:t>Soc</w:t>
            </w:r>
            <w:proofErr w:type="spellEnd"/>
            <w:r w:rsidRPr="006257CC">
              <w:rPr>
                <w:color w:val="0000FF"/>
              </w:rPr>
              <w:t xml:space="preserve"> </w:t>
            </w:r>
            <w:proofErr w:type="spellStart"/>
            <w:r w:rsidRPr="006257CC">
              <w:rPr>
                <w:color w:val="0000FF"/>
              </w:rPr>
              <w:t>Nephrol</w:t>
            </w:r>
            <w:proofErr w:type="spellEnd"/>
            <w:r w:rsidRPr="006257CC">
              <w:rPr>
                <w:color w:val="0000FF"/>
              </w:rPr>
              <w:t xml:space="preserve"> 13:1061-1066, 2002.</w:t>
            </w:r>
          </w:p>
          <w:p w14:paraId="1ED8D96E" w14:textId="77777777" w:rsidR="00563C95" w:rsidRPr="006257CC" w:rsidRDefault="00563C95" w:rsidP="00563C95">
            <w:pPr>
              <w:pStyle w:val="ListParagraph"/>
              <w:numPr>
                <w:ilvl w:val="0"/>
                <w:numId w:val="12"/>
              </w:numPr>
              <w:rPr>
                <w:color w:val="0000FF"/>
              </w:rPr>
            </w:pPr>
            <w:r w:rsidRPr="006257CC">
              <w:rPr>
                <w:color w:val="0000FF"/>
              </w:rPr>
              <w:t xml:space="preserve">Wolfe RA, Ashby VB, </w:t>
            </w:r>
            <w:proofErr w:type="spellStart"/>
            <w:r w:rsidRPr="006257CC">
              <w:rPr>
                <w:color w:val="0000FF"/>
              </w:rPr>
              <w:t>Daugirdas</w:t>
            </w:r>
            <w:proofErr w:type="spellEnd"/>
            <w:r w:rsidRPr="006257CC">
              <w:rPr>
                <w:color w:val="0000FF"/>
              </w:rPr>
              <w:t xml:space="preserve"> JT, </w:t>
            </w:r>
            <w:proofErr w:type="spellStart"/>
            <w:r w:rsidRPr="006257CC">
              <w:rPr>
                <w:color w:val="0000FF"/>
              </w:rPr>
              <w:t>Agodoa</w:t>
            </w:r>
            <w:proofErr w:type="spellEnd"/>
            <w:r w:rsidRPr="006257CC">
              <w:rPr>
                <w:color w:val="0000FF"/>
              </w:rPr>
              <w:t xml:space="preserve"> LY, Jones CA, Port FK: Body size, dose of hemodialysis, and mortality. Am J Kidney Dis 35:80-88, </w:t>
            </w:r>
            <w:proofErr w:type="gramStart"/>
            <w:r w:rsidRPr="006257CC">
              <w:rPr>
                <w:color w:val="0000FF"/>
              </w:rPr>
              <w:t>2000.</w:t>
            </w:r>
            <w:proofErr w:type="gramEnd"/>
          </w:p>
          <w:p w14:paraId="001A1659" w14:textId="77777777" w:rsidR="00563C95" w:rsidRPr="006257CC" w:rsidRDefault="00563C95" w:rsidP="00563C95">
            <w:pPr>
              <w:pStyle w:val="ListParagraph"/>
              <w:numPr>
                <w:ilvl w:val="0"/>
                <w:numId w:val="12"/>
              </w:numPr>
              <w:rPr>
                <w:color w:val="0000FF"/>
              </w:rPr>
            </w:pPr>
            <w:proofErr w:type="spellStart"/>
            <w:r w:rsidRPr="006257CC">
              <w:rPr>
                <w:color w:val="0000FF"/>
              </w:rPr>
              <w:t>Chertow</w:t>
            </w:r>
            <w:proofErr w:type="spellEnd"/>
            <w:r w:rsidRPr="006257CC">
              <w:rPr>
                <w:color w:val="0000FF"/>
              </w:rPr>
              <w:t xml:space="preserve"> GM, Owen WF, Lazarus JM, Lew NL, </w:t>
            </w:r>
            <w:proofErr w:type="spellStart"/>
            <w:r w:rsidRPr="006257CC">
              <w:rPr>
                <w:color w:val="0000FF"/>
              </w:rPr>
              <w:t>Lowrie</w:t>
            </w:r>
            <w:proofErr w:type="spellEnd"/>
            <w:r w:rsidRPr="006257CC">
              <w:rPr>
                <w:color w:val="0000FF"/>
              </w:rPr>
              <w:t xml:space="preserve"> EG: Exploring the reverse J-shaped curve between urea reduction ratio and mortality. Kidney </w:t>
            </w:r>
            <w:proofErr w:type="spellStart"/>
            <w:r w:rsidRPr="006257CC">
              <w:rPr>
                <w:color w:val="0000FF"/>
              </w:rPr>
              <w:t>Int</w:t>
            </w:r>
            <w:proofErr w:type="spellEnd"/>
            <w:r w:rsidRPr="006257CC">
              <w:rPr>
                <w:color w:val="0000FF"/>
              </w:rPr>
              <w:t xml:space="preserve"> 56:1872-1878, 1999.</w:t>
            </w:r>
          </w:p>
          <w:p w14:paraId="03D80F74" w14:textId="77777777" w:rsidR="00563C95" w:rsidRPr="006257CC" w:rsidRDefault="00563C95" w:rsidP="00563C95">
            <w:pPr>
              <w:pStyle w:val="ListParagraph"/>
              <w:numPr>
                <w:ilvl w:val="0"/>
                <w:numId w:val="12"/>
              </w:numPr>
              <w:rPr>
                <w:color w:val="0000FF"/>
              </w:rPr>
            </w:pPr>
            <w:r w:rsidRPr="006257CC">
              <w:rPr>
                <w:color w:val="0000FF"/>
              </w:rPr>
              <w:lastRenderedPageBreak/>
              <w:t xml:space="preserve">Leypoldt JK, Cheung AK, Carroll CE, et al: Effect of dialysis membranes and middle molecule removal on chronic hemodialysis patient survival. Am J Kidney Dis 33:349-355, </w:t>
            </w:r>
            <w:proofErr w:type="gramStart"/>
            <w:r w:rsidRPr="006257CC">
              <w:rPr>
                <w:color w:val="0000FF"/>
              </w:rPr>
              <w:t>1999.</w:t>
            </w:r>
            <w:proofErr w:type="gramEnd"/>
          </w:p>
          <w:p w14:paraId="12D594AF" w14:textId="77777777" w:rsidR="00563C95" w:rsidRPr="006257CC" w:rsidRDefault="00563C95" w:rsidP="00563C95">
            <w:pPr>
              <w:pStyle w:val="ListParagraph"/>
              <w:numPr>
                <w:ilvl w:val="0"/>
                <w:numId w:val="12"/>
              </w:numPr>
              <w:rPr>
                <w:color w:val="0000FF"/>
              </w:rPr>
            </w:pPr>
            <w:proofErr w:type="spellStart"/>
            <w:r w:rsidRPr="006257CC">
              <w:rPr>
                <w:color w:val="0000FF"/>
              </w:rPr>
              <w:t>Salahudeen</w:t>
            </w:r>
            <w:proofErr w:type="spellEnd"/>
            <w:r w:rsidRPr="006257CC">
              <w:rPr>
                <w:color w:val="0000FF"/>
              </w:rPr>
              <w:t xml:space="preserve"> AK, Dykes P, </w:t>
            </w:r>
            <w:proofErr w:type="gramStart"/>
            <w:r w:rsidRPr="006257CC">
              <w:rPr>
                <w:color w:val="0000FF"/>
              </w:rPr>
              <w:t>May</w:t>
            </w:r>
            <w:proofErr w:type="gramEnd"/>
            <w:r w:rsidRPr="006257CC">
              <w:rPr>
                <w:color w:val="0000FF"/>
              </w:rPr>
              <w:t xml:space="preserve"> W: Risk factors for higher mortality at the highest levels of </w:t>
            </w:r>
            <w:proofErr w:type="spellStart"/>
            <w:r w:rsidRPr="006257CC">
              <w:rPr>
                <w:color w:val="0000FF"/>
              </w:rPr>
              <w:t>spKt</w:t>
            </w:r>
            <w:proofErr w:type="spellEnd"/>
            <w:r w:rsidRPr="006257CC">
              <w:rPr>
                <w:color w:val="0000FF"/>
              </w:rPr>
              <w:t xml:space="preserve">/V in hemodialysis </w:t>
            </w:r>
            <w:proofErr w:type="spellStart"/>
            <w:r w:rsidRPr="006257CC">
              <w:rPr>
                <w:color w:val="0000FF"/>
              </w:rPr>
              <w:t>patients.Nephrol</w:t>
            </w:r>
            <w:proofErr w:type="spellEnd"/>
            <w:r w:rsidRPr="006257CC">
              <w:rPr>
                <w:color w:val="0000FF"/>
              </w:rPr>
              <w:t xml:space="preserve"> Dial Transplant 18:1339-1344, 2003.</w:t>
            </w:r>
          </w:p>
          <w:p w14:paraId="26B5C09F" w14:textId="77777777" w:rsidR="00563C95" w:rsidRPr="006257CC" w:rsidRDefault="00563C95" w:rsidP="00563C95">
            <w:pPr>
              <w:pStyle w:val="ListParagraph"/>
              <w:numPr>
                <w:ilvl w:val="0"/>
                <w:numId w:val="12"/>
              </w:numPr>
              <w:rPr>
                <w:color w:val="0000FF"/>
              </w:rPr>
            </w:pPr>
            <w:r w:rsidRPr="006257CC">
              <w:rPr>
                <w:color w:val="0000FF"/>
              </w:rPr>
              <w:t xml:space="preserve">Woods HF, </w:t>
            </w:r>
            <w:proofErr w:type="spellStart"/>
            <w:r w:rsidRPr="006257CC">
              <w:rPr>
                <w:color w:val="0000FF"/>
              </w:rPr>
              <w:t>Nandakumar</w:t>
            </w:r>
            <w:proofErr w:type="spellEnd"/>
            <w:r w:rsidRPr="006257CC">
              <w:rPr>
                <w:color w:val="0000FF"/>
              </w:rPr>
              <w:t xml:space="preserve"> M: Improved outcome for </w:t>
            </w:r>
            <w:proofErr w:type="spellStart"/>
            <w:r w:rsidRPr="006257CC">
              <w:rPr>
                <w:color w:val="0000FF"/>
              </w:rPr>
              <w:t>haemodialysis</w:t>
            </w:r>
            <w:proofErr w:type="spellEnd"/>
            <w:r w:rsidRPr="006257CC">
              <w:rPr>
                <w:color w:val="0000FF"/>
              </w:rPr>
              <w:t xml:space="preserve"> patients treated with high-flux membranes. </w:t>
            </w:r>
            <w:proofErr w:type="spellStart"/>
            <w:r w:rsidRPr="006257CC">
              <w:rPr>
                <w:color w:val="0000FF"/>
              </w:rPr>
              <w:t>Nephrol</w:t>
            </w:r>
            <w:proofErr w:type="spellEnd"/>
            <w:r w:rsidRPr="006257CC">
              <w:rPr>
                <w:color w:val="0000FF"/>
              </w:rPr>
              <w:t xml:space="preserve"> Dial Transplant 15:S36-S42, 2000 (</w:t>
            </w:r>
            <w:proofErr w:type="spellStart"/>
            <w:r w:rsidRPr="006257CC">
              <w:rPr>
                <w:color w:val="0000FF"/>
              </w:rPr>
              <w:t>suppl</w:t>
            </w:r>
            <w:proofErr w:type="spellEnd"/>
            <w:r w:rsidRPr="006257CC">
              <w:rPr>
                <w:color w:val="0000FF"/>
              </w:rPr>
              <w:t xml:space="preserve"> 1).</w:t>
            </w:r>
          </w:p>
          <w:p w14:paraId="55B8DA89" w14:textId="77777777" w:rsidR="00AB4ECE" w:rsidRPr="006257CC" w:rsidRDefault="00AB4ECE" w:rsidP="002E2177">
            <w:pPr>
              <w:ind w:left="0" w:firstLine="0"/>
              <w:rPr>
                <w:color w:val="0000FF"/>
              </w:rPr>
            </w:pPr>
          </w:p>
        </w:tc>
      </w:tr>
      <w:tr w:rsidR="00AB4ECE" w14:paraId="55B8DA8D" w14:textId="77777777" w:rsidTr="00F90F82">
        <w:tc>
          <w:tcPr>
            <w:tcW w:w="4068" w:type="dxa"/>
          </w:tcPr>
          <w:p w14:paraId="55B8DA8B" w14:textId="77777777" w:rsidR="00AB4ECE" w:rsidRDefault="000E5C93" w:rsidP="002E2177">
            <w:pPr>
              <w:ind w:left="0" w:firstLine="0"/>
            </w:pPr>
            <w:r>
              <w:lastRenderedPageBreak/>
              <w:t xml:space="preserve">Estimates of benefit and consistency across studies </w:t>
            </w:r>
          </w:p>
        </w:tc>
        <w:tc>
          <w:tcPr>
            <w:tcW w:w="5130" w:type="dxa"/>
          </w:tcPr>
          <w:p w14:paraId="55B8DA8C" w14:textId="6CC7C904" w:rsidR="00AB4ECE" w:rsidRPr="006257CC" w:rsidRDefault="00563C95" w:rsidP="002E2177">
            <w:pPr>
              <w:ind w:left="0" w:firstLine="0"/>
              <w:rPr>
                <w:color w:val="0000FF"/>
              </w:rPr>
            </w:pPr>
            <w:r w:rsidRPr="006257CC">
              <w:rPr>
                <w:color w:val="0000FF"/>
              </w:rPr>
              <w:t xml:space="preserve">Among the studies showing a significant improvement in mortality with increasing dose of </w:t>
            </w:r>
            <w:proofErr w:type="spellStart"/>
            <w:r w:rsidRPr="006257CC">
              <w:rPr>
                <w:color w:val="0000FF"/>
              </w:rPr>
              <w:t>spKt</w:t>
            </w:r>
            <w:proofErr w:type="spellEnd"/>
            <w:r w:rsidRPr="006257CC">
              <w:rPr>
                <w:color w:val="0000FF"/>
              </w:rPr>
              <w:t xml:space="preserve">/V, relative risks (RR) were presented as </w:t>
            </w:r>
            <w:proofErr w:type="spellStart"/>
            <w:r w:rsidRPr="006257CC">
              <w:rPr>
                <w:color w:val="0000FF"/>
              </w:rPr>
              <w:t>spKt</w:t>
            </w:r>
            <w:proofErr w:type="spellEnd"/>
            <w:r w:rsidRPr="006257CC">
              <w:rPr>
                <w:color w:val="0000FF"/>
              </w:rPr>
              <w:t xml:space="preserve">/V per increase of 1 unit and </w:t>
            </w:r>
            <w:proofErr w:type="spellStart"/>
            <w:r w:rsidRPr="006257CC">
              <w:rPr>
                <w:color w:val="0000FF"/>
              </w:rPr>
              <w:t>spKt</w:t>
            </w:r>
            <w:proofErr w:type="spellEnd"/>
            <w:r w:rsidRPr="006257CC">
              <w:rPr>
                <w:color w:val="0000FF"/>
              </w:rPr>
              <w:t xml:space="preserve">/V per 0.1 unit, where </w:t>
            </w:r>
            <w:proofErr w:type="spellStart"/>
            <w:r w:rsidRPr="006257CC">
              <w:rPr>
                <w:color w:val="0000FF"/>
              </w:rPr>
              <w:t>spKt</w:t>
            </w:r>
            <w:proofErr w:type="spellEnd"/>
            <w:r w:rsidRPr="006257CC">
              <w:rPr>
                <w:color w:val="0000FF"/>
              </w:rPr>
              <w:t xml:space="preserve">/V was analyzed as a continuous measure. The RR per 1 unit increase in </w:t>
            </w:r>
            <w:proofErr w:type="spellStart"/>
            <w:r w:rsidRPr="006257CC">
              <w:rPr>
                <w:color w:val="0000FF"/>
              </w:rPr>
              <w:t>spKt</w:t>
            </w:r>
            <w:proofErr w:type="spellEnd"/>
            <w:r w:rsidRPr="006257CC">
              <w:rPr>
                <w:color w:val="0000FF"/>
              </w:rPr>
              <w:t xml:space="preserve">/V was 0.76 (95% CI: 0.64, 0.92; p=0.004) [3], and per 0.1 unit increase in </w:t>
            </w:r>
            <w:proofErr w:type="spellStart"/>
            <w:r w:rsidRPr="006257CC">
              <w:rPr>
                <w:color w:val="0000FF"/>
              </w:rPr>
              <w:t>spKt</w:t>
            </w:r>
            <w:proofErr w:type="spellEnd"/>
            <w:r w:rsidRPr="006257CC">
              <w:rPr>
                <w:color w:val="0000FF"/>
              </w:rPr>
              <w:t xml:space="preserve">/V was 0.95; p&lt;0.05 (no CI given) [8]. The HEMO trial found no significant difference in mortality among patients in the high dose group, with mean = 1.56 and SD=0.09, compared to the low dose group with mean=1.16 and SD=0.08 (RR=0.96; 95% CI: 0.84, 1.10) [1], thus supporting the current target </w:t>
            </w:r>
            <w:proofErr w:type="spellStart"/>
            <w:r w:rsidRPr="006257CC">
              <w:rPr>
                <w:color w:val="0000FF"/>
              </w:rPr>
              <w:t>spKt</w:t>
            </w:r>
            <w:proofErr w:type="spellEnd"/>
            <w:r w:rsidRPr="006257CC">
              <w:rPr>
                <w:color w:val="0000FF"/>
              </w:rPr>
              <w:t>/V of 1.2. However, a subgroup analysis of the HEMO study [2] showed that survival rates in women randomized to the higher dose group were higher than women in the lower dose group (relative risk 0.81; p = 0.02) and this association persisted after adjusting for body size. In the remaining study, findings showed patients receiving the highest dialysis dose (</w:t>
            </w:r>
            <w:proofErr w:type="spellStart"/>
            <w:r w:rsidRPr="006257CC">
              <w:rPr>
                <w:color w:val="0000FF"/>
              </w:rPr>
              <w:t>spKt</w:t>
            </w:r>
            <w:proofErr w:type="spellEnd"/>
            <w:r w:rsidRPr="006257CC">
              <w:rPr>
                <w:color w:val="0000FF"/>
              </w:rPr>
              <w:t>/V&gt;2.4) compared to the standard dose group (</w:t>
            </w:r>
            <w:proofErr w:type="spellStart"/>
            <w:r w:rsidRPr="006257CC">
              <w:rPr>
                <w:color w:val="0000FF"/>
              </w:rPr>
              <w:t>spKt</w:t>
            </w:r>
            <w:proofErr w:type="spellEnd"/>
            <w:r w:rsidRPr="006257CC">
              <w:rPr>
                <w:color w:val="0000FF"/>
              </w:rPr>
              <w:t xml:space="preserve">/V 1.2-1.3) had an increased risk of mortality (RR=2.5; p&lt;0.05), although this may be suggestive of confounding by indication. No other significant associations between dose groups were found in this study [9]. All but one study showed a benefit for a minimum dose of dialysis when measured as </w:t>
            </w:r>
            <w:proofErr w:type="spellStart"/>
            <w:r w:rsidRPr="006257CC">
              <w:rPr>
                <w:color w:val="0000FF"/>
              </w:rPr>
              <w:t>spKt</w:t>
            </w:r>
            <w:proofErr w:type="spellEnd"/>
            <w:r w:rsidRPr="006257CC">
              <w:rPr>
                <w:color w:val="0000FF"/>
              </w:rPr>
              <w:t xml:space="preserve">/V. </w:t>
            </w:r>
            <w:r w:rsidRPr="006257CC">
              <w:rPr>
                <w:color w:val="0000FF"/>
              </w:rPr>
              <w:br/>
            </w: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4E72C150" w14:textId="77777777" w:rsidR="00563C95" w:rsidRPr="006257CC" w:rsidRDefault="00563C95" w:rsidP="00563C95">
            <w:pPr>
              <w:ind w:left="0" w:firstLine="0"/>
              <w:rPr>
                <w:color w:val="0000FF"/>
              </w:rPr>
            </w:pPr>
            <w:r w:rsidRPr="006257CC">
              <w:rPr>
                <w:color w:val="0000FF"/>
              </w:rPr>
              <w:t xml:space="preserve">Studies evaluating higher doses of dialysis adequacy did not demonstrate additional benefit at </w:t>
            </w:r>
            <w:proofErr w:type="spellStart"/>
            <w:r w:rsidRPr="006257CC">
              <w:rPr>
                <w:color w:val="0000FF"/>
              </w:rPr>
              <w:t>spKt</w:t>
            </w:r>
            <w:proofErr w:type="spellEnd"/>
            <w:r w:rsidRPr="006257CC">
              <w:rPr>
                <w:color w:val="0000FF"/>
              </w:rPr>
              <w:t xml:space="preserve">/V doses higher than the current target of 1.2. The increase in mortality at the highest dialysis dose is thought to be due to confounding by indication and does not suggest that higher dialysis dose is associated with increased mortality. </w:t>
            </w:r>
          </w:p>
          <w:p w14:paraId="55B8DA8F" w14:textId="77777777" w:rsidR="000E5C93" w:rsidRPr="006257CC" w:rsidRDefault="000E5C93" w:rsidP="002E2177">
            <w:pPr>
              <w:ind w:left="0" w:firstLine="0"/>
              <w:rPr>
                <w:color w:val="0000FF"/>
              </w:rPr>
            </w:pPr>
          </w:p>
        </w:tc>
      </w:tr>
      <w:tr w:rsidR="000E5C93" w14:paraId="55B8DA93" w14:textId="77777777" w:rsidTr="00F90F82">
        <w:tc>
          <w:tcPr>
            <w:tcW w:w="4068" w:type="dxa"/>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tcPr>
          <w:p w14:paraId="55B8DA92" w14:textId="744E42C7" w:rsidR="000E5C93" w:rsidRPr="006257CC" w:rsidRDefault="00F17F99" w:rsidP="002E2177">
            <w:pPr>
              <w:ind w:left="0" w:firstLine="0"/>
              <w:rPr>
                <w:color w:val="0000FF"/>
              </w:rPr>
            </w:pPr>
            <w:r>
              <w:rPr>
                <w:color w:val="0000FF"/>
              </w:rPr>
              <w:t>N/A</w:t>
            </w: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lastRenderedPageBreak/>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77777777" w:rsidR="00837121" w:rsidRPr="003B1CC5" w:rsidRDefault="00837121" w:rsidP="002E2177">
      <w:pPr>
        <w:ind w:left="0" w:firstLine="0"/>
      </w:pPr>
    </w:p>
    <w:p w14:paraId="55B8DA99" w14:textId="49B2111D" w:rsidR="000E5C93" w:rsidRDefault="000E5C93" w:rsidP="002E2177">
      <w:pPr>
        <w:ind w:left="0" w:firstLine="0"/>
      </w:pPr>
      <w:r>
        <w:rPr>
          <w:b/>
          <w:color w:val="0000FF"/>
        </w:rPr>
        <w:t>1a.4</w:t>
      </w:r>
      <w:r w:rsidR="00837121" w:rsidRPr="003B1CC5">
        <w:rPr>
          <w:b/>
          <w:color w:val="0000FF"/>
        </w:rPr>
        <w:t>.1</w:t>
      </w:r>
      <w:r w:rsidR="00837121" w:rsidRPr="003B1CC5">
        <w:rPr>
          <w:color w:val="0070C0"/>
        </w:rPr>
        <w:t xml:space="preserve"> </w:t>
      </w:r>
      <w:proofErr w:type="gramStart"/>
      <w:r w:rsidRPr="000E5C93">
        <w:rPr>
          <w:b/>
        </w:rPr>
        <w:t>B</w:t>
      </w:r>
      <w:r>
        <w:rPr>
          <w:b/>
        </w:rPr>
        <w:t>riefly</w:t>
      </w:r>
      <w:proofErr w:type="gramEnd"/>
      <w:r>
        <w:rPr>
          <w:b/>
        </w:rPr>
        <w:t xml:space="preserve">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4F474ED0" w14:textId="5EAE0BF9" w:rsidR="006257CC" w:rsidRPr="006257CC" w:rsidRDefault="006257CC" w:rsidP="002E2177">
      <w:pPr>
        <w:ind w:left="0" w:firstLine="0"/>
        <w:rPr>
          <w:color w:val="0000FF"/>
        </w:rPr>
      </w:pPr>
      <w:r w:rsidRPr="006257CC">
        <w:rPr>
          <w:color w:val="0000FF"/>
        </w:rPr>
        <w:t>N/A</w:t>
      </w:r>
    </w:p>
    <w:p w14:paraId="55B8DA9A" w14:textId="77777777" w:rsidR="000E5C93" w:rsidRDefault="000E5C93" w:rsidP="002E2177">
      <w:pPr>
        <w:ind w:left="0" w:firstLine="0"/>
        <w:rPr>
          <w:b/>
        </w:rPr>
      </w:pPr>
    </w:p>
    <w:p w14:paraId="55B8DA9B" w14:textId="1CDBB65C" w:rsidR="00837121" w:rsidRDefault="000E5C93" w:rsidP="002E2177">
      <w:pPr>
        <w:ind w:left="0" w:firstLine="0"/>
        <w:rPr>
          <w:b/>
        </w:rPr>
      </w:pPr>
      <w:r w:rsidRPr="000E5C93">
        <w:rPr>
          <w:b/>
          <w:color w:val="244061" w:themeColor="accent1" w:themeShade="80"/>
        </w:rPr>
        <w:t xml:space="preserve">1a.4.2 </w:t>
      </w:r>
      <w:proofErr w:type="gramStart"/>
      <w:r w:rsidR="00837121" w:rsidRPr="003B1CC5">
        <w:rPr>
          <w:b/>
        </w:rPr>
        <w:t>What</w:t>
      </w:r>
      <w:proofErr w:type="gramEnd"/>
      <w:r w:rsidR="00837121" w:rsidRPr="003B1CC5">
        <w:rPr>
          <w:b/>
        </w:rPr>
        <w:t xml:space="preserve"> process was used to identify the evidence?</w:t>
      </w:r>
    </w:p>
    <w:p w14:paraId="33EFAD08" w14:textId="11F67335" w:rsidR="006257CC" w:rsidRPr="003B1CC5" w:rsidRDefault="006257CC" w:rsidP="002E2177">
      <w:pPr>
        <w:ind w:left="0" w:firstLine="0"/>
      </w:pPr>
      <w:r w:rsidRPr="006257CC">
        <w:rPr>
          <w:color w:val="0000FF"/>
        </w:rPr>
        <w:t>N/A</w:t>
      </w:r>
    </w:p>
    <w:p w14:paraId="55B8DA9C" w14:textId="77777777" w:rsidR="00837121" w:rsidRPr="003B1CC5" w:rsidRDefault="00837121" w:rsidP="002E2177">
      <w:pPr>
        <w:ind w:left="0" w:firstLine="0"/>
      </w:pPr>
    </w:p>
    <w:p w14:paraId="55B8DA9D" w14:textId="6F59C597"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61FE1AC1" w14:textId="544612AE" w:rsidR="006257CC" w:rsidRPr="001B772D" w:rsidRDefault="006257CC" w:rsidP="002E2177">
      <w:pPr>
        <w:ind w:left="0" w:firstLine="0"/>
      </w:pPr>
      <w:r w:rsidRPr="006257CC">
        <w:rPr>
          <w:color w:val="0000FF"/>
        </w:rPr>
        <w:t>N/A</w:t>
      </w:r>
    </w:p>
    <w:sectPr w:rsidR="006257CC" w:rsidRPr="001B772D">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3" w14:textId="3D9E4912"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2C3DB5">
      <w:rPr>
        <w:noProof/>
      </w:rPr>
      <w:t>7</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14F0A"/>
    <w:multiLevelType w:val="hybridMultilevel"/>
    <w:tmpl w:val="E7228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19277AD"/>
    <w:multiLevelType w:val="hybridMultilevel"/>
    <w:tmpl w:val="FE56C8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4486E58"/>
    <w:multiLevelType w:val="hybridMultilevel"/>
    <w:tmpl w:val="9552DD5A"/>
    <w:lvl w:ilvl="0" w:tplc="BA9C6D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
  </w:num>
  <w:num w:numId="4">
    <w:abstractNumId w:val="3"/>
  </w:num>
  <w:num w:numId="5">
    <w:abstractNumId w:val="5"/>
  </w:num>
  <w:num w:numId="6">
    <w:abstractNumId w:val="4"/>
  </w:num>
  <w:num w:numId="7">
    <w:abstractNumId w:val="12"/>
  </w:num>
  <w:num w:numId="8">
    <w:abstractNumId w:val="11"/>
  </w:num>
  <w:num w:numId="9">
    <w:abstractNumId w:val="13"/>
  </w:num>
  <w:num w:numId="10">
    <w:abstractNumId w:val="1"/>
  </w:num>
  <w:num w:numId="11">
    <w:abstractNumId w:val="7"/>
  </w:num>
  <w:num w:numId="12">
    <w:abstractNumId w:val="9"/>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0E5C93"/>
    <w:rsid w:val="000F3133"/>
    <w:rsid w:val="000F4A7F"/>
    <w:rsid w:val="00114848"/>
    <w:rsid w:val="00120934"/>
    <w:rsid w:val="00132070"/>
    <w:rsid w:val="00141875"/>
    <w:rsid w:val="0014347E"/>
    <w:rsid w:val="00154438"/>
    <w:rsid w:val="001551F6"/>
    <w:rsid w:val="0015535B"/>
    <w:rsid w:val="00162036"/>
    <w:rsid w:val="001632DD"/>
    <w:rsid w:val="00176E60"/>
    <w:rsid w:val="00194913"/>
    <w:rsid w:val="00194D9A"/>
    <w:rsid w:val="001A196B"/>
    <w:rsid w:val="001A6D05"/>
    <w:rsid w:val="001B38BF"/>
    <w:rsid w:val="001B772D"/>
    <w:rsid w:val="001D5B5D"/>
    <w:rsid w:val="001E6153"/>
    <w:rsid w:val="00201FF9"/>
    <w:rsid w:val="00205857"/>
    <w:rsid w:val="00235ADC"/>
    <w:rsid w:val="00236F87"/>
    <w:rsid w:val="00265702"/>
    <w:rsid w:val="002662B2"/>
    <w:rsid w:val="002717C7"/>
    <w:rsid w:val="002875E9"/>
    <w:rsid w:val="00287EB3"/>
    <w:rsid w:val="002A1079"/>
    <w:rsid w:val="002A47BA"/>
    <w:rsid w:val="002A6777"/>
    <w:rsid w:val="002B06BD"/>
    <w:rsid w:val="002C0E48"/>
    <w:rsid w:val="002C3DB5"/>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D6721"/>
    <w:rsid w:val="003E039E"/>
    <w:rsid w:val="0040230E"/>
    <w:rsid w:val="0041662F"/>
    <w:rsid w:val="00422917"/>
    <w:rsid w:val="00440687"/>
    <w:rsid w:val="0044131D"/>
    <w:rsid w:val="00441ADA"/>
    <w:rsid w:val="00457E46"/>
    <w:rsid w:val="004922E4"/>
    <w:rsid w:val="00496AF8"/>
    <w:rsid w:val="004A575D"/>
    <w:rsid w:val="004B65C6"/>
    <w:rsid w:val="004D1DC7"/>
    <w:rsid w:val="004E7215"/>
    <w:rsid w:val="004F7D7E"/>
    <w:rsid w:val="00500B0C"/>
    <w:rsid w:val="00522B63"/>
    <w:rsid w:val="00537150"/>
    <w:rsid w:val="00540984"/>
    <w:rsid w:val="00543851"/>
    <w:rsid w:val="0055559D"/>
    <w:rsid w:val="005569AE"/>
    <w:rsid w:val="00563C95"/>
    <w:rsid w:val="005857F8"/>
    <w:rsid w:val="00590510"/>
    <w:rsid w:val="005B0D18"/>
    <w:rsid w:val="005B12C3"/>
    <w:rsid w:val="005B409D"/>
    <w:rsid w:val="005D0FDB"/>
    <w:rsid w:val="005D25E9"/>
    <w:rsid w:val="005D6D59"/>
    <w:rsid w:val="0061327A"/>
    <w:rsid w:val="00617390"/>
    <w:rsid w:val="00623420"/>
    <w:rsid w:val="006257CC"/>
    <w:rsid w:val="00634768"/>
    <w:rsid w:val="0063596F"/>
    <w:rsid w:val="006709EB"/>
    <w:rsid w:val="00672824"/>
    <w:rsid w:val="00676BD4"/>
    <w:rsid w:val="0068184A"/>
    <w:rsid w:val="006A0249"/>
    <w:rsid w:val="006B5C51"/>
    <w:rsid w:val="006C7F30"/>
    <w:rsid w:val="006D43FF"/>
    <w:rsid w:val="006E6FDD"/>
    <w:rsid w:val="006F4B7F"/>
    <w:rsid w:val="006F760B"/>
    <w:rsid w:val="00701CC3"/>
    <w:rsid w:val="00724801"/>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37121"/>
    <w:rsid w:val="008471E5"/>
    <w:rsid w:val="00850C35"/>
    <w:rsid w:val="00851466"/>
    <w:rsid w:val="00863E43"/>
    <w:rsid w:val="008647C3"/>
    <w:rsid w:val="008659ED"/>
    <w:rsid w:val="008708DC"/>
    <w:rsid w:val="00870987"/>
    <w:rsid w:val="0087564A"/>
    <w:rsid w:val="00881160"/>
    <w:rsid w:val="0088371C"/>
    <w:rsid w:val="008A45F3"/>
    <w:rsid w:val="008B51D9"/>
    <w:rsid w:val="008B652E"/>
    <w:rsid w:val="008C11E7"/>
    <w:rsid w:val="008D05B7"/>
    <w:rsid w:val="008F1DC6"/>
    <w:rsid w:val="008F6F51"/>
    <w:rsid w:val="00905C5B"/>
    <w:rsid w:val="00923295"/>
    <w:rsid w:val="00925F11"/>
    <w:rsid w:val="00935265"/>
    <w:rsid w:val="0094689F"/>
    <w:rsid w:val="009477D6"/>
    <w:rsid w:val="00953ED3"/>
    <w:rsid w:val="00965FF6"/>
    <w:rsid w:val="00967A8C"/>
    <w:rsid w:val="009846D6"/>
    <w:rsid w:val="0098657F"/>
    <w:rsid w:val="009A3236"/>
    <w:rsid w:val="009B5A93"/>
    <w:rsid w:val="009B5BEA"/>
    <w:rsid w:val="009C291F"/>
    <w:rsid w:val="009E37BD"/>
    <w:rsid w:val="009E6B86"/>
    <w:rsid w:val="00A03301"/>
    <w:rsid w:val="00A12762"/>
    <w:rsid w:val="00A13867"/>
    <w:rsid w:val="00A26FED"/>
    <w:rsid w:val="00A421D4"/>
    <w:rsid w:val="00A439AD"/>
    <w:rsid w:val="00A44FF0"/>
    <w:rsid w:val="00A50E55"/>
    <w:rsid w:val="00A67EB1"/>
    <w:rsid w:val="00A8730E"/>
    <w:rsid w:val="00A9011D"/>
    <w:rsid w:val="00A91A47"/>
    <w:rsid w:val="00A95D2B"/>
    <w:rsid w:val="00AA5587"/>
    <w:rsid w:val="00AB4ECE"/>
    <w:rsid w:val="00AC1E53"/>
    <w:rsid w:val="00AC6749"/>
    <w:rsid w:val="00AD79C8"/>
    <w:rsid w:val="00AE6CE0"/>
    <w:rsid w:val="00AF20E1"/>
    <w:rsid w:val="00B058A6"/>
    <w:rsid w:val="00B117D0"/>
    <w:rsid w:val="00B13998"/>
    <w:rsid w:val="00B35C5F"/>
    <w:rsid w:val="00B439DD"/>
    <w:rsid w:val="00B52E0F"/>
    <w:rsid w:val="00B74629"/>
    <w:rsid w:val="00B91F58"/>
    <w:rsid w:val="00BA579E"/>
    <w:rsid w:val="00BE2295"/>
    <w:rsid w:val="00BE6373"/>
    <w:rsid w:val="00BF533A"/>
    <w:rsid w:val="00C41794"/>
    <w:rsid w:val="00C46677"/>
    <w:rsid w:val="00C5180E"/>
    <w:rsid w:val="00C54E40"/>
    <w:rsid w:val="00C55F56"/>
    <w:rsid w:val="00C57BA4"/>
    <w:rsid w:val="00C613EB"/>
    <w:rsid w:val="00C71C1A"/>
    <w:rsid w:val="00C84623"/>
    <w:rsid w:val="00CB06C9"/>
    <w:rsid w:val="00CB1E41"/>
    <w:rsid w:val="00CB271C"/>
    <w:rsid w:val="00CC0F87"/>
    <w:rsid w:val="00CE4F96"/>
    <w:rsid w:val="00CF0AB1"/>
    <w:rsid w:val="00CF4B9B"/>
    <w:rsid w:val="00CF55E6"/>
    <w:rsid w:val="00CF772F"/>
    <w:rsid w:val="00D0398C"/>
    <w:rsid w:val="00D048DB"/>
    <w:rsid w:val="00D14F0B"/>
    <w:rsid w:val="00D178CA"/>
    <w:rsid w:val="00D3311C"/>
    <w:rsid w:val="00D53405"/>
    <w:rsid w:val="00D5457B"/>
    <w:rsid w:val="00D72995"/>
    <w:rsid w:val="00D73685"/>
    <w:rsid w:val="00DA7FA2"/>
    <w:rsid w:val="00DC2D8D"/>
    <w:rsid w:val="00DC7F67"/>
    <w:rsid w:val="00DE1F5D"/>
    <w:rsid w:val="00DE50D8"/>
    <w:rsid w:val="00DF278A"/>
    <w:rsid w:val="00DF74B6"/>
    <w:rsid w:val="00E04599"/>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E1F87"/>
    <w:rsid w:val="00EE3931"/>
    <w:rsid w:val="00EE5AF6"/>
    <w:rsid w:val="00EF2CEF"/>
    <w:rsid w:val="00F03FD0"/>
    <w:rsid w:val="00F1092D"/>
    <w:rsid w:val="00F17F99"/>
    <w:rsid w:val="00F42C20"/>
    <w:rsid w:val="00F431D8"/>
    <w:rsid w:val="00F63E8D"/>
    <w:rsid w:val="00F67706"/>
    <w:rsid w:val="00F81FE3"/>
    <w:rsid w:val="00F90F82"/>
    <w:rsid w:val="00F92D75"/>
    <w:rsid w:val="00F97327"/>
    <w:rsid w:val="00FA296F"/>
    <w:rsid w:val="00FA7323"/>
    <w:rsid w:val="00FB1299"/>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customStyle="1" w:styleId="highlight">
    <w:name w:val="highlight"/>
    <w:basedOn w:val="DefaultParagraphFont"/>
    <w:rsid w:val="00563C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
      <w:docPartPr>
        <w:name w:val="5D9EAC6077814B12A49E3A00F6B5B00E"/>
        <w:category>
          <w:name w:val="General"/>
          <w:gallery w:val="placeholder"/>
        </w:category>
        <w:types>
          <w:type w:val="bbPlcHdr"/>
        </w:types>
        <w:behaviors>
          <w:behavior w:val="content"/>
        </w:behaviors>
        <w:guid w:val="{FD0D38F7-7037-4A3D-A35C-85A715A8F532}"/>
      </w:docPartPr>
      <w:docPartBody>
        <w:p w:rsidR="000F6A1E" w:rsidRDefault="007D283C" w:rsidP="007D283C">
          <w:pPr>
            <w:pStyle w:val="5D9EAC6077814B12A49E3A00F6B5B00E"/>
          </w:pPr>
          <w:r w:rsidRPr="003B1C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F6A1E"/>
    <w:rsid w:val="00160241"/>
    <w:rsid w:val="001F47A0"/>
    <w:rsid w:val="002B5F47"/>
    <w:rsid w:val="003A1E4B"/>
    <w:rsid w:val="00455EB5"/>
    <w:rsid w:val="00461C1C"/>
    <w:rsid w:val="004E2027"/>
    <w:rsid w:val="005F21F3"/>
    <w:rsid w:val="007D283C"/>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283C"/>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 w:type="paragraph" w:customStyle="1" w:styleId="5D9EAC6077814B12A49E3A00F6B5B00E">
    <w:name w:val="5D9EAC6077814B12A49E3A00F6B5B00E"/>
    <w:rsid w:val="007D283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2.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3.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2CDBE7-7F08-4F52-B308-EE351D989842}">
  <ds:schemaRefs>
    <ds:schemaRef ds:uri="http://purl.org/dc/elements/1.1/"/>
    <ds:schemaRef ds:uri="http://purl.org/dc/terms/"/>
    <ds:schemaRef ds:uri="http://schemas.microsoft.com/office/infopath/2007/PartnerControls"/>
    <ds:schemaRef ds:uri="http://schemas.microsoft.com/office/2006/documentManagement/types"/>
    <ds:schemaRef ds:uri="836b82f1-340d-495e-85b5-201c5296619a"/>
    <ds:schemaRef ds:uri="http://www.w3.org/XML/1998/namespace"/>
    <ds:schemaRef ds:uri="http://schemas.openxmlformats.org/package/2006/metadata/core-properties"/>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7EDEA7B6-3AC5-456F-9096-EA8A6F2AC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2539</Words>
  <Characters>14473</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16979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Jennifer Sardone</cp:lastModifiedBy>
  <cp:revision>10</cp:revision>
  <dcterms:created xsi:type="dcterms:W3CDTF">2019-02-26T01:08:00Z</dcterms:created>
  <dcterms:modified xsi:type="dcterms:W3CDTF">2019-04-02T15:16:00Z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