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0570736F"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sdt>
            <w:sdtPr>
              <w:rPr>
                <w:rStyle w:val="Style1"/>
              </w:rPr>
              <w:id w:val="-1368976421"/>
              <w:placeholder>
                <w:docPart w:val="322D7469ED704723BB557ACB1FD45C5C"/>
              </w:placeholder>
            </w:sdtPr>
            <w:sdtEndPr>
              <w:rPr>
                <w:rStyle w:val="DefaultParagraphFont"/>
                <w:rFonts w:cstheme="minorHAnsi"/>
                <w:b/>
                <w:noProof/>
                <w:color w:val="auto"/>
              </w:rPr>
            </w:sdtEndPr>
            <w:sdtContent>
              <w:r w:rsidR="000E74CD">
                <w:rPr>
                  <w:rStyle w:val="Style1"/>
                </w:rPr>
                <w:t>1423</w:t>
              </w:r>
            </w:sdtContent>
          </w:sdt>
        </w:sdtContent>
      </w:sdt>
    </w:p>
    <w:p w14:paraId="55B8DA2F" w14:textId="49FF74CB"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923252161"/>
              <w:placeholder>
                <w:docPart w:val="5D9EAC6077814B12A49E3A00F6B5B00E"/>
              </w:placeholder>
            </w:sdtPr>
            <w:sdtEndPr>
              <w:rPr>
                <w:rStyle w:val="DefaultParagraphFont"/>
                <w:noProof/>
                <w:color w:val="auto"/>
              </w:rPr>
            </w:sdtEndPr>
            <w:sdtContent>
              <w:sdt>
                <w:sdtPr>
                  <w:rPr>
                    <w:rStyle w:val="Style1"/>
                  </w:rPr>
                  <w:id w:val="510727747"/>
                  <w:placeholder>
                    <w:docPart w:val="15E62E71A05D47D9BEEBEE9875565FF3"/>
                  </w:placeholder>
                </w:sdtPr>
                <w:sdtEndPr>
                  <w:rPr>
                    <w:rStyle w:val="DefaultParagraphFont"/>
                    <w:noProof/>
                    <w:color w:val="auto"/>
                  </w:rPr>
                </w:sdtEndPr>
                <w:sdtContent>
                  <w:r w:rsidR="000E74CD" w:rsidRPr="000E74CD">
                    <w:rPr>
                      <w:color w:val="0000FF"/>
                    </w:rPr>
                    <w:t xml:space="preserve">Minimum </w:t>
                  </w:r>
                  <w:proofErr w:type="spellStart"/>
                  <w:r w:rsidR="000E74CD" w:rsidRPr="000E74CD">
                    <w:rPr>
                      <w:color w:val="0000FF"/>
                    </w:rPr>
                    <w:t>spKt</w:t>
                  </w:r>
                  <w:proofErr w:type="spellEnd"/>
                  <w:r w:rsidR="000E74CD" w:rsidRPr="000E74CD">
                    <w:rPr>
                      <w:color w:val="0000FF"/>
                    </w:rPr>
                    <w:t>/V for Pediatric Hemodialysis Patients</w:t>
                  </w:r>
                </w:sdtContent>
              </w:sdt>
              <w:r w:rsidR="000E74CD">
                <w:rPr>
                  <w:noProof/>
                </w:rPr>
                <w:t xml:space="preserve"> </w:t>
              </w:r>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5774A005"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2T00:00:00Z">
            <w:dateFormat w:val="M/d/yyyy"/>
            <w:lid w:val="en-US"/>
            <w:storeMappedDataAs w:val="dateTime"/>
            <w:calendar w:val="gregorian"/>
          </w:date>
        </w:sdtPr>
        <w:sdtEndPr>
          <w:rPr>
            <w:rStyle w:val="DefaultParagraphFont"/>
            <w:noProof/>
            <w:color w:val="auto"/>
            <w:u w:val="none"/>
          </w:rPr>
        </w:sdtEndPr>
        <w:sdtContent>
          <w:r w:rsidR="00387B66">
            <w:rPr>
              <w:rStyle w:val="Style2"/>
            </w:rPr>
            <w:t>4/2</w:t>
          </w:r>
          <w:r w:rsidR="00563C95">
            <w:rPr>
              <w:rStyle w:val="Style2"/>
            </w:rPr>
            <w:t>/2019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proofErr w:type="gramStart"/>
            <w:r w:rsidRPr="003B1CC5">
              <w:rPr>
                <w:rFonts w:eastAsia="Calibri" w:cs="Calibri"/>
                <w:sz w:val="20"/>
                <w:szCs w:val="20"/>
              </w:rPr>
              <w:lastRenderedPageBreak/>
              <w:t>step</w:t>
            </w:r>
            <w:proofErr w:type="gramEnd"/>
            <w:r w:rsidRPr="003B1CC5">
              <w:rPr>
                <w:rFonts w:eastAsia="Calibri" w:cs="Calibri"/>
                <w:sz w:val="20"/>
                <w:szCs w:val="20"/>
              </w:rPr>
              <w:t xml:space="preserve">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387B66"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387B66"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39F3795" w:rsidR="00496AF8" w:rsidRPr="003B1CC5" w:rsidRDefault="00387B66" w:rsidP="004E7215">
      <w:pPr>
        <w:rPr>
          <w:bCs/>
        </w:rPr>
      </w:pPr>
      <w:sdt>
        <w:sdtPr>
          <w:rPr>
            <w:bCs/>
            <w:color w:val="0000FF"/>
          </w:rPr>
          <w:id w:val="-720977531"/>
          <w14:checkbox>
            <w14:checked w14:val="1"/>
            <w14:checkedState w14:val="2612" w14:font="MS Gothic"/>
            <w14:uncheckedState w14:val="2610" w14:font="MS Gothic"/>
          </w14:checkbox>
        </w:sdtPr>
        <w:sdtEndPr/>
        <w:sdtContent>
          <w:r w:rsidR="00563C95">
            <w:rPr>
              <w:rFonts w:ascii="MS Gothic" w:eastAsia="MS Gothic" w:hAnsi="MS Gothic" w:hint="eastAsia"/>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proofErr w:type="spellStart"/>
          <w:r w:rsidR="00563C95">
            <w:rPr>
              <w:rStyle w:val="Style2"/>
              <w:rFonts w:cstheme="minorHAnsi"/>
            </w:rPr>
            <w:t>Kt</w:t>
          </w:r>
          <w:proofErr w:type="spellEnd"/>
          <w:r w:rsidR="00563C95">
            <w:rPr>
              <w:rStyle w:val="Style2"/>
              <w:rFonts w:cstheme="minorHAnsi"/>
            </w:rPr>
            <w:t>/V</w:t>
          </w:r>
        </w:sdtContent>
      </w:sdt>
    </w:p>
    <w:p w14:paraId="55B8DA55" w14:textId="77777777" w:rsidR="00D73685" w:rsidRDefault="00387B66"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387B66"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387B66"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A47D816"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1398434" w14:textId="0B061704" w:rsidR="00563C95" w:rsidRDefault="00563C95" w:rsidP="002B06BD">
      <w:pPr>
        <w:ind w:left="432" w:hanging="432"/>
        <w:rPr>
          <w:iCs/>
        </w:rPr>
      </w:pPr>
    </w:p>
    <w:p w14:paraId="3E062F61" w14:textId="77777777" w:rsidR="000E74CD" w:rsidRPr="000E74CD" w:rsidRDefault="000E74CD" w:rsidP="000E74CD">
      <w:pPr>
        <w:ind w:left="0" w:firstLine="0"/>
        <w:rPr>
          <w:color w:val="0000FF"/>
        </w:rPr>
      </w:pPr>
      <w:r w:rsidRPr="000E74CD">
        <w:rPr>
          <w:color w:val="0000FF"/>
        </w:rPr>
        <w:t xml:space="preserve">The measure focus is measurement of </w:t>
      </w:r>
      <w:proofErr w:type="spellStart"/>
      <w:r w:rsidRPr="000E74CD">
        <w:rPr>
          <w:color w:val="0000FF"/>
        </w:rPr>
        <w:t>spKt</w:t>
      </w:r>
      <w:proofErr w:type="spellEnd"/>
      <w:r w:rsidRPr="000E74CD">
        <w:rPr>
          <w:color w:val="0000FF"/>
        </w:rPr>
        <w:t xml:space="preserve">/V &gt;= 1.2. This process leads to improvement in mortality as follows: Measure </w:t>
      </w:r>
      <w:proofErr w:type="spellStart"/>
      <w:r w:rsidRPr="000E74CD">
        <w:rPr>
          <w:color w:val="0000FF"/>
        </w:rPr>
        <w:t>spKt</w:t>
      </w:r>
      <w:proofErr w:type="spellEnd"/>
      <w:r w:rsidRPr="000E74CD">
        <w:rPr>
          <w:color w:val="0000FF"/>
        </w:rPr>
        <w:t>/V--&gt; Assess value--&gt;Impact on mortality.</w:t>
      </w:r>
    </w:p>
    <w:p w14:paraId="03ADA927" w14:textId="77777777" w:rsidR="00563C95" w:rsidRPr="00676BD4" w:rsidRDefault="00563C95" w:rsidP="002B06BD">
      <w:pPr>
        <w:ind w:left="432" w:hanging="432"/>
        <w:rPr>
          <w:iCs/>
        </w:rPr>
      </w:pPr>
    </w:p>
    <w:p w14:paraId="55B8DA5B" w14:textId="77777777" w:rsidR="002B06BD" w:rsidRPr="003B1CC5" w:rsidRDefault="002B06BD"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5D" w14:textId="21C95AC4" w:rsidR="00676BD4" w:rsidRPr="00563C95" w:rsidRDefault="00563C95" w:rsidP="002E2177">
      <w:pPr>
        <w:ind w:left="432" w:hanging="432"/>
        <w:rPr>
          <w:color w:val="0000FF"/>
        </w:rPr>
      </w:pPr>
      <w:r w:rsidRPr="00563C95">
        <w:rPr>
          <w:color w:val="0000FF"/>
        </w:rPr>
        <w:t>N/A</w:t>
      </w: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2A444455" w14:textId="77777777" w:rsidR="00563C95" w:rsidRPr="00563C95" w:rsidRDefault="00563C95" w:rsidP="00563C95">
      <w:pPr>
        <w:ind w:left="432" w:hanging="432"/>
        <w:rPr>
          <w:color w:val="0000FF"/>
        </w:rPr>
      </w:pPr>
      <w:r w:rsidRPr="00563C95">
        <w:rPr>
          <w:color w:val="0000FF"/>
        </w:rPr>
        <w:t>N/A</w:t>
      </w:r>
    </w:p>
    <w:p w14:paraId="55B8DA64" w14:textId="77777777" w:rsidR="00D14F0B" w:rsidRPr="003B1CC5" w:rsidRDefault="00D14F0B" w:rsidP="002E2177">
      <w:pPr>
        <w:ind w:left="0" w:firstLine="0"/>
        <w:rPr>
          <w:iCs/>
        </w:rPr>
      </w:pPr>
    </w:p>
    <w:p w14:paraId="55B8DA65" w14:textId="77777777" w:rsidR="00676BD4" w:rsidRPr="00563C95" w:rsidRDefault="00676BD4" w:rsidP="002E2177">
      <w:pPr>
        <w:ind w:left="0" w:firstLine="0"/>
        <w:rPr>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lastRenderedPageBreak/>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29FBA718" w:rsidR="00A9011D" w:rsidRPr="00A9011D" w:rsidRDefault="00563C95" w:rsidP="00A9011D">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X</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ayout w:type="fixed"/>
        <w:tblLook w:val="04A0" w:firstRow="1" w:lastRow="0" w:firstColumn="1" w:lastColumn="0" w:noHBand="0" w:noVBand="1"/>
      </w:tblPr>
      <w:tblGrid>
        <w:gridCol w:w="4675"/>
        <w:gridCol w:w="4675"/>
      </w:tblGrid>
      <w:tr w:rsidR="00AB4ECE" w14:paraId="55B8DA76" w14:textId="77777777" w:rsidTr="00413588">
        <w:tc>
          <w:tcPr>
            <w:tcW w:w="4675"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4675" w:type="dxa"/>
          </w:tcPr>
          <w:p w14:paraId="008714FD" w14:textId="77777777" w:rsidR="00413588" w:rsidRPr="00413588" w:rsidRDefault="00413588" w:rsidP="00413588">
            <w:pPr>
              <w:ind w:left="0" w:firstLine="0"/>
              <w:rPr>
                <w:color w:val="0000FF"/>
              </w:rPr>
            </w:pPr>
            <w:r w:rsidRPr="00413588">
              <w:rPr>
                <w:color w:val="0000FF"/>
              </w:rPr>
              <w:t xml:space="preserve">Clinical Practice Guidelines for Hemodialysis Adequacy: </w:t>
            </w:r>
          </w:p>
          <w:p w14:paraId="593CD433" w14:textId="77777777" w:rsidR="00413588" w:rsidRPr="00413588" w:rsidRDefault="00413588" w:rsidP="00413588">
            <w:pPr>
              <w:ind w:left="0" w:firstLine="0"/>
              <w:rPr>
                <w:color w:val="0000FF"/>
              </w:rPr>
            </w:pPr>
            <w:r w:rsidRPr="00413588">
              <w:rPr>
                <w:color w:val="0000FF"/>
              </w:rPr>
              <w:t>KDOQI Guideline 8. Pediatric Hemodialysis Prescription and Adequacy: 2006.</w:t>
            </w:r>
          </w:p>
          <w:p w14:paraId="55B8DA75" w14:textId="0DA57B67" w:rsidR="00AB4ECE" w:rsidRPr="006257CC" w:rsidRDefault="00413588" w:rsidP="00413588">
            <w:pPr>
              <w:ind w:left="0" w:firstLine="0"/>
              <w:rPr>
                <w:b/>
                <w:color w:val="0000FF"/>
              </w:rPr>
            </w:pPr>
            <w:r w:rsidRPr="00413588">
              <w:rPr>
                <w:color w:val="0000FF"/>
              </w:rPr>
              <w:t>http://www2.kidney.org/professionals/KDOQI/guideline_upHD_PD_VA/hd_guide8.htm</w:t>
            </w:r>
          </w:p>
        </w:tc>
      </w:tr>
      <w:tr w:rsidR="00AB4ECE" w14:paraId="55B8DA79" w14:textId="77777777" w:rsidTr="00413588">
        <w:tc>
          <w:tcPr>
            <w:tcW w:w="4675"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4675" w:type="dxa"/>
          </w:tcPr>
          <w:p w14:paraId="55B8DA78" w14:textId="1B03AE44" w:rsidR="00AB4ECE" w:rsidRPr="006257CC" w:rsidRDefault="00413588" w:rsidP="002E2177">
            <w:pPr>
              <w:ind w:left="0" w:firstLine="0"/>
              <w:rPr>
                <w:color w:val="0000FF"/>
              </w:rPr>
            </w:pPr>
            <w:r w:rsidRPr="00413588">
              <w:rPr>
                <w:color w:val="0000FF"/>
              </w:rPr>
              <w:t>8.3.1 Children should receive at least the delivered dialysis dose as recommended for the adult population. (A)</w:t>
            </w:r>
          </w:p>
        </w:tc>
      </w:tr>
      <w:tr w:rsidR="00AB4ECE" w14:paraId="55B8DA7C" w14:textId="77777777" w:rsidTr="00413588">
        <w:tc>
          <w:tcPr>
            <w:tcW w:w="4675"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4675" w:type="dxa"/>
          </w:tcPr>
          <w:p w14:paraId="55B8DA7B" w14:textId="314F069F" w:rsidR="00AB4ECE" w:rsidRPr="006257CC" w:rsidRDefault="00413588" w:rsidP="002E2177">
            <w:pPr>
              <w:ind w:left="0" w:firstLine="0"/>
              <w:rPr>
                <w:color w:val="0000FF"/>
              </w:rPr>
            </w:pPr>
            <w:r>
              <w:rPr>
                <w:color w:val="0000FF"/>
              </w:rPr>
              <w:t>N/A</w:t>
            </w:r>
          </w:p>
        </w:tc>
      </w:tr>
      <w:tr w:rsidR="00AB4ECE" w14:paraId="55B8DA7F" w14:textId="77777777" w:rsidTr="00413588">
        <w:tc>
          <w:tcPr>
            <w:tcW w:w="4675" w:type="dxa"/>
          </w:tcPr>
          <w:p w14:paraId="55B8DA7D" w14:textId="77777777" w:rsidR="00AB4ECE" w:rsidRDefault="00AB4ECE" w:rsidP="00E42FAA">
            <w:pPr>
              <w:ind w:left="0" w:firstLine="0"/>
            </w:pPr>
            <w:r>
              <w:t>Provide all other grades and definitions from the evidence grading system</w:t>
            </w:r>
          </w:p>
        </w:tc>
        <w:tc>
          <w:tcPr>
            <w:tcW w:w="4675" w:type="dxa"/>
          </w:tcPr>
          <w:p w14:paraId="55B8DA7E" w14:textId="3B7B3F5E" w:rsidR="00AB4ECE" w:rsidRPr="006257CC" w:rsidRDefault="00413588" w:rsidP="00DF74B6">
            <w:pPr>
              <w:ind w:left="0" w:firstLine="0"/>
              <w:rPr>
                <w:color w:val="0000FF"/>
              </w:rPr>
            </w:pPr>
            <w:r>
              <w:rPr>
                <w:color w:val="0000FF"/>
              </w:rPr>
              <w:t>N/A</w:t>
            </w:r>
          </w:p>
        </w:tc>
      </w:tr>
      <w:tr w:rsidR="00AB4ECE" w14:paraId="55B8DA82" w14:textId="77777777" w:rsidTr="00413588">
        <w:tc>
          <w:tcPr>
            <w:tcW w:w="4675" w:type="dxa"/>
          </w:tcPr>
          <w:p w14:paraId="55B8DA80" w14:textId="77777777" w:rsidR="00AB4ECE" w:rsidRPr="00522B63" w:rsidRDefault="00AB4ECE" w:rsidP="00E42FAA">
            <w:pPr>
              <w:ind w:left="0" w:firstLine="0"/>
            </w:pPr>
            <w:r w:rsidRPr="00522B63">
              <w:t xml:space="preserve">Grade assigned to the </w:t>
            </w:r>
            <w:r w:rsidRPr="00522B63">
              <w:rPr>
                <w:b/>
              </w:rPr>
              <w:t>recommendation</w:t>
            </w:r>
            <w:r w:rsidRPr="00522B63">
              <w:t xml:space="preserve"> with definition of the grade</w:t>
            </w:r>
          </w:p>
        </w:tc>
        <w:tc>
          <w:tcPr>
            <w:tcW w:w="4675" w:type="dxa"/>
          </w:tcPr>
          <w:p w14:paraId="773529BF" w14:textId="77777777" w:rsidR="00413588" w:rsidRPr="00413588" w:rsidRDefault="00413588" w:rsidP="00413588">
            <w:pPr>
              <w:ind w:left="0" w:firstLine="0"/>
              <w:rPr>
                <w:color w:val="0000FF"/>
              </w:rPr>
            </w:pPr>
            <w:r w:rsidRPr="00413588">
              <w:rPr>
                <w:color w:val="0000FF"/>
              </w:rPr>
              <w:t>KDOQI CPG 8.3.1 rating strength grade is ‘A’. The recommendation for Grade A guidelines states ‘It is strongly recommended that clinicians routinely follow the guideline for eligible patients. There is strong evidence that the practice improves health outcomes.’</w:t>
            </w:r>
          </w:p>
          <w:p w14:paraId="55B8DA81" w14:textId="7B0F1192" w:rsidR="00DF74B6" w:rsidRPr="00413588" w:rsidRDefault="00DF74B6" w:rsidP="00413588">
            <w:pPr>
              <w:ind w:left="0" w:firstLine="0"/>
              <w:rPr>
                <w:color w:val="0000FF"/>
              </w:rPr>
            </w:pPr>
          </w:p>
        </w:tc>
      </w:tr>
      <w:tr w:rsidR="00AB4ECE" w14:paraId="55B8DA85" w14:textId="77777777" w:rsidTr="00413588">
        <w:tc>
          <w:tcPr>
            <w:tcW w:w="4675" w:type="dxa"/>
          </w:tcPr>
          <w:p w14:paraId="55B8DA83" w14:textId="77777777" w:rsidR="00AB4ECE" w:rsidRPr="00522B63" w:rsidRDefault="00AB4ECE" w:rsidP="00E42FAA">
            <w:pPr>
              <w:ind w:left="0" w:firstLine="0"/>
            </w:pPr>
            <w:r w:rsidRPr="00522B63">
              <w:t>Provide all other grades and definitions from the recommendation grading system</w:t>
            </w:r>
          </w:p>
        </w:tc>
        <w:tc>
          <w:tcPr>
            <w:tcW w:w="4675" w:type="dxa"/>
          </w:tcPr>
          <w:p w14:paraId="682816AB" w14:textId="77777777" w:rsidR="00413588" w:rsidRPr="00413588" w:rsidRDefault="00413588" w:rsidP="00413588">
            <w:pPr>
              <w:ind w:left="0" w:firstLine="0"/>
              <w:rPr>
                <w:color w:val="0000FF"/>
              </w:rPr>
            </w:pPr>
            <w:r w:rsidRPr="00413588">
              <w:rPr>
                <w:color w:val="0000FF"/>
              </w:rPr>
              <w:t>The rating system defined in the KDOQI Guidelines was used to grade the strength of the Guideline recommendation. KDOQI defined grades as follows:</w:t>
            </w:r>
          </w:p>
          <w:p w14:paraId="64FA7BEE" w14:textId="77777777" w:rsidR="00413588" w:rsidRPr="00413588" w:rsidRDefault="00413588" w:rsidP="00413588">
            <w:pPr>
              <w:ind w:left="0" w:firstLine="0"/>
              <w:rPr>
                <w:color w:val="0000FF"/>
              </w:rPr>
            </w:pPr>
            <w:r w:rsidRPr="00413588">
              <w:rPr>
                <w:color w:val="0000FF"/>
              </w:rPr>
              <w:t>Grade A: It is strongly recommended that clinicians routinely follow the guideline for eligible patients. There is strong evidence that the practice improves health outcomes.</w:t>
            </w:r>
          </w:p>
          <w:p w14:paraId="7871432E" w14:textId="77777777" w:rsidR="00413588" w:rsidRPr="00413588" w:rsidRDefault="00413588" w:rsidP="00413588">
            <w:pPr>
              <w:ind w:left="0" w:firstLine="0"/>
              <w:rPr>
                <w:color w:val="0000FF"/>
              </w:rPr>
            </w:pPr>
            <w:r w:rsidRPr="00413588">
              <w:rPr>
                <w:color w:val="0000FF"/>
              </w:rPr>
              <w:lastRenderedPageBreak/>
              <w:t>Grade B: It is recommended that clinicians routinely follow the guideline for eligible patients. There is moderately strong evidence that the practice improves health outcomes.</w:t>
            </w:r>
          </w:p>
          <w:p w14:paraId="2C2B473B" w14:textId="77777777" w:rsidR="00413588" w:rsidRPr="00413588" w:rsidRDefault="00413588" w:rsidP="00413588">
            <w:pPr>
              <w:ind w:left="0" w:firstLine="0"/>
              <w:rPr>
                <w:color w:val="0000FF"/>
              </w:rPr>
            </w:pPr>
            <w:r w:rsidRPr="00413588">
              <w:rPr>
                <w:color w:val="0000FF"/>
              </w:rPr>
              <w:t>Grade CPR: It is recommended that clinicians consider following the guideline for eligible patients. This recommendation is based on either weak evidence or on the opinions of the Work Group and reviewers that the practice might improve health outcomes.</w:t>
            </w:r>
          </w:p>
          <w:p w14:paraId="55B8DA84" w14:textId="0C220C99" w:rsidR="00DF74B6" w:rsidRPr="00413588" w:rsidRDefault="00DF74B6" w:rsidP="00413588">
            <w:pPr>
              <w:rPr>
                <w:color w:val="0000FF"/>
              </w:rPr>
            </w:pPr>
          </w:p>
        </w:tc>
      </w:tr>
      <w:tr w:rsidR="00AB4ECE" w14:paraId="55B8DA8A" w14:textId="77777777" w:rsidTr="00413588">
        <w:tc>
          <w:tcPr>
            <w:tcW w:w="4675" w:type="dxa"/>
          </w:tcPr>
          <w:p w14:paraId="55B8DA86" w14:textId="77777777" w:rsidR="00AB4ECE" w:rsidRDefault="000E5C93" w:rsidP="002E2177">
            <w:pPr>
              <w:ind w:left="0" w:firstLine="0"/>
            </w:pPr>
            <w:r>
              <w:lastRenderedPageBreak/>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4675" w:type="dxa"/>
          </w:tcPr>
          <w:p w14:paraId="55B8DA89" w14:textId="4C8DCA3B" w:rsidR="00AB4ECE" w:rsidRPr="006257CC" w:rsidRDefault="00387B66" w:rsidP="002E2177">
            <w:pPr>
              <w:ind w:left="0" w:firstLine="0"/>
              <w:rPr>
                <w:color w:val="0000FF"/>
              </w:rPr>
            </w:pPr>
            <w:r>
              <w:rPr>
                <w:color w:val="0000FF"/>
              </w:rPr>
              <w:t>N/A</w:t>
            </w:r>
          </w:p>
        </w:tc>
      </w:tr>
      <w:tr w:rsidR="00AB4ECE" w14:paraId="55B8DA8D" w14:textId="77777777" w:rsidTr="00413588">
        <w:tc>
          <w:tcPr>
            <w:tcW w:w="4675" w:type="dxa"/>
          </w:tcPr>
          <w:p w14:paraId="55B8DA8B" w14:textId="77777777" w:rsidR="00AB4ECE" w:rsidRDefault="000E5C93" w:rsidP="002E2177">
            <w:pPr>
              <w:ind w:left="0" w:firstLine="0"/>
            </w:pPr>
            <w:r>
              <w:t xml:space="preserve">Estimates of benefit and consistency across studies </w:t>
            </w:r>
          </w:p>
        </w:tc>
        <w:tc>
          <w:tcPr>
            <w:tcW w:w="4675" w:type="dxa"/>
          </w:tcPr>
          <w:p w14:paraId="55B8DA8C" w14:textId="273B992F" w:rsidR="00AB4ECE" w:rsidRPr="006257CC" w:rsidRDefault="00387B66" w:rsidP="002E2177">
            <w:pPr>
              <w:ind w:left="0" w:firstLine="0"/>
              <w:rPr>
                <w:color w:val="0000FF"/>
              </w:rPr>
            </w:pPr>
            <w:r>
              <w:rPr>
                <w:color w:val="0000FF"/>
              </w:rPr>
              <w:t>N/A</w:t>
            </w:r>
          </w:p>
        </w:tc>
      </w:tr>
      <w:tr w:rsidR="000E5C93" w14:paraId="55B8DA90" w14:textId="77777777" w:rsidTr="00413588">
        <w:tc>
          <w:tcPr>
            <w:tcW w:w="4675" w:type="dxa"/>
          </w:tcPr>
          <w:p w14:paraId="55B8DA8E" w14:textId="77777777" w:rsidR="000E5C93" w:rsidRDefault="000E5C93" w:rsidP="002E2177">
            <w:pPr>
              <w:ind w:left="0" w:firstLine="0"/>
            </w:pPr>
            <w:r>
              <w:t>What harms were identified?</w:t>
            </w:r>
          </w:p>
        </w:tc>
        <w:tc>
          <w:tcPr>
            <w:tcW w:w="4675" w:type="dxa"/>
          </w:tcPr>
          <w:p w14:paraId="55B8DA8F" w14:textId="23AB1082" w:rsidR="000E5C93" w:rsidRPr="006257CC" w:rsidRDefault="00387B66" w:rsidP="00413588">
            <w:pPr>
              <w:ind w:left="0" w:firstLine="0"/>
              <w:rPr>
                <w:color w:val="0000FF"/>
              </w:rPr>
            </w:pPr>
            <w:r>
              <w:rPr>
                <w:color w:val="0000FF"/>
              </w:rPr>
              <w:t>N/A</w:t>
            </w:r>
          </w:p>
        </w:tc>
      </w:tr>
      <w:tr w:rsidR="000E5C93" w14:paraId="55B8DA93" w14:textId="77777777" w:rsidTr="00413588">
        <w:tc>
          <w:tcPr>
            <w:tcW w:w="4675" w:type="dxa"/>
          </w:tcPr>
          <w:p w14:paraId="55B8DA91" w14:textId="77777777" w:rsidR="000E5C93" w:rsidRDefault="000E5C93" w:rsidP="000E5C93">
            <w:pPr>
              <w:ind w:left="0" w:firstLine="0"/>
            </w:pPr>
            <w:r>
              <w:t>Identify any new studies conducted since the SR. Do the new studies change the conclusions from the SR?</w:t>
            </w:r>
          </w:p>
        </w:tc>
        <w:tc>
          <w:tcPr>
            <w:tcW w:w="4675" w:type="dxa"/>
          </w:tcPr>
          <w:p w14:paraId="272EFBE4" w14:textId="77777777" w:rsidR="00387B66" w:rsidRPr="006716F8" w:rsidRDefault="00387B66" w:rsidP="00387B66">
            <w:pPr>
              <w:ind w:left="0" w:firstLine="0"/>
              <w:rPr>
                <w:color w:val="0000FF"/>
              </w:rPr>
            </w:pPr>
            <w:r w:rsidRPr="006716F8">
              <w:rPr>
                <w:color w:val="0000FF"/>
              </w:rPr>
              <w:t>The 2009 clinical pediatric dialysis adequacy TEP conducted a literature search, where we retrieved a total of 190 articles using several sources. First, we retrieved 79 articles using a PubMed search of articles with human subjects, published in English since January 1, 2005. The search terms were: [(pediatric OR pediatrics OR children) and (dialysis OR hemodialysis OR peritoneal dialysis) and (adequacy OR "dialysis dose" OR "dose monitoring" OR "residual renal function" OR "urea clearance" OR "solute clearance" OR "phosphate clearance" OR "amino acid clearance" OR "folate clearance" OR "</w:t>
            </w:r>
            <w:proofErr w:type="spellStart"/>
            <w:r w:rsidRPr="006716F8">
              <w:rPr>
                <w:color w:val="0000FF"/>
              </w:rPr>
              <w:t>Kt</w:t>
            </w:r>
            <w:proofErr w:type="spellEnd"/>
            <w:r w:rsidRPr="006716F8">
              <w:rPr>
                <w:color w:val="0000FF"/>
              </w:rPr>
              <w:t>/V" OR "peritoneal equilibration test" OR ("ultrafiltration" and peritoneal)) and NOT (</w:t>
            </w:r>
            <w:proofErr w:type="spellStart"/>
            <w:r w:rsidRPr="006716F8">
              <w:rPr>
                <w:color w:val="0000FF"/>
              </w:rPr>
              <w:t>cvvhd</w:t>
            </w:r>
            <w:proofErr w:type="spellEnd"/>
            <w:r w:rsidRPr="006716F8">
              <w:rPr>
                <w:color w:val="0000FF"/>
              </w:rPr>
              <w:t xml:space="preserve"> OR "continuous </w:t>
            </w:r>
            <w:proofErr w:type="spellStart"/>
            <w:r w:rsidRPr="006716F8">
              <w:rPr>
                <w:color w:val="0000FF"/>
              </w:rPr>
              <w:t>veno</w:t>
            </w:r>
            <w:proofErr w:type="spellEnd"/>
            <w:r w:rsidRPr="006716F8">
              <w:rPr>
                <w:color w:val="0000FF"/>
              </w:rPr>
              <w:t xml:space="preserve"> venous" OR transplant OR "kidney transplant" OR transplantation)].</w:t>
            </w:r>
          </w:p>
          <w:p w14:paraId="50821373" w14:textId="77777777" w:rsidR="00387B66" w:rsidRPr="006716F8" w:rsidRDefault="00387B66" w:rsidP="00387B66">
            <w:pPr>
              <w:ind w:left="0" w:firstLine="0"/>
              <w:rPr>
                <w:color w:val="0000FF"/>
              </w:rPr>
            </w:pPr>
          </w:p>
          <w:p w14:paraId="2930F068" w14:textId="77777777" w:rsidR="00387B66" w:rsidRPr="006716F8" w:rsidRDefault="00387B66" w:rsidP="00387B66">
            <w:pPr>
              <w:ind w:left="0" w:firstLine="0"/>
              <w:rPr>
                <w:color w:val="0000FF"/>
              </w:rPr>
            </w:pPr>
            <w:r w:rsidRPr="006716F8">
              <w:rPr>
                <w:color w:val="0000FF"/>
              </w:rPr>
              <w:t>Second, we reviewed 61 citations from the Kidney Disease Outcomes Quality Initiative Guidelines on pediatric peritoneal dialysis and hemodialysis. Third, we reviewed the tables of contents of the journal Pediatric Nephrology and retrieved two articles from early on-line publishing that had not yet been included in PubMed. Finally, we reviewed the citations in 14 articles previously identified; this found an additional 65 articles for review. Duplicate articles were excluded.</w:t>
            </w:r>
          </w:p>
          <w:p w14:paraId="55838026" w14:textId="77777777" w:rsidR="00387B66" w:rsidRPr="006716F8" w:rsidRDefault="00387B66" w:rsidP="00387B66">
            <w:pPr>
              <w:ind w:left="0" w:firstLine="0"/>
              <w:rPr>
                <w:color w:val="0000FF"/>
              </w:rPr>
            </w:pPr>
          </w:p>
          <w:p w14:paraId="30D81EC0" w14:textId="77777777" w:rsidR="00387B66" w:rsidRPr="006716F8" w:rsidRDefault="00387B66" w:rsidP="00387B66">
            <w:pPr>
              <w:ind w:left="0" w:firstLine="0"/>
              <w:rPr>
                <w:color w:val="0000FF"/>
              </w:rPr>
            </w:pPr>
            <w:r w:rsidRPr="006716F8">
              <w:rPr>
                <w:color w:val="0000FF"/>
              </w:rPr>
              <w:t xml:space="preserve">A total of 124 articles were found to be relevant for measure development. Four pieces of evidence listed below [1-4] were determined to be relevant to this specific measure. </w:t>
            </w:r>
          </w:p>
          <w:p w14:paraId="6E2089A2" w14:textId="77777777" w:rsidR="00387B66" w:rsidRPr="006716F8" w:rsidRDefault="00387B66" w:rsidP="00387B66">
            <w:pPr>
              <w:ind w:left="0" w:firstLine="0"/>
              <w:rPr>
                <w:color w:val="0000FF"/>
              </w:rPr>
            </w:pPr>
          </w:p>
          <w:p w14:paraId="714CFC8B" w14:textId="4E39692C" w:rsidR="00387B66" w:rsidRDefault="00387B66" w:rsidP="00387B66">
            <w:pPr>
              <w:ind w:left="0" w:firstLine="0"/>
              <w:rPr>
                <w:color w:val="0000FF"/>
              </w:rPr>
            </w:pPr>
            <w:r w:rsidRPr="006716F8">
              <w:rPr>
                <w:color w:val="0000FF"/>
              </w:rPr>
              <w:t>An additional literature search was conducted in May 2014 and additional evidence has been added to the list of citations [5-8].</w:t>
            </w:r>
          </w:p>
          <w:p w14:paraId="0B84A5BD" w14:textId="585DEEED" w:rsidR="00387B66" w:rsidRDefault="00387B66" w:rsidP="00387B66">
            <w:pPr>
              <w:ind w:left="0" w:firstLine="0"/>
              <w:rPr>
                <w:color w:val="0000FF"/>
              </w:rPr>
            </w:pPr>
          </w:p>
          <w:p w14:paraId="198E0962" w14:textId="77777777" w:rsidR="00387B66" w:rsidRPr="006716F8" w:rsidRDefault="00387B66" w:rsidP="00387B66">
            <w:pPr>
              <w:pStyle w:val="ListParagraph"/>
              <w:numPr>
                <w:ilvl w:val="0"/>
                <w:numId w:val="15"/>
              </w:numPr>
              <w:rPr>
                <w:color w:val="0000FF"/>
              </w:rPr>
            </w:pPr>
            <w:proofErr w:type="spellStart"/>
            <w:r w:rsidRPr="006716F8">
              <w:rPr>
                <w:color w:val="0000FF"/>
              </w:rPr>
              <w:t>Lowrie</w:t>
            </w:r>
            <w:proofErr w:type="spellEnd"/>
            <w:r w:rsidRPr="006716F8">
              <w:rPr>
                <w:color w:val="0000FF"/>
              </w:rPr>
              <w:t xml:space="preserve"> EG, et al. Effect of the hemodialysis prescription of patient morbidity: report from the National Cooperative Dialysis Study. N </w:t>
            </w:r>
            <w:proofErr w:type="spellStart"/>
            <w:r w:rsidRPr="006716F8">
              <w:rPr>
                <w:color w:val="0000FF"/>
              </w:rPr>
              <w:t>Engl</w:t>
            </w:r>
            <w:proofErr w:type="spellEnd"/>
            <w:r w:rsidRPr="006716F8">
              <w:rPr>
                <w:color w:val="0000FF"/>
              </w:rPr>
              <w:t xml:space="preserve"> J Med 305:1176–1181, 1981.</w:t>
            </w:r>
            <w:r w:rsidRPr="006716F8">
              <w:rPr>
                <w:color w:val="0000FF"/>
              </w:rPr>
              <w:br/>
            </w:r>
          </w:p>
          <w:p w14:paraId="790ABD34" w14:textId="77777777" w:rsidR="00387B66" w:rsidRPr="006716F8" w:rsidRDefault="00387B66" w:rsidP="00387B66">
            <w:pPr>
              <w:pStyle w:val="ListParagraph"/>
              <w:ind w:firstLine="0"/>
              <w:rPr>
                <w:color w:val="0000FF"/>
              </w:rPr>
            </w:pPr>
            <w:r w:rsidRPr="006716F8">
              <w:rPr>
                <w:color w:val="0000FF"/>
              </w:rPr>
              <w:t>Abstract: This report summarizes morbidity in 151 patients in a cooperative trial designed to evaluate the clinical effects of different dialysis prescriptions. Four treatment groups were divided along two dimensions: dialysis treatment time (long or short), and blood urea nitrogen (BUN) concentration averaged with respect to time (</w:t>
            </w:r>
            <w:proofErr w:type="spellStart"/>
            <w:r w:rsidRPr="006716F8">
              <w:rPr>
                <w:color w:val="0000FF"/>
              </w:rPr>
              <w:t>TACurea</w:t>
            </w:r>
            <w:proofErr w:type="spellEnd"/>
            <w:r w:rsidRPr="006716F8">
              <w:rPr>
                <w:color w:val="0000FF"/>
              </w:rPr>
              <w:t xml:space="preserve">) (high or low). Dietary protein was not restricted. There was no difference in mortality between the groups. Withdrawal of patients from the high-BUN groups for medical reasons was significantly greater than withdrawal from the </w:t>
            </w:r>
            <w:proofErr w:type="spellStart"/>
            <w:r w:rsidRPr="006716F8">
              <w:rPr>
                <w:color w:val="0000FF"/>
              </w:rPr>
              <w:t>lowBUN</w:t>
            </w:r>
            <w:proofErr w:type="spellEnd"/>
            <w:r w:rsidRPr="006716F8">
              <w:rPr>
                <w:color w:val="0000FF"/>
              </w:rPr>
              <w:t xml:space="preserve"> groups. Hospitalization was also greater in the high-BUN groups, but dialysis treatment time had no significant effects.</w:t>
            </w:r>
          </w:p>
          <w:p w14:paraId="2C097478" w14:textId="77777777" w:rsidR="00387B66" w:rsidRPr="006716F8" w:rsidRDefault="00387B66" w:rsidP="00387B66">
            <w:pPr>
              <w:pStyle w:val="ListParagraph"/>
              <w:ind w:firstLine="0"/>
              <w:rPr>
                <w:color w:val="0000FF"/>
              </w:rPr>
            </w:pPr>
          </w:p>
          <w:p w14:paraId="01C5EDC0" w14:textId="77777777" w:rsidR="00387B66" w:rsidRPr="006716F8" w:rsidRDefault="00387B66" w:rsidP="00387B66">
            <w:pPr>
              <w:pStyle w:val="ListParagraph"/>
              <w:ind w:firstLine="0"/>
              <w:rPr>
                <w:color w:val="0000FF"/>
              </w:rPr>
            </w:pPr>
            <w:r w:rsidRPr="006716F8">
              <w:rPr>
                <w:color w:val="0000FF"/>
              </w:rPr>
              <w:t xml:space="preserve">The data indicate that the occurrence of morbid events is affected by the dialysis prescription. Increased morbidity appears to accompany prescriptions associated with a relatively high BUN. Conversely, morbidity may be decreased by prescriptions associated with more </w:t>
            </w:r>
            <w:r w:rsidRPr="006716F8">
              <w:rPr>
                <w:color w:val="0000FF"/>
              </w:rPr>
              <w:lastRenderedPageBreak/>
              <w:t xml:space="preserve">efficient removal of urea if the dietary intake of protein and other nutrients is adequate. (N </w:t>
            </w:r>
            <w:proofErr w:type="spellStart"/>
            <w:r w:rsidRPr="006716F8">
              <w:rPr>
                <w:color w:val="0000FF"/>
              </w:rPr>
              <w:t>Engl</w:t>
            </w:r>
            <w:proofErr w:type="spellEnd"/>
            <w:r w:rsidRPr="006716F8">
              <w:rPr>
                <w:color w:val="0000FF"/>
              </w:rPr>
              <w:t xml:space="preserve"> J Med. 1981; 305:1176–81.)</w:t>
            </w:r>
            <w:r w:rsidRPr="006716F8">
              <w:rPr>
                <w:color w:val="0000FF"/>
              </w:rPr>
              <w:br/>
            </w:r>
          </w:p>
          <w:p w14:paraId="213E7D2C" w14:textId="77777777" w:rsidR="00387B66" w:rsidRPr="006716F8" w:rsidRDefault="00387B66" w:rsidP="00387B66">
            <w:pPr>
              <w:pStyle w:val="ListParagraph"/>
              <w:numPr>
                <w:ilvl w:val="0"/>
                <w:numId w:val="15"/>
              </w:numPr>
              <w:ind w:left="360"/>
              <w:rPr>
                <w:color w:val="0000FF"/>
              </w:rPr>
            </w:pPr>
            <w:r w:rsidRPr="006716F8">
              <w:rPr>
                <w:color w:val="0000FF"/>
              </w:rPr>
              <w:t xml:space="preserve">Owen WF Jr, et al. The urea reduction ratio and serum albumin concentration as predictors of mortality in patients undergoing hemodialysis. N </w:t>
            </w:r>
            <w:proofErr w:type="spellStart"/>
            <w:r w:rsidRPr="006716F8">
              <w:rPr>
                <w:color w:val="0000FF"/>
              </w:rPr>
              <w:t>Engl</w:t>
            </w:r>
            <w:proofErr w:type="spellEnd"/>
            <w:r w:rsidRPr="006716F8">
              <w:rPr>
                <w:color w:val="0000FF"/>
              </w:rPr>
              <w:t xml:space="preserve"> J Med 329:1001–1006, 1993.</w:t>
            </w:r>
            <w:r w:rsidRPr="006716F8">
              <w:rPr>
                <w:color w:val="0000FF"/>
              </w:rPr>
              <w:br/>
            </w:r>
            <w:r w:rsidRPr="006716F8">
              <w:rPr>
                <w:color w:val="0000FF"/>
              </w:rPr>
              <w:br/>
              <w:t xml:space="preserve">       BACKGROUND:</w:t>
            </w:r>
          </w:p>
          <w:p w14:paraId="7554D115" w14:textId="77777777" w:rsidR="00387B66" w:rsidRPr="006716F8" w:rsidRDefault="00387B66" w:rsidP="00387B66">
            <w:pPr>
              <w:pStyle w:val="ListParagraph"/>
              <w:ind w:firstLine="0"/>
              <w:rPr>
                <w:color w:val="0000FF"/>
              </w:rPr>
            </w:pPr>
            <w:r w:rsidRPr="006716F8">
              <w:rPr>
                <w:color w:val="0000FF"/>
              </w:rPr>
              <w:t>Among patients with end-stage renal disease who are treated with hemodialysis, solute clearance during dialysis and nutritional adequacy are determinants of mortality. We determined the effects of reductions in blood urea nitrogen concentrations during dialysis and changes in serum albumin concentrations, as an indicator of nutritional status, on mortality in a large group of patients treated with hemodialysis.</w:t>
            </w:r>
          </w:p>
          <w:p w14:paraId="51E60A24" w14:textId="77777777" w:rsidR="00387B66" w:rsidRPr="006716F8" w:rsidRDefault="00387B66" w:rsidP="00387B66">
            <w:pPr>
              <w:pStyle w:val="ListParagraph"/>
              <w:ind w:firstLine="0"/>
              <w:rPr>
                <w:color w:val="0000FF"/>
              </w:rPr>
            </w:pPr>
            <w:r w:rsidRPr="006716F8">
              <w:rPr>
                <w:color w:val="0000FF"/>
              </w:rPr>
              <w:t>METHODS:</w:t>
            </w:r>
          </w:p>
          <w:p w14:paraId="011FD622" w14:textId="77777777" w:rsidR="00387B66" w:rsidRPr="006716F8" w:rsidRDefault="00387B66" w:rsidP="00387B66">
            <w:pPr>
              <w:pStyle w:val="ListParagraph"/>
              <w:ind w:firstLine="0"/>
              <w:rPr>
                <w:color w:val="0000FF"/>
              </w:rPr>
            </w:pPr>
            <w:r w:rsidRPr="006716F8">
              <w:rPr>
                <w:color w:val="0000FF"/>
              </w:rPr>
              <w:t xml:space="preserve">We analyzed retrospectively the demographic characteristics, mortality rate, </w:t>
            </w:r>
            <w:proofErr w:type="gramStart"/>
            <w:r w:rsidRPr="006716F8">
              <w:rPr>
                <w:color w:val="0000FF"/>
              </w:rPr>
              <w:t>duration</w:t>
            </w:r>
            <w:proofErr w:type="gramEnd"/>
            <w:r w:rsidRPr="006716F8">
              <w:rPr>
                <w:color w:val="0000FF"/>
              </w:rPr>
              <w:t xml:space="preserve"> of hemodialysis, serum albumin concentration, and urea reduction ratio (defined as the percent reduction in blood urea nitrogen concentration during a single dialysis treatment) in 13,473 patients treated from October 1, 1990, through March 31, 1991. The risk of death was determined as a function of the urea reduction ratio and serum albumin concentration.</w:t>
            </w:r>
          </w:p>
          <w:p w14:paraId="3D667BAB" w14:textId="77777777" w:rsidR="00387B66" w:rsidRPr="006716F8" w:rsidRDefault="00387B66" w:rsidP="00387B66">
            <w:pPr>
              <w:pStyle w:val="ListParagraph"/>
              <w:ind w:firstLine="0"/>
              <w:rPr>
                <w:color w:val="0000FF"/>
              </w:rPr>
            </w:pPr>
            <w:r w:rsidRPr="006716F8">
              <w:rPr>
                <w:color w:val="0000FF"/>
              </w:rPr>
              <w:t>RESULTS:</w:t>
            </w:r>
          </w:p>
          <w:p w14:paraId="1FA31422" w14:textId="77777777" w:rsidR="00387B66" w:rsidRPr="006716F8" w:rsidRDefault="00387B66" w:rsidP="00387B66">
            <w:pPr>
              <w:pStyle w:val="ListParagraph"/>
              <w:ind w:firstLine="0"/>
              <w:rPr>
                <w:color w:val="0000FF"/>
              </w:rPr>
            </w:pPr>
            <w:r w:rsidRPr="006716F8">
              <w:rPr>
                <w:color w:val="0000FF"/>
              </w:rPr>
              <w:t xml:space="preserve">As compared with patients with urea reduction ratios of 65 to 69 percent, patients with values below 60 percent </w:t>
            </w:r>
            <w:r w:rsidRPr="006716F8">
              <w:rPr>
                <w:color w:val="0000FF"/>
              </w:rPr>
              <w:lastRenderedPageBreak/>
              <w:t>had a higher risk of death during follow-up (odds ratio, 1.28 for urea reduction ratios of 55 to 59 percent and 1.39 for ratios below 55 percent). Fifty-five percent of the patients had urea reduction ratios below 60 percent. The duration of dialysis was not predictive of mortality. The serum albumin concentration was a more powerful (21 times greater) predictor of death than the urea reduction ratio, and 60 percent of the patients had serum albumin concentrations predictive of an increased risk of death (values below 4.0 g per deciliter). The odds ratio for death was 1.48 for serum albumin concentrations of 3.5 to 3.9 g per deciliter and 3.13 for concentrations of 3.0 to 3.4 g per deciliter. Diabetic patients had lower serum albumin concentrations and urea reduction ratios than nondiabetic patients.</w:t>
            </w:r>
          </w:p>
          <w:p w14:paraId="4E482675" w14:textId="77777777" w:rsidR="00387B66" w:rsidRPr="006716F8" w:rsidRDefault="00387B66" w:rsidP="00387B66">
            <w:pPr>
              <w:pStyle w:val="ListParagraph"/>
              <w:ind w:firstLine="0"/>
              <w:rPr>
                <w:color w:val="0000FF"/>
              </w:rPr>
            </w:pPr>
            <w:r w:rsidRPr="006716F8">
              <w:rPr>
                <w:color w:val="0000FF"/>
              </w:rPr>
              <w:t>CONCLUSIONS:</w:t>
            </w:r>
          </w:p>
          <w:p w14:paraId="40F822A2" w14:textId="77777777" w:rsidR="00387B66" w:rsidRPr="006716F8" w:rsidRDefault="00387B66" w:rsidP="00387B66">
            <w:pPr>
              <w:pStyle w:val="ListParagraph"/>
              <w:ind w:firstLine="0"/>
              <w:rPr>
                <w:color w:val="0000FF"/>
              </w:rPr>
            </w:pPr>
            <w:r w:rsidRPr="006716F8">
              <w:rPr>
                <w:color w:val="0000FF"/>
              </w:rPr>
              <w:t>Low urea reduction ratios during dialysis are associated with increased odds ratios for death. These risks are worsened by inadequate nutrition.</w:t>
            </w:r>
            <w:r w:rsidRPr="006716F8">
              <w:rPr>
                <w:color w:val="0000FF"/>
              </w:rPr>
              <w:br/>
            </w:r>
          </w:p>
          <w:p w14:paraId="0A556950" w14:textId="77777777" w:rsidR="00387B66" w:rsidRPr="006716F8" w:rsidRDefault="00387B66" w:rsidP="00387B66">
            <w:pPr>
              <w:pStyle w:val="ListParagraph"/>
              <w:numPr>
                <w:ilvl w:val="0"/>
                <w:numId w:val="15"/>
              </w:numPr>
              <w:rPr>
                <w:color w:val="0000FF"/>
              </w:rPr>
            </w:pPr>
            <w:r w:rsidRPr="006716F8">
              <w:rPr>
                <w:color w:val="0000FF"/>
              </w:rPr>
              <w:t>Gorman G, et al. Clinical outcomes and dialysis adequacy in adolescent hemodialysis patients. Am Journal Kidney Dis; 47: 285-93, 2006.</w:t>
            </w:r>
            <w:r w:rsidRPr="006716F8">
              <w:rPr>
                <w:color w:val="0000FF"/>
              </w:rPr>
              <w:br/>
            </w:r>
          </w:p>
          <w:p w14:paraId="09B5C7FB" w14:textId="77777777" w:rsidR="00387B66" w:rsidRPr="006716F8" w:rsidRDefault="00387B66" w:rsidP="00387B66">
            <w:pPr>
              <w:pStyle w:val="ListParagraph"/>
              <w:ind w:firstLine="0"/>
              <w:rPr>
                <w:color w:val="0000FF"/>
              </w:rPr>
            </w:pPr>
            <w:r w:rsidRPr="006716F8">
              <w:rPr>
                <w:color w:val="0000FF"/>
              </w:rPr>
              <w:t>BACKGROUND:</w:t>
            </w:r>
          </w:p>
          <w:p w14:paraId="1DC59837" w14:textId="77777777" w:rsidR="00387B66" w:rsidRPr="006716F8" w:rsidRDefault="00387B66" w:rsidP="00387B66">
            <w:pPr>
              <w:pStyle w:val="ListParagraph"/>
              <w:ind w:firstLine="0"/>
              <w:rPr>
                <w:color w:val="0000FF"/>
              </w:rPr>
            </w:pPr>
            <w:r w:rsidRPr="006716F8">
              <w:rPr>
                <w:color w:val="0000FF"/>
              </w:rPr>
              <w:t xml:space="preserve">The National Kidney Foundation-Kidney Disease Outcomes Quality Initiative guidelines recommend that adult hemodialysis (HD) patients receive a minimum dialysis dose by single-pooled </w:t>
            </w:r>
            <w:proofErr w:type="spellStart"/>
            <w:r w:rsidRPr="006716F8">
              <w:rPr>
                <w:color w:val="0000FF"/>
              </w:rPr>
              <w:t>Kt</w:t>
            </w:r>
            <w:proofErr w:type="spellEnd"/>
            <w:r w:rsidRPr="006716F8">
              <w:rPr>
                <w:color w:val="0000FF"/>
              </w:rPr>
              <w:t>/V (</w:t>
            </w:r>
            <w:proofErr w:type="spellStart"/>
            <w:r w:rsidRPr="006716F8">
              <w:rPr>
                <w:color w:val="0000FF"/>
              </w:rPr>
              <w:t>spKt</w:t>
            </w:r>
            <w:proofErr w:type="spellEnd"/>
            <w:r w:rsidRPr="006716F8">
              <w:rPr>
                <w:color w:val="0000FF"/>
              </w:rPr>
              <w:t xml:space="preserve">/V) of 1.2 or greater. There are no data to support a minimum </w:t>
            </w:r>
            <w:proofErr w:type="spellStart"/>
            <w:r w:rsidRPr="006716F8">
              <w:rPr>
                <w:color w:val="0000FF"/>
              </w:rPr>
              <w:t>spKt</w:t>
            </w:r>
            <w:proofErr w:type="spellEnd"/>
            <w:r w:rsidRPr="006716F8">
              <w:rPr>
                <w:color w:val="0000FF"/>
              </w:rPr>
              <w:t xml:space="preserve">/V </w:t>
            </w:r>
            <w:r w:rsidRPr="006716F8">
              <w:rPr>
                <w:color w:val="0000FF"/>
              </w:rPr>
              <w:lastRenderedPageBreak/>
              <w:t xml:space="preserve">dose for children on HD therapy. We aim to determine the association of </w:t>
            </w:r>
            <w:proofErr w:type="spellStart"/>
            <w:r w:rsidRPr="006716F8">
              <w:rPr>
                <w:color w:val="0000FF"/>
              </w:rPr>
              <w:t>spKt</w:t>
            </w:r>
            <w:proofErr w:type="spellEnd"/>
            <w:r w:rsidRPr="006716F8">
              <w:rPr>
                <w:color w:val="0000FF"/>
              </w:rPr>
              <w:t>/V with mortality and hospitalization in adolescents.</w:t>
            </w:r>
          </w:p>
          <w:p w14:paraId="406D3A04" w14:textId="77777777" w:rsidR="00387B66" w:rsidRPr="006716F8" w:rsidRDefault="00387B66" w:rsidP="00387B66">
            <w:pPr>
              <w:pStyle w:val="ListParagraph"/>
              <w:ind w:firstLine="0"/>
              <w:rPr>
                <w:color w:val="0000FF"/>
              </w:rPr>
            </w:pPr>
            <w:r w:rsidRPr="006716F8">
              <w:rPr>
                <w:color w:val="0000FF"/>
              </w:rPr>
              <w:t>METHODS:</w:t>
            </w:r>
          </w:p>
          <w:p w14:paraId="39578298" w14:textId="77777777" w:rsidR="00387B66" w:rsidRPr="006716F8" w:rsidRDefault="00387B66" w:rsidP="00387B66">
            <w:pPr>
              <w:pStyle w:val="ListParagraph"/>
              <w:ind w:firstLine="0"/>
              <w:rPr>
                <w:color w:val="0000FF"/>
              </w:rPr>
            </w:pPr>
            <w:r w:rsidRPr="006716F8">
              <w:rPr>
                <w:color w:val="0000FF"/>
              </w:rPr>
              <w:t xml:space="preserve">Clinical characteristics of adolescent HD patients aged 12 to 18 years old included in the 2000/2001 End-Stage Renal Disease Clinical Performance Measures Project were linked to US Renal Data System data from October 1, 1999, to October 15, 2001. Hospitalization risks after adjustment for time on dialysis therapy, access, hemoglobin level, albumin level, and height were determined by means of Poisson regression. </w:t>
            </w:r>
            <w:proofErr w:type="spellStart"/>
            <w:proofErr w:type="gramStart"/>
            <w:r w:rsidRPr="006716F8">
              <w:rPr>
                <w:color w:val="0000FF"/>
              </w:rPr>
              <w:t>spKt</w:t>
            </w:r>
            <w:proofErr w:type="spellEnd"/>
            <w:r w:rsidRPr="006716F8">
              <w:rPr>
                <w:color w:val="0000FF"/>
              </w:rPr>
              <w:t>/V</w:t>
            </w:r>
            <w:proofErr w:type="gramEnd"/>
            <w:r w:rsidRPr="006716F8">
              <w:rPr>
                <w:color w:val="0000FF"/>
              </w:rPr>
              <w:t xml:space="preserve"> was analyzed by the adult target (&lt; versus &gt; or = 1.2) and by intervals.</w:t>
            </w:r>
          </w:p>
          <w:p w14:paraId="6D39E492" w14:textId="77777777" w:rsidR="00387B66" w:rsidRPr="006716F8" w:rsidRDefault="00387B66" w:rsidP="00387B66">
            <w:pPr>
              <w:pStyle w:val="ListParagraph"/>
              <w:ind w:firstLine="0"/>
              <w:rPr>
                <w:color w:val="0000FF"/>
              </w:rPr>
            </w:pPr>
            <w:r w:rsidRPr="006716F8">
              <w:rPr>
                <w:color w:val="0000FF"/>
              </w:rPr>
              <w:t>RESULTS:</w:t>
            </w:r>
          </w:p>
          <w:p w14:paraId="6102AFB2" w14:textId="77777777" w:rsidR="00387B66" w:rsidRPr="006716F8" w:rsidRDefault="00387B66" w:rsidP="00387B66">
            <w:pPr>
              <w:pStyle w:val="ListParagraph"/>
              <w:ind w:firstLine="0"/>
              <w:rPr>
                <w:color w:val="0000FF"/>
              </w:rPr>
            </w:pPr>
            <w:r w:rsidRPr="006716F8">
              <w:rPr>
                <w:color w:val="0000FF"/>
              </w:rPr>
              <w:t xml:space="preserve">There were 613 patients with 477 patient-years of follow-up, during which there were 14 deaths and 185 hospitalizations covering 1,108 days. After adjustment, patients with </w:t>
            </w:r>
            <w:proofErr w:type="gramStart"/>
            <w:r w:rsidRPr="006716F8">
              <w:rPr>
                <w:color w:val="0000FF"/>
              </w:rPr>
              <w:t>an</w:t>
            </w:r>
            <w:proofErr w:type="gramEnd"/>
            <w:r w:rsidRPr="006716F8">
              <w:rPr>
                <w:color w:val="0000FF"/>
              </w:rPr>
              <w:t xml:space="preserve"> </w:t>
            </w:r>
            <w:proofErr w:type="spellStart"/>
            <w:r w:rsidRPr="006716F8">
              <w:rPr>
                <w:color w:val="0000FF"/>
              </w:rPr>
              <w:t>spKt</w:t>
            </w:r>
            <w:proofErr w:type="spellEnd"/>
            <w:r w:rsidRPr="006716F8">
              <w:rPr>
                <w:color w:val="0000FF"/>
              </w:rPr>
              <w:t xml:space="preserve">/V less than 1.2 had increased hospitalization risk (1.59; 95% confidence interval, 0.98 to 2.56; P = 0.06) compared with those with an </w:t>
            </w:r>
            <w:proofErr w:type="spellStart"/>
            <w:r w:rsidRPr="006716F8">
              <w:rPr>
                <w:color w:val="0000FF"/>
              </w:rPr>
              <w:t>spKt</w:t>
            </w:r>
            <w:proofErr w:type="spellEnd"/>
            <w:r w:rsidRPr="006716F8">
              <w:rPr>
                <w:color w:val="0000FF"/>
              </w:rPr>
              <w:t xml:space="preserve">/V of 1.2 or greater. Compared with patients with an </w:t>
            </w:r>
            <w:proofErr w:type="spellStart"/>
            <w:r w:rsidRPr="006716F8">
              <w:rPr>
                <w:color w:val="0000FF"/>
              </w:rPr>
              <w:t>spKt</w:t>
            </w:r>
            <w:proofErr w:type="spellEnd"/>
            <w:r w:rsidRPr="006716F8">
              <w:rPr>
                <w:color w:val="0000FF"/>
              </w:rPr>
              <w:t xml:space="preserve">/V of 1.2 to 1.4, patients with an </w:t>
            </w:r>
            <w:proofErr w:type="spellStart"/>
            <w:r w:rsidRPr="006716F8">
              <w:rPr>
                <w:color w:val="0000FF"/>
              </w:rPr>
              <w:t>spKt</w:t>
            </w:r>
            <w:proofErr w:type="spellEnd"/>
            <w:r w:rsidRPr="006716F8">
              <w:rPr>
                <w:color w:val="0000FF"/>
              </w:rPr>
              <w:t xml:space="preserve">/V less than 1.2 had increased adjusted risk for hospitalization (2.46; 95% confidence interval, 1.23 to 4.94; P = 0.01). Increases in </w:t>
            </w:r>
            <w:proofErr w:type="spellStart"/>
            <w:r w:rsidRPr="006716F8">
              <w:rPr>
                <w:color w:val="0000FF"/>
              </w:rPr>
              <w:t>spKt</w:t>
            </w:r>
            <w:proofErr w:type="spellEnd"/>
            <w:r w:rsidRPr="006716F8">
              <w:rPr>
                <w:color w:val="0000FF"/>
              </w:rPr>
              <w:t>/V beyond 1.4 were not associated with improved outcomes.</w:t>
            </w:r>
          </w:p>
          <w:p w14:paraId="3F1B26D7" w14:textId="77777777" w:rsidR="00387B66" w:rsidRPr="006716F8" w:rsidRDefault="00387B66" w:rsidP="00387B66">
            <w:pPr>
              <w:pStyle w:val="ListParagraph"/>
              <w:ind w:firstLine="0"/>
              <w:rPr>
                <w:color w:val="0000FF"/>
              </w:rPr>
            </w:pPr>
            <w:r w:rsidRPr="006716F8">
              <w:rPr>
                <w:color w:val="0000FF"/>
              </w:rPr>
              <w:t>CONCLUSION:</w:t>
            </w:r>
          </w:p>
          <w:p w14:paraId="0FADE485" w14:textId="77777777" w:rsidR="00387B66" w:rsidRPr="006716F8" w:rsidRDefault="00387B66" w:rsidP="00387B66">
            <w:pPr>
              <w:pStyle w:val="ListParagraph"/>
              <w:ind w:firstLine="0"/>
              <w:rPr>
                <w:color w:val="0000FF"/>
              </w:rPr>
            </w:pPr>
            <w:r w:rsidRPr="006716F8">
              <w:rPr>
                <w:color w:val="0000FF"/>
              </w:rPr>
              <w:t xml:space="preserve">Applying the current adequacy guideline to adolescent HD patients is justified by the increased hospitalization risk of those </w:t>
            </w:r>
            <w:r w:rsidRPr="006716F8">
              <w:rPr>
                <w:color w:val="0000FF"/>
              </w:rPr>
              <w:lastRenderedPageBreak/>
              <w:t xml:space="preserve">who fail to attain </w:t>
            </w:r>
            <w:proofErr w:type="gramStart"/>
            <w:r w:rsidRPr="006716F8">
              <w:rPr>
                <w:color w:val="0000FF"/>
              </w:rPr>
              <w:t>an</w:t>
            </w:r>
            <w:proofErr w:type="gramEnd"/>
            <w:r w:rsidRPr="006716F8">
              <w:rPr>
                <w:color w:val="0000FF"/>
              </w:rPr>
              <w:t xml:space="preserve"> </w:t>
            </w:r>
            <w:proofErr w:type="spellStart"/>
            <w:r w:rsidRPr="006716F8">
              <w:rPr>
                <w:color w:val="0000FF"/>
              </w:rPr>
              <w:t>spKt</w:t>
            </w:r>
            <w:proofErr w:type="spellEnd"/>
            <w:r w:rsidRPr="006716F8">
              <w:rPr>
                <w:color w:val="0000FF"/>
              </w:rPr>
              <w:t xml:space="preserve">/V of 1.2 or greater. However, attaining </w:t>
            </w:r>
            <w:proofErr w:type="gramStart"/>
            <w:r w:rsidRPr="006716F8">
              <w:rPr>
                <w:color w:val="0000FF"/>
              </w:rPr>
              <w:t>an</w:t>
            </w:r>
            <w:proofErr w:type="gramEnd"/>
            <w:r w:rsidRPr="006716F8">
              <w:rPr>
                <w:color w:val="0000FF"/>
              </w:rPr>
              <w:t xml:space="preserve"> </w:t>
            </w:r>
            <w:proofErr w:type="spellStart"/>
            <w:r w:rsidRPr="006716F8">
              <w:rPr>
                <w:color w:val="0000FF"/>
              </w:rPr>
              <w:t>spKt</w:t>
            </w:r>
            <w:proofErr w:type="spellEnd"/>
            <w:r w:rsidRPr="006716F8">
              <w:rPr>
                <w:color w:val="0000FF"/>
              </w:rPr>
              <w:t>/V in excess of 1.4 was not associated with greater benefit.</w:t>
            </w:r>
            <w:r w:rsidRPr="006716F8">
              <w:rPr>
                <w:color w:val="0000FF"/>
              </w:rPr>
              <w:br/>
            </w:r>
          </w:p>
          <w:p w14:paraId="1D2470B3" w14:textId="77777777" w:rsidR="00387B66" w:rsidRPr="006716F8" w:rsidRDefault="00387B66" w:rsidP="00387B66">
            <w:pPr>
              <w:pStyle w:val="ListParagraph"/>
              <w:numPr>
                <w:ilvl w:val="0"/>
                <w:numId w:val="15"/>
              </w:numPr>
              <w:rPr>
                <w:color w:val="0000FF"/>
              </w:rPr>
            </w:pPr>
            <w:proofErr w:type="spellStart"/>
            <w:r w:rsidRPr="006716F8">
              <w:rPr>
                <w:color w:val="0000FF"/>
              </w:rPr>
              <w:t>Fischbach</w:t>
            </w:r>
            <w:proofErr w:type="spellEnd"/>
            <w:r w:rsidRPr="006716F8">
              <w:rPr>
                <w:color w:val="0000FF"/>
              </w:rPr>
              <w:t xml:space="preserve"> M, et al. Intensified and daily hemodialysis in children might improve </w:t>
            </w:r>
            <w:proofErr w:type="spellStart"/>
            <w:r w:rsidRPr="006716F8">
              <w:rPr>
                <w:color w:val="0000FF"/>
              </w:rPr>
              <w:t>statural</w:t>
            </w:r>
            <w:proofErr w:type="spellEnd"/>
            <w:r w:rsidRPr="006716F8">
              <w:rPr>
                <w:color w:val="0000FF"/>
              </w:rPr>
              <w:t xml:space="preserve"> growth. </w:t>
            </w:r>
            <w:proofErr w:type="spellStart"/>
            <w:r w:rsidRPr="006716F8">
              <w:rPr>
                <w:color w:val="0000FF"/>
              </w:rPr>
              <w:t>Pediatr</w:t>
            </w:r>
            <w:proofErr w:type="spellEnd"/>
            <w:r w:rsidRPr="006716F8">
              <w:rPr>
                <w:color w:val="0000FF"/>
              </w:rPr>
              <w:t xml:space="preserve"> </w:t>
            </w:r>
            <w:proofErr w:type="spellStart"/>
            <w:r w:rsidRPr="006716F8">
              <w:rPr>
                <w:color w:val="0000FF"/>
              </w:rPr>
              <w:t>Nephrol</w:t>
            </w:r>
            <w:proofErr w:type="spellEnd"/>
            <w:r w:rsidRPr="006716F8">
              <w:rPr>
                <w:color w:val="0000FF"/>
              </w:rPr>
              <w:t xml:space="preserve"> 21:1746–1752, 2006.</w:t>
            </w:r>
            <w:r w:rsidRPr="006716F8">
              <w:rPr>
                <w:color w:val="0000FF"/>
              </w:rPr>
              <w:br/>
            </w:r>
          </w:p>
          <w:p w14:paraId="1A044737" w14:textId="77777777" w:rsidR="00387B66" w:rsidRPr="006716F8" w:rsidRDefault="00387B66" w:rsidP="00387B66">
            <w:pPr>
              <w:pStyle w:val="ListParagraph"/>
              <w:ind w:firstLine="0"/>
              <w:rPr>
                <w:color w:val="0000FF"/>
              </w:rPr>
            </w:pPr>
            <w:r w:rsidRPr="006716F8">
              <w:rPr>
                <w:color w:val="0000FF"/>
              </w:rPr>
              <w:t xml:space="preserve">Abstract: In children conventional </w:t>
            </w:r>
            <w:r w:rsidRPr="006716F8">
              <w:rPr>
                <w:rStyle w:val="highlight"/>
                <w:color w:val="0000FF"/>
              </w:rPr>
              <w:t>hemodialysis</w:t>
            </w:r>
            <w:r w:rsidRPr="006716F8">
              <w:rPr>
                <w:color w:val="0000FF"/>
              </w:rPr>
              <w:t xml:space="preserve"> does not often improve growth. We determined linear growth in five children on in-center intensified and daily </w:t>
            </w:r>
            <w:r w:rsidRPr="006716F8">
              <w:rPr>
                <w:rStyle w:val="highlight"/>
                <w:color w:val="0000FF"/>
              </w:rPr>
              <w:t>hemodialysis</w:t>
            </w:r>
            <w:r w:rsidRPr="006716F8">
              <w:rPr>
                <w:color w:val="0000FF"/>
              </w:rPr>
              <w:t xml:space="preserve"> (</w:t>
            </w:r>
            <w:proofErr w:type="spellStart"/>
            <w:r w:rsidRPr="006716F8">
              <w:rPr>
                <w:color w:val="0000FF"/>
              </w:rPr>
              <w:t>IDd</w:t>
            </w:r>
            <w:proofErr w:type="spellEnd"/>
            <w:r w:rsidRPr="006716F8">
              <w:rPr>
                <w:color w:val="0000FF"/>
              </w:rPr>
              <w:t xml:space="preserve">) regimen, with a mean age of 8 years 7 months at enrollment. Four of five were on growth hormone started for a median of 28.5 months before </w:t>
            </w:r>
            <w:proofErr w:type="spellStart"/>
            <w:r w:rsidRPr="006716F8">
              <w:rPr>
                <w:color w:val="0000FF"/>
              </w:rPr>
              <w:t>IDd</w:t>
            </w:r>
            <w:proofErr w:type="spellEnd"/>
            <w:r w:rsidRPr="006716F8">
              <w:rPr>
                <w:color w:val="0000FF"/>
              </w:rPr>
              <w:t xml:space="preserve">. </w:t>
            </w:r>
            <w:proofErr w:type="spellStart"/>
            <w:r w:rsidRPr="006716F8">
              <w:rPr>
                <w:color w:val="0000FF"/>
              </w:rPr>
              <w:t>IDd</w:t>
            </w:r>
            <w:proofErr w:type="spellEnd"/>
            <w:r w:rsidRPr="006716F8">
              <w:rPr>
                <w:color w:val="0000FF"/>
              </w:rPr>
              <w:t xml:space="preserve"> was delivered 5 to 6 times weekly, for three hours each session. Mean follow up of </w:t>
            </w:r>
            <w:proofErr w:type="spellStart"/>
            <w:r w:rsidRPr="006716F8">
              <w:rPr>
                <w:color w:val="0000FF"/>
              </w:rPr>
              <w:t>IDd</w:t>
            </w:r>
            <w:proofErr w:type="spellEnd"/>
            <w:r w:rsidRPr="006716F8">
              <w:rPr>
                <w:color w:val="0000FF"/>
              </w:rPr>
              <w:t xml:space="preserve"> was 18.6 months. Dropout from </w:t>
            </w:r>
            <w:proofErr w:type="spellStart"/>
            <w:r w:rsidRPr="006716F8">
              <w:rPr>
                <w:color w:val="0000FF"/>
              </w:rPr>
              <w:t>IDd</w:t>
            </w:r>
            <w:proofErr w:type="spellEnd"/>
            <w:r w:rsidRPr="006716F8">
              <w:rPr>
                <w:color w:val="0000FF"/>
              </w:rPr>
              <w:t xml:space="preserve"> was kidney transplantation (n=4) or transfer to another center (n=1). </w:t>
            </w:r>
            <w:proofErr w:type="spellStart"/>
            <w:r w:rsidRPr="006716F8">
              <w:rPr>
                <w:color w:val="0000FF"/>
              </w:rPr>
              <w:t>IDd</w:t>
            </w:r>
            <w:proofErr w:type="spellEnd"/>
            <w:r w:rsidRPr="006716F8">
              <w:rPr>
                <w:color w:val="0000FF"/>
              </w:rPr>
              <w:t xml:space="preserve"> and free diet improved appetite, thereby protein intake, was above 2 g/kg/BW. Median weekly </w:t>
            </w:r>
            <w:proofErr w:type="spellStart"/>
            <w:r w:rsidRPr="006716F8">
              <w:rPr>
                <w:color w:val="0000FF"/>
              </w:rPr>
              <w:t>Kt</w:t>
            </w:r>
            <w:proofErr w:type="spellEnd"/>
            <w:r w:rsidRPr="006716F8">
              <w:rPr>
                <w:color w:val="0000FF"/>
              </w:rPr>
              <w:t>/</w:t>
            </w:r>
            <w:proofErr w:type="gramStart"/>
            <w:r w:rsidRPr="006716F8">
              <w:rPr>
                <w:color w:val="0000FF"/>
              </w:rPr>
              <w:t>V(</w:t>
            </w:r>
            <w:proofErr w:type="gramEnd"/>
            <w:r w:rsidRPr="006716F8">
              <w:rPr>
                <w:color w:val="0000FF"/>
              </w:rPr>
              <w:t xml:space="preserve">urea) was 9.1 (8.7 to 10.4). </w:t>
            </w:r>
            <w:proofErr w:type="spellStart"/>
            <w:r w:rsidRPr="006716F8">
              <w:rPr>
                <w:color w:val="0000FF"/>
              </w:rPr>
              <w:t>Predialysis</w:t>
            </w:r>
            <w:proofErr w:type="spellEnd"/>
            <w:r w:rsidRPr="006716F8">
              <w:rPr>
                <w:color w:val="0000FF"/>
              </w:rPr>
              <w:t xml:space="preserve"> phosphorus blood levels were higher at the start (2.04+/-0.34 </w:t>
            </w:r>
            <w:proofErr w:type="spellStart"/>
            <w:r w:rsidRPr="006716F8">
              <w:rPr>
                <w:color w:val="0000FF"/>
              </w:rPr>
              <w:t>mmol</w:t>
            </w:r>
            <w:proofErr w:type="spellEnd"/>
            <w:r w:rsidRPr="006716F8">
              <w:rPr>
                <w:color w:val="0000FF"/>
              </w:rPr>
              <w:t xml:space="preserve">/L) than at end of </w:t>
            </w:r>
            <w:proofErr w:type="spellStart"/>
            <w:r w:rsidRPr="006716F8">
              <w:rPr>
                <w:color w:val="0000FF"/>
              </w:rPr>
              <w:t>IDd</w:t>
            </w:r>
            <w:proofErr w:type="spellEnd"/>
            <w:r w:rsidRPr="006716F8">
              <w:rPr>
                <w:color w:val="0000FF"/>
              </w:rPr>
              <w:t xml:space="preserve"> (1.39+/-0.41 </w:t>
            </w:r>
            <w:proofErr w:type="spellStart"/>
            <w:r w:rsidRPr="006716F8">
              <w:rPr>
                <w:color w:val="0000FF"/>
              </w:rPr>
              <w:t>mmol</w:t>
            </w:r>
            <w:proofErr w:type="spellEnd"/>
            <w:r w:rsidRPr="006716F8">
              <w:rPr>
                <w:color w:val="0000FF"/>
              </w:rPr>
              <w:t xml:space="preserve">/L) without need for carbonate of calcium in four of five cases. During conventional </w:t>
            </w:r>
            <w:r w:rsidRPr="006716F8">
              <w:rPr>
                <w:rStyle w:val="highlight"/>
                <w:color w:val="0000FF"/>
              </w:rPr>
              <w:t>dialysis</w:t>
            </w:r>
            <w:r w:rsidRPr="006716F8">
              <w:rPr>
                <w:color w:val="0000FF"/>
              </w:rPr>
              <w:t xml:space="preserve"> </w:t>
            </w:r>
            <w:proofErr w:type="spellStart"/>
            <w:r w:rsidRPr="006716F8">
              <w:rPr>
                <w:color w:val="0000FF"/>
              </w:rPr>
              <w:t>ht</w:t>
            </w:r>
            <w:proofErr w:type="spellEnd"/>
            <w:r w:rsidRPr="006716F8">
              <w:rPr>
                <w:color w:val="0000FF"/>
              </w:rPr>
              <w:t xml:space="preserve"> SDS decreased from -0.8 to -1.44, which occurred predominantly before </w:t>
            </w:r>
            <w:proofErr w:type="spellStart"/>
            <w:r w:rsidRPr="006716F8">
              <w:rPr>
                <w:color w:val="0000FF"/>
              </w:rPr>
              <w:t>rhGH</w:t>
            </w:r>
            <w:proofErr w:type="spellEnd"/>
            <w:r w:rsidRPr="006716F8">
              <w:rPr>
                <w:color w:val="0000FF"/>
              </w:rPr>
              <w:t xml:space="preserve"> start. Conversion to </w:t>
            </w:r>
            <w:proofErr w:type="spellStart"/>
            <w:r w:rsidRPr="006716F8">
              <w:rPr>
                <w:color w:val="0000FF"/>
              </w:rPr>
              <w:t>IDd</w:t>
            </w:r>
            <w:proofErr w:type="spellEnd"/>
            <w:r w:rsidRPr="006716F8">
              <w:rPr>
                <w:color w:val="0000FF"/>
              </w:rPr>
              <w:t xml:space="preserve"> significantly increased growth velocity to a mean of 13 cm/year (10.3-18) with a mean change of +1.84 </w:t>
            </w:r>
            <w:proofErr w:type="spellStart"/>
            <w:r w:rsidRPr="006716F8">
              <w:rPr>
                <w:color w:val="0000FF"/>
              </w:rPr>
              <w:t>ht</w:t>
            </w:r>
            <w:proofErr w:type="spellEnd"/>
            <w:r w:rsidRPr="006716F8">
              <w:rPr>
                <w:color w:val="0000FF"/>
              </w:rPr>
              <w:t xml:space="preserve"> SDS/year (0.4 to 2.7). This preliminary report suggests the potential efficacy of </w:t>
            </w:r>
            <w:proofErr w:type="spellStart"/>
            <w:r w:rsidRPr="006716F8">
              <w:rPr>
                <w:color w:val="0000FF"/>
              </w:rPr>
              <w:t>IDd</w:t>
            </w:r>
            <w:proofErr w:type="spellEnd"/>
            <w:r w:rsidRPr="006716F8">
              <w:rPr>
                <w:color w:val="0000FF"/>
              </w:rPr>
              <w:t xml:space="preserve"> regimen in promising growth velocity, either directly </w:t>
            </w:r>
            <w:r w:rsidRPr="006716F8">
              <w:rPr>
                <w:color w:val="0000FF"/>
              </w:rPr>
              <w:lastRenderedPageBreak/>
              <w:t xml:space="preserve">from a higher </w:t>
            </w:r>
            <w:r w:rsidRPr="006716F8">
              <w:rPr>
                <w:rStyle w:val="highlight"/>
                <w:color w:val="0000FF"/>
              </w:rPr>
              <w:t>dialysis</w:t>
            </w:r>
            <w:r w:rsidRPr="006716F8">
              <w:rPr>
                <w:color w:val="0000FF"/>
              </w:rPr>
              <w:t xml:space="preserve"> dose or indirectly through an improved nutritional status.</w:t>
            </w:r>
            <w:r w:rsidRPr="006716F8">
              <w:rPr>
                <w:color w:val="0000FF"/>
              </w:rPr>
              <w:br/>
            </w:r>
          </w:p>
          <w:p w14:paraId="312CC7B2" w14:textId="77777777" w:rsidR="00387B66" w:rsidRPr="006716F8" w:rsidRDefault="00387B66" w:rsidP="00387B66">
            <w:pPr>
              <w:pStyle w:val="ListParagraph"/>
              <w:numPr>
                <w:ilvl w:val="0"/>
                <w:numId w:val="15"/>
              </w:numPr>
              <w:rPr>
                <w:color w:val="0000FF"/>
              </w:rPr>
            </w:pPr>
            <w:proofErr w:type="spellStart"/>
            <w:r w:rsidRPr="006716F8">
              <w:rPr>
                <w:color w:val="0000FF"/>
              </w:rPr>
              <w:t>Daugirdas</w:t>
            </w:r>
            <w:proofErr w:type="spellEnd"/>
            <w:r w:rsidRPr="006716F8">
              <w:rPr>
                <w:color w:val="0000FF"/>
              </w:rPr>
              <w:t xml:space="preserve"> JT. Dialysis dosing for chronic hemodialysis: beyond </w:t>
            </w:r>
            <w:proofErr w:type="spellStart"/>
            <w:r w:rsidRPr="006716F8">
              <w:rPr>
                <w:color w:val="0000FF"/>
              </w:rPr>
              <w:t>Kt</w:t>
            </w:r>
            <w:proofErr w:type="spellEnd"/>
            <w:r w:rsidRPr="006716F8">
              <w:rPr>
                <w:color w:val="0000FF"/>
              </w:rPr>
              <w:t xml:space="preserve">/V. </w:t>
            </w:r>
            <w:proofErr w:type="spellStart"/>
            <w:r w:rsidRPr="006716F8">
              <w:rPr>
                <w:color w:val="0000FF"/>
              </w:rPr>
              <w:t>Semin</w:t>
            </w:r>
            <w:proofErr w:type="spellEnd"/>
            <w:r w:rsidRPr="006716F8">
              <w:rPr>
                <w:color w:val="0000FF"/>
              </w:rPr>
              <w:t xml:space="preserve"> Dial. 2014 Mar</w:t>
            </w:r>
            <w:proofErr w:type="gramStart"/>
            <w:r w:rsidRPr="006716F8">
              <w:rPr>
                <w:color w:val="0000FF"/>
              </w:rPr>
              <w:t>;27</w:t>
            </w:r>
            <w:proofErr w:type="gramEnd"/>
            <w:r w:rsidRPr="006716F8">
              <w:rPr>
                <w:color w:val="0000FF"/>
              </w:rPr>
              <w:t>(2):98-107.</w:t>
            </w:r>
            <w:r w:rsidRPr="006716F8">
              <w:rPr>
                <w:color w:val="0000FF"/>
              </w:rPr>
              <w:br/>
            </w:r>
          </w:p>
          <w:p w14:paraId="1DF5D2C7" w14:textId="77777777" w:rsidR="00387B66" w:rsidRPr="006716F8" w:rsidRDefault="00387B66" w:rsidP="00387B66">
            <w:pPr>
              <w:pStyle w:val="ListParagraph"/>
              <w:ind w:firstLine="0"/>
              <w:rPr>
                <w:color w:val="0000FF"/>
              </w:rPr>
            </w:pPr>
            <w:r w:rsidRPr="006716F8">
              <w:rPr>
                <w:color w:val="0000FF"/>
              </w:rPr>
              <w:t xml:space="preserve">Abstract: Current views regarding </w:t>
            </w:r>
            <w:r w:rsidRPr="006716F8">
              <w:rPr>
                <w:rStyle w:val="highlight"/>
                <w:color w:val="0000FF"/>
              </w:rPr>
              <w:t>hemodialysis</w:t>
            </w:r>
            <w:r w:rsidRPr="006716F8">
              <w:rPr>
                <w:color w:val="0000FF"/>
              </w:rPr>
              <w:t xml:space="preserve"> </w:t>
            </w:r>
            <w:r w:rsidRPr="006716F8">
              <w:rPr>
                <w:rStyle w:val="highlight"/>
                <w:color w:val="0000FF"/>
              </w:rPr>
              <w:t>adequacy</w:t>
            </w:r>
            <w:r w:rsidRPr="006716F8">
              <w:rPr>
                <w:color w:val="0000FF"/>
              </w:rPr>
              <w:t xml:space="preserve"> reach beyond indices of small solute removal such as </w:t>
            </w:r>
            <w:proofErr w:type="spellStart"/>
            <w:r w:rsidRPr="006716F8">
              <w:rPr>
                <w:color w:val="0000FF"/>
              </w:rPr>
              <w:t>Kt</w:t>
            </w:r>
            <w:proofErr w:type="spellEnd"/>
            <w:r w:rsidRPr="006716F8">
              <w:rPr>
                <w:color w:val="0000FF"/>
              </w:rPr>
              <w:t xml:space="preserve">/V. Nevertheless, new </w:t>
            </w:r>
            <w:proofErr w:type="spellStart"/>
            <w:r w:rsidRPr="006716F8">
              <w:rPr>
                <w:color w:val="0000FF"/>
              </w:rPr>
              <w:t>Kt</w:t>
            </w:r>
            <w:proofErr w:type="spellEnd"/>
            <w:r w:rsidRPr="006716F8">
              <w:rPr>
                <w:color w:val="0000FF"/>
              </w:rPr>
              <w:t xml:space="preserve">/V-based constructs such as the standard </w:t>
            </w:r>
            <w:proofErr w:type="spellStart"/>
            <w:r w:rsidRPr="006716F8">
              <w:rPr>
                <w:color w:val="0000FF"/>
              </w:rPr>
              <w:t>Kt</w:t>
            </w:r>
            <w:proofErr w:type="spellEnd"/>
            <w:r w:rsidRPr="006716F8">
              <w:rPr>
                <w:color w:val="0000FF"/>
              </w:rPr>
              <w:t xml:space="preserve">/V, which adjusts not only for </w:t>
            </w:r>
            <w:r w:rsidRPr="006716F8">
              <w:rPr>
                <w:rStyle w:val="highlight"/>
                <w:color w:val="0000FF"/>
              </w:rPr>
              <w:t>dialysis</w:t>
            </w:r>
            <w:r w:rsidRPr="006716F8">
              <w:rPr>
                <w:color w:val="0000FF"/>
              </w:rPr>
              <w:t xml:space="preserve"> frequency, but which also represents removal of sequestered solutes rather than easily removed urea, continue to be useful. The scaling of </w:t>
            </w:r>
            <w:r w:rsidRPr="006716F8">
              <w:rPr>
                <w:rStyle w:val="highlight"/>
                <w:color w:val="0000FF"/>
              </w:rPr>
              <w:t>dialysis</w:t>
            </w:r>
            <w:r w:rsidRPr="006716F8">
              <w:rPr>
                <w:color w:val="0000FF"/>
              </w:rPr>
              <w:t xml:space="preserve"> dose to measures of size other than body water results in higher recommended doses of </w:t>
            </w:r>
            <w:r w:rsidRPr="006716F8">
              <w:rPr>
                <w:rStyle w:val="highlight"/>
                <w:color w:val="0000FF"/>
              </w:rPr>
              <w:t>dialysis</w:t>
            </w:r>
            <w:r w:rsidRPr="006716F8">
              <w:rPr>
                <w:color w:val="0000FF"/>
              </w:rPr>
              <w:t xml:space="preserve"> for children, small </w:t>
            </w:r>
            <w:r w:rsidRPr="006716F8">
              <w:rPr>
                <w:rStyle w:val="highlight"/>
                <w:color w:val="0000FF"/>
              </w:rPr>
              <w:t>patients</w:t>
            </w:r>
            <w:r w:rsidRPr="006716F8">
              <w:rPr>
                <w:color w:val="0000FF"/>
              </w:rPr>
              <w:t xml:space="preserve">, and women, compared with the current body water-based scaling approach. Aside from small solute removal, increasing weekly time on </w:t>
            </w:r>
            <w:r w:rsidRPr="006716F8">
              <w:rPr>
                <w:rStyle w:val="highlight"/>
                <w:color w:val="0000FF"/>
              </w:rPr>
              <w:t>dialysis</w:t>
            </w:r>
            <w:r w:rsidRPr="006716F8">
              <w:rPr>
                <w:color w:val="0000FF"/>
              </w:rPr>
              <w:t xml:space="preserve"> results in slower removal of fluid with better tolerance and with increased removal of phosphorus, although both salt and water and phosphorus control often respond to efforts to reduce intake. The intermediate term benefits of removing larger middle molecules such as beta-2-microglobulin appear to be modest, and the benefits of removal of protein-bound uremic toxins remain to be proved in controlled trials.</w:t>
            </w:r>
            <w:r w:rsidRPr="006716F8">
              <w:rPr>
                <w:color w:val="0000FF"/>
              </w:rPr>
              <w:br/>
            </w:r>
          </w:p>
          <w:p w14:paraId="7AA3F155" w14:textId="77777777" w:rsidR="00387B66" w:rsidRPr="006716F8" w:rsidRDefault="00387B66" w:rsidP="00387B66">
            <w:pPr>
              <w:pStyle w:val="ListParagraph"/>
              <w:numPr>
                <w:ilvl w:val="0"/>
                <w:numId w:val="15"/>
              </w:numPr>
              <w:rPr>
                <w:color w:val="0000FF"/>
              </w:rPr>
            </w:pPr>
            <w:r w:rsidRPr="006716F8">
              <w:rPr>
                <w:color w:val="0000FF"/>
              </w:rPr>
              <w:t xml:space="preserve">Kaur A, Davenport A. Hemodialysis for infants, children, and adolescents. </w:t>
            </w:r>
            <w:proofErr w:type="spellStart"/>
            <w:r w:rsidRPr="006716F8">
              <w:rPr>
                <w:color w:val="0000FF"/>
              </w:rPr>
              <w:t>Hemodial</w:t>
            </w:r>
            <w:proofErr w:type="spellEnd"/>
            <w:r w:rsidRPr="006716F8">
              <w:rPr>
                <w:color w:val="0000FF"/>
              </w:rPr>
              <w:t xml:space="preserve"> Int. 2014 Apr 14. </w:t>
            </w:r>
            <w:proofErr w:type="spellStart"/>
            <w:proofErr w:type="gramStart"/>
            <w:r w:rsidRPr="006716F8">
              <w:rPr>
                <w:color w:val="0000FF"/>
              </w:rPr>
              <w:t>doi</w:t>
            </w:r>
            <w:proofErr w:type="spellEnd"/>
            <w:proofErr w:type="gramEnd"/>
            <w:r w:rsidRPr="006716F8">
              <w:rPr>
                <w:color w:val="0000FF"/>
              </w:rPr>
              <w:t>: 10.1111/hdi.12163. [</w:t>
            </w:r>
            <w:proofErr w:type="spellStart"/>
            <w:r w:rsidRPr="006716F8">
              <w:rPr>
                <w:color w:val="0000FF"/>
              </w:rPr>
              <w:t>Epub</w:t>
            </w:r>
            <w:proofErr w:type="spellEnd"/>
            <w:r w:rsidRPr="006716F8">
              <w:rPr>
                <w:color w:val="0000FF"/>
              </w:rPr>
              <w:t xml:space="preserve"> ahead of print]</w:t>
            </w:r>
            <w:r w:rsidRPr="006716F8">
              <w:rPr>
                <w:color w:val="0000FF"/>
              </w:rPr>
              <w:br/>
            </w:r>
          </w:p>
          <w:p w14:paraId="7E6E504C" w14:textId="77777777" w:rsidR="00387B66" w:rsidRPr="006716F8" w:rsidRDefault="00387B66" w:rsidP="00387B66">
            <w:pPr>
              <w:pStyle w:val="ListParagraph"/>
              <w:ind w:firstLine="0"/>
              <w:rPr>
                <w:color w:val="0000FF"/>
              </w:rPr>
            </w:pPr>
            <w:r w:rsidRPr="006716F8">
              <w:rPr>
                <w:color w:val="0000FF"/>
              </w:rPr>
              <w:lastRenderedPageBreak/>
              <w:t>Abstract: Children with chronic kidney disease stage 5 requiring dialysis can be treated by peritoneal or hemodialysis. In the United Kingdom nearly twice as many children receive peritoneal dialysis compared with hemodialysis. Technical aspects of pediatric hemodialysis are challenging and include the relative size of extracorporeal circuit and child's blood volume, assessment of adequacy, technical and complications of vascular access. Alternatives to standard hospital-based hemodialysis are also increasingly available. Optimizing nutritional status with the support of specialist pediatric dietitians is key to the management of children receiving hemodialysis. The effects of chronic illness on growth and school achievement, as well as the psychological, emotional, and social development of the child should not be underestimated. This review focuses on the above elements and highlights common pediatric practice in the United Kingdom.</w:t>
            </w:r>
            <w:r w:rsidRPr="006716F8">
              <w:rPr>
                <w:color w:val="0000FF"/>
              </w:rPr>
              <w:br/>
            </w:r>
          </w:p>
          <w:p w14:paraId="690B6EB7" w14:textId="77777777" w:rsidR="00387B66" w:rsidRPr="006716F8" w:rsidRDefault="00387B66" w:rsidP="00387B66">
            <w:pPr>
              <w:pStyle w:val="ListParagraph"/>
              <w:numPr>
                <w:ilvl w:val="0"/>
                <w:numId w:val="15"/>
              </w:numPr>
              <w:rPr>
                <w:color w:val="0000FF"/>
              </w:rPr>
            </w:pPr>
            <w:r w:rsidRPr="006716F8">
              <w:rPr>
                <w:color w:val="0000FF"/>
              </w:rPr>
              <w:t xml:space="preserve">Dunne N, Campbell M, Fitzpatrick M, </w:t>
            </w:r>
            <w:proofErr w:type="spellStart"/>
            <w:r w:rsidRPr="006716F8">
              <w:rPr>
                <w:color w:val="0000FF"/>
              </w:rPr>
              <w:t>Callery</w:t>
            </w:r>
            <w:proofErr w:type="spellEnd"/>
            <w:r w:rsidRPr="006716F8">
              <w:rPr>
                <w:color w:val="0000FF"/>
              </w:rPr>
              <w:t xml:space="preserve"> P. Comparison of </w:t>
            </w:r>
            <w:proofErr w:type="spellStart"/>
            <w:r w:rsidRPr="006716F8">
              <w:rPr>
                <w:color w:val="0000FF"/>
              </w:rPr>
              <w:t>Kt</w:t>
            </w:r>
            <w:proofErr w:type="spellEnd"/>
            <w:r w:rsidRPr="006716F8">
              <w:rPr>
                <w:color w:val="0000FF"/>
              </w:rPr>
              <w:t xml:space="preserve">/V and urea reduction ratio in measuring dialysis adequacy in </w:t>
            </w:r>
            <w:proofErr w:type="spellStart"/>
            <w:r w:rsidRPr="006716F8">
              <w:rPr>
                <w:color w:val="0000FF"/>
              </w:rPr>
              <w:t>paediatric</w:t>
            </w:r>
            <w:proofErr w:type="spellEnd"/>
            <w:r w:rsidRPr="006716F8">
              <w:rPr>
                <w:color w:val="0000FF"/>
              </w:rPr>
              <w:t xml:space="preserve"> </w:t>
            </w:r>
            <w:proofErr w:type="spellStart"/>
            <w:r w:rsidRPr="006716F8">
              <w:rPr>
                <w:color w:val="0000FF"/>
              </w:rPr>
              <w:t>haemodialysis</w:t>
            </w:r>
            <w:proofErr w:type="spellEnd"/>
            <w:r w:rsidRPr="006716F8">
              <w:rPr>
                <w:color w:val="0000FF"/>
              </w:rPr>
              <w:t xml:space="preserve"> in </w:t>
            </w:r>
            <w:proofErr w:type="spellStart"/>
            <w:r w:rsidRPr="006716F8">
              <w:rPr>
                <w:color w:val="0000FF"/>
              </w:rPr>
              <w:t>England.J</w:t>
            </w:r>
            <w:proofErr w:type="spellEnd"/>
            <w:r w:rsidRPr="006716F8">
              <w:rPr>
                <w:color w:val="0000FF"/>
              </w:rPr>
              <w:t xml:space="preserve"> Ren Care. 2014 Jun</w:t>
            </w:r>
            <w:proofErr w:type="gramStart"/>
            <w:r w:rsidRPr="006716F8">
              <w:rPr>
                <w:color w:val="0000FF"/>
              </w:rPr>
              <w:t>;40</w:t>
            </w:r>
            <w:proofErr w:type="gramEnd"/>
            <w:r w:rsidRPr="006716F8">
              <w:rPr>
                <w:color w:val="0000FF"/>
              </w:rPr>
              <w:t xml:space="preserve">(2):117-24. </w:t>
            </w:r>
            <w:proofErr w:type="spellStart"/>
            <w:proofErr w:type="gramStart"/>
            <w:r w:rsidRPr="006716F8">
              <w:rPr>
                <w:color w:val="0000FF"/>
              </w:rPr>
              <w:t>doi</w:t>
            </w:r>
            <w:proofErr w:type="spellEnd"/>
            <w:proofErr w:type="gramEnd"/>
            <w:r w:rsidRPr="006716F8">
              <w:rPr>
                <w:color w:val="0000FF"/>
              </w:rPr>
              <w:t xml:space="preserve">: 10.1111/jorc.12059. </w:t>
            </w:r>
            <w:proofErr w:type="spellStart"/>
            <w:r w:rsidRPr="006716F8">
              <w:rPr>
                <w:color w:val="0000FF"/>
              </w:rPr>
              <w:t>Epub</w:t>
            </w:r>
            <w:proofErr w:type="spellEnd"/>
            <w:r w:rsidRPr="006716F8">
              <w:rPr>
                <w:color w:val="0000FF"/>
              </w:rPr>
              <w:t xml:space="preserve"> 2014 Mar 20.</w:t>
            </w:r>
            <w:r w:rsidRPr="006716F8">
              <w:rPr>
                <w:color w:val="0000FF"/>
              </w:rPr>
              <w:br/>
            </w:r>
          </w:p>
          <w:p w14:paraId="76A34D1A" w14:textId="77777777" w:rsidR="00387B66" w:rsidRPr="006716F8" w:rsidRDefault="00387B66" w:rsidP="00387B66">
            <w:pPr>
              <w:pStyle w:val="ListParagraph"/>
              <w:ind w:firstLine="0"/>
              <w:rPr>
                <w:color w:val="0000FF"/>
              </w:rPr>
            </w:pPr>
            <w:r w:rsidRPr="006716F8">
              <w:rPr>
                <w:color w:val="0000FF"/>
              </w:rPr>
              <w:t>Abstract</w:t>
            </w:r>
            <w:proofErr w:type="gramStart"/>
            <w:r w:rsidRPr="006716F8">
              <w:rPr>
                <w:color w:val="0000FF"/>
              </w:rPr>
              <w:t>:</w:t>
            </w:r>
            <w:proofErr w:type="gramEnd"/>
            <w:r w:rsidRPr="006716F8">
              <w:rPr>
                <w:color w:val="0000FF"/>
              </w:rPr>
              <w:br/>
              <w:t xml:space="preserve">Background: The National Kidney Foundation-Dialysis Outcomes Quality Initiative (KDOQI) guidelines and the Renal Association recommend the use of either </w:t>
            </w:r>
            <w:proofErr w:type="spellStart"/>
            <w:r w:rsidRPr="006716F8">
              <w:rPr>
                <w:color w:val="0000FF"/>
              </w:rPr>
              <w:t>Kt</w:t>
            </w:r>
            <w:proofErr w:type="spellEnd"/>
            <w:r w:rsidRPr="006716F8">
              <w:rPr>
                <w:color w:val="0000FF"/>
              </w:rPr>
              <w:t xml:space="preserve">/V or urea reduction ratio (URR) to measure </w:t>
            </w:r>
            <w:proofErr w:type="spellStart"/>
            <w:r w:rsidRPr="006716F8">
              <w:rPr>
                <w:color w:val="0000FF"/>
              </w:rPr>
              <w:t>haemodialysis</w:t>
            </w:r>
            <w:proofErr w:type="spellEnd"/>
            <w:r w:rsidRPr="006716F8">
              <w:rPr>
                <w:color w:val="0000FF"/>
              </w:rPr>
              <w:t xml:space="preserve"> adequacy. </w:t>
            </w:r>
            <w:r w:rsidRPr="006716F8">
              <w:rPr>
                <w:color w:val="0000FF"/>
              </w:rPr>
              <w:br/>
            </w:r>
            <w:r w:rsidRPr="006716F8">
              <w:rPr>
                <w:color w:val="0000FF"/>
              </w:rPr>
              <w:lastRenderedPageBreak/>
              <w:t xml:space="preserve">Objectives: To determine the methods used to measure </w:t>
            </w:r>
            <w:proofErr w:type="spellStart"/>
            <w:r w:rsidRPr="006716F8">
              <w:rPr>
                <w:color w:val="0000FF"/>
              </w:rPr>
              <w:t>paediatric</w:t>
            </w:r>
            <w:proofErr w:type="spellEnd"/>
            <w:r w:rsidRPr="006716F8">
              <w:rPr>
                <w:color w:val="0000FF"/>
              </w:rPr>
              <w:t xml:space="preserve"> </w:t>
            </w:r>
            <w:proofErr w:type="spellStart"/>
            <w:r w:rsidRPr="006716F8">
              <w:rPr>
                <w:color w:val="0000FF"/>
              </w:rPr>
              <w:t>haemodialysis</w:t>
            </w:r>
            <w:proofErr w:type="spellEnd"/>
            <w:r w:rsidRPr="006716F8">
              <w:rPr>
                <w:color w:val="0000FF"/>
              </w:rPr>
              <w:t xml:space="preserve"> adequacy and to assess consistency between calculations of single pool </w:t>
            </w:r>
            <w:proofErr w:type="spellStart"/>
            <w:r w:rsidRPr="006716F8">
              <w:rPr>
                <w:color w:val="0000FF"/>
              </w:rPr>
              <w:t>Kt</w:t>
            </w:r>
            <w:proofErr w:type="spellEnd"/>
            <w:r w:rsidRPr="006716F8">
              <w:rPr>
                <w:color w:val="0000FF"/>
              </w:rPr>
              <w:t>/V (</w:t>
            </w:r>
            <w:proofErr w:type="spellStart"/>
            <w:r w:rsidRPr="006716F8">
              <w:rPr>
                <w:color w:val="0000FF"/>
              </w:rPr>
              <w:t>spKt</w:t>
            </w:r>
            <w:proofErr w:type="spellEnd"/>
            <w:r w:rsidRPr="006716F8">
              <w:rPr>
                <w:color w:val="0000FF"/>
              </w:rPr>
              <w:t xml:space="preserve">/V) and URR. </w:t>
            </w:r>
            <w:r w:rsidRPr="006716F8">
              <w:rPr>
                <w:color w:val="0000FF"/>
              </w:rPr>
              <w:br/>
              <w:t xml:space="preserve">Design: A service evaluation was conducted to establish current practices in measuring dialysis adequacy. A prospective longitudinal study was conducted to compare </w:t>
            </w:r>
            <w:proofErr w:type="spellStart"/>
            <w:r w:rsidRPr="006716F8">
              <w:rPr>
                <w:color w:val="0000FF"/>
              </w:rPr>
              <w:t>spKt</w:t>
            </w:r>
            <w:proofErr w:type="spellEnd"/>
            <w:r w:rsidRPr="006716F8">
              <w:rPr>
                <w:color w:val="0000FF"/>
              </w:rPr>
              <w:t xml:space="preserve">/V and URR. Participants: Thirty-two children were recruited consisting of 13 males and 19 females in five </w:t>
            </w:r>
            <w:proofErr w:type="spellStart"/>
            <w:r w:rsidRPr="006716F8">
              <w:rPr>
                <w:color w:val="0000FF"/>
              </w:rPr>
              <w:t>paediatric</w:t>
            </w:r>
            <w:proofErr w:type="spellEnd"/>
            <w:r w:rsidRPr="006716F8">
              <w:rPr>
                <w:color w:val="0000FF"/>
              </w:rPr>
              <w:t xml:space="preserve"> dialysis </w:t>
            </w:r>
            <w:proofErr w:type="spellStart"/>
            <w:r w:rsidRPr="006716F8">
              <w:rPr>
                <w:color w:val="0000FF"/>
              </w:rPr>
              <w:t>centres</w:t>
            </w:r>
            <w:proofErr w:type="spellEnd"/>
            <w:r w:rsidRPr="006716F8">
              <w:rPr>
                <w:color w:val="0000FF"/>
              </w:rPr>
              <w:t xml:space="preserve">. </w:t>
            </w:r>
            <w:r w:rsidRPr="006716F8">
              <w:rPr>
                <w:color w:val="0000FF"/>
              </w:rPr>
              <w:br/>
              <w:t xml:space="preserve">Results: Inconsistencies were reported of the method of post-urea sampling with 4 of the 10 </w:t>
            </w:r>
            <w:proofErr w:type="spellStart"/>
            <w:r w:rsidRPr="006716F8">
              <w:rPr>
                <w:color w:val="0000FF"/>
              </w:rPr>
              <w:t>centres</w:t>
            </w:r>
            <w:proofErr w:type="spellEnd"/>
            <w:r w:rsidRPr="006716F8">
              <w:rPr>
                <w:color w:val="0000FF"/>
              </w:rPr>
              <w:t xml:space="preserve"> using the KDOQI recommended sampling method. Five dialysis </w:t>
            </w:r>
            <w:proofErr w:type="spellStart"/>
            <w:r w:rsidRPr="006716F8">
              <w:rPr>
                <w:color w:val="0000FF"/>
              </w:rPr>
              <w:t>centres</w:t>
            </w:r>
            <w:proofErr w:type="spellEnd"/>
            <w:r w:rsidRPr="006716F8">
              <w:rPr>
                <w:color w:val="0000FF"/>
              </w:rPr>
              <w:t xml:space="preserve"> reported using URR and five reported using </w:t>
            </w:r>
            <w:proofErr w:type="spellStart"/>
            <w:r w:rsidRPr="006716F8">
              <w:rPr>
                <w:color w:val="0000FF"/>
              </w:rPr>
              <w:t>spKt</w:t>
            </w:r>
            <w:proofErr w:type="spellEnd"/>
            <w:r w:rsidRPr="006716F8">
              <w:rPr>
                <w:color w:val="0000FF"/>
              </w:rPr>
              <w:t xml:space="preserve">/V. There were substantial differences between the two measures. Using URR suggested that up to 44% of children did not receive adequate dialysis, whereas measurement by </w:t>
            </w:r>
            <w:proofErr w:type="spellStart"/>
            <w:r w:rsidRPr="006716F8">
              <w:rPr>
                <w:color w:val="0000FF"/>
              </w:rPr>
              <w:t>spKt</w:t>
            </w:r>
            <w:proofErr w:type="spellEnd"/>
            <w:r w:rsidRPr="006716F8">
              <w:rPr>
                <w:color w:val="0000FF"/>
              </w:rPr>
              <w:t xml:space="preserve">/V suggested no more than 6% of the same dialysis sessions were not adequate. </w:t>
            </w:r>
            <w:r w:rsidRPr="006716F8">
              <w:rPr>
                <w:color w:val="0000FF"/>
              </w:rPr>
              <w:br/>
              <w:t xml:space="preserve">Conclusion: One standard measure should be used to assess dialysis adequacy in </w:t>
            </w:r>
            <w:proofErr w:type="spellStart"/>
            <w:r w:rsidRPr="006716F8">
              <w:rPr>
                <w:color w:val="0000FF"/>
              </w:rPr>
              <w:t>paediatric</w:t>
            </w:r>
            <w:proofErr w:type="spellEnd"/>
            <w:r w:rsidRPr="006716F8">
              <w:rPr>
                <w:color w:val="0000FF"/>
              </w:rPr>
              <w:t xml:space="preserve"> </w:t>
            </w:r>
            <w:proofErr w:type="spellStart"/>
            <w:r w:rsidRPr="006716F8">
              <w:rPr>
                <w:color w:val="0000FF"/>
              </w:rPr>
              <w:t>centres</w:t>
            </w:r>
            <w:proofErr w:type="spellEnd"/>
            <w:r w:rsidRPr="006716F8">
              <w:rPr>
                <w:color w:val="0000FF"/>
              </w:rPr>
              <w:t xml:space="preserve"> in England. KDOQI guidelines were not consistently followed in obtaining a post-urea blood sample and this procedure should be </w:t>
            </w:r>
            <w:proofErr w:type="spellStart"/>
            <w:r w:rsidRPr="006716F8">
              <w:rPr>
                <w:color w:val="0000FF"/>
              </w:rPr>
              <w:t>standardised</w:t>
            </w:r>
            <w:proofErr w:type="spellEnd"/>
            <w:r w:rsidRPr="006716F8">
              <w:rPr>
                <w:color w:val="0000FF"/>
              </w:rPr>
              <w:t>.</w:t>
            </w:r>
            <w:r w:rsidRPr="006716F8">
              <w:rPr>
                <w:color w:val="0000FF"/>
              </w:rPr>
              <w:br/>
            </w:r>
          </w:p>
          <w:p w14:paraId="71D1CA7D" w14:textId="77777777" w:rsidR="00387B66" w:rsidRPr="006716F8" w:rsidRDefault="00387B66" w:rsidP="00387B66">
            <w:pPr>
              <w:pStyle w:val="ListParagraph"/>
              <w:numPr>
                <w:ilvl w:val="0"/>
                <w:numId w:val="15"/>
              </w:numPr>
              <w:rPr>
                <w:color w:val="0000FF"/>
              </w:rPr>
            </w:pPr>
            <w:proofErr w:type="spellStart"/>
            <w:r w:rsidRPr="006716F8">
              <w:rPr>
                <w:color w:val="0000FF"/>
              </w:rPr>
              <w:t>Cadnapaphornchai</w:t>
            </w:r>
            <w:proofErr w:type="spellEnd"/>
            <w:r w:rsidRPr="006716F8">
              <w:rPr>
                <w:color w:val="0000FF"/>
              </w:rPr>
              <w:t xml:space="preserve"> MA, </w:t>
            </w:r>
            <w:proofErr w:type="spellStart"/>
            <w:r w:rsidRPr="006716F8">
              <w:rPr>
                <w:color w:val="0000FF"/>
              </w:rPr>
              <w:t>Teitelbaum</w:t>
            </w:r>
            <w:proofErr w:type="spellEnd"/>
            <w:r w:rsidRPr="006716F8">
              <w:rPr>
                <w:color w:val="0000FF"/>
              </w:rPr>
              <w:t xml:space="preserve"> I. Strategies for the preservation of residual renal function in pediatric dialysis patients. </w:t>
            </w:r>
            <w:proofErr w:type="spellStart"/>
            <w:r w:rsidRPr="006716F8">
              <w:rPr>
                <w:color w:val="0000FF"/>
              </w:rPr>
              <w:t>Pediatr</w:t>
            </w:r>
            <w:proofErr w:type="spellEnd"/>
            <w:r w:rsidRPr="006716F8">
              <w:rPr>
                <w:color w:val="0000FF"/>
              </w:rPr>
              <w:t xml:space="preserve"> </w:t>
            </w:r>
            <w:proofErr w:type="spellStart"/>
            <w:r w:rsidRPr="006716F8">
              <w:rPr>
                <w:color w:val="0000FF"/>
              </w:rPr>
              <w:t>Nephrol</w:t>
            </w:r>
            <w:proofErr w:type="spellEnd"/>
            <w:r w:rsidRPr="006716F8">
              <w:rPr>
                <w:color w:val="0000FF"/>
              </w:rPr>
              <w:t>. 2014 May</w:t>
            </w:r>
            <w:proofErr w:type="gramStart"/>
            <w:r w:rsidRPr="006716F8">
              <w:rPr>
                <w:color w:val="0000FF"/>
              </w:rPr>
              <w:t>;29</w:t>
            </w:r>
            <w:proofErr w:type="gramEnd"/>
            <w:r w:rsidRPr="006716F8">
              <w:rPr>
                <w:color w:val="0000FF"/>
              </w:rPr>
              <w:t xml:space="preserve">(5):825-36; quiz 832. </w:t>
            </w:r>
            <w:proofErr w:type="spellStart"/>
            <w:proofErr w:type="gramStart"/>
            <w:r w:rsidRPr="006716F8">
              <w:rPr>
                <w:color w:val="0000FF"/>
              </w:rPr>
              <w:t>doi</w:t>
            </w:r>
            <w:proofErr w:type="spellEnd"/>
            <w:proofErr w:type="gramEnd"/>
            <w:r w:rsidRPr="006716F8">
              <w:rPr>
                <w:color w:val="0000FF"/>
              </w:rPr>
              <w:t xml:space="preserve">: 10.1007/s00467-013-2554-0. </w:t>
            </w:r>
            <w:proofErr w:type="spellStart"/>
            <w:r w:rsidRPr="006716F8">
              <w:rPr>
                <w:color w:val="0000FF"/>
              </w:rPr>
              <w:t>Epub</w:t>
            </w:r>
            <w:proofErr w:type="spellEnd"/>
            <w:r w:rsidRPr="006716F8">
              <w:rPr>
                <w:color w:val="0000FF"/>
              </w:rPr>
              <w:t xml:space="preserve"> 2013 </w:t>
            </w:r>
            <w:r w:rsidRPr="006716F8">
              <w:rPr>
                <w:color w:val="0000FF"/>
              </w:rPr>
              <w:lastRenderedPageBreak/>
              <w:t>Jul 19.</w:t>
            </w:r>
            <w:r w:rsidRPr="006716F8">
              <w:rPr>
                <w:color w:val="0000FF"/>
              </w:rPr>
              <w:br/>
            </w:r>
          </w:p>
          <w:p w14:paraId="18521AEB" w14:textId="77777777" w:rsidR="00387B66" w:rsidRPr="006716F8" w:rsidRDefault="00387B66" w:rsidP="00387B66">
            <w:pPr>
              <w:pStyle w:val="ListParagraph"/>
              <w:ind w:firstLine="0"/>
              <w:rPr>
                <w:color w:val="0000FF"/>
              </w:rPr>
            </w:pPr>
            <w:r w:rsidRPr="006716F8">
              <w:rPr>
                <w:color w:val="0000FF"/>
              </w:rPr>
              <w:t xml:space="preserve">Abstract: In adults with end-stage </w:t>
            </w:r>
            <w:r w:rsidRPr="006716F8">
              <w:rPr>
                <w:rStyle w:val="highlight"/>
                <w:color w:val="0000FF"/>
              </w:rPr>
              <w:t>renal</w:t>
            </w:r>
            <w:r w:rsidRPr="006716F8">
              <w:rPr>
                <w:color w:val="0000FF"/>
              </w:rPr>
              <w:t xml:space="preserve"> disease (ESRD), the preservation of residual </w:t>
            </w:r>
            <w:r w:rsidRPr="006716F8">
              <w:rPr>
                <w:rStyle w:val="highlight"/>
                <w:color w:val="0000FF"/>
              </w:rPr>
              <w:t>renal</w:t>
            </w:r>
            <w:r w:rsidRPr="006716F8">
              <w:rPr>
                <w:color w:val="0000FF"/>
              </w:rPr>
              <w:t xml:space="preserve"> function (RRF) has been shown to be associated with decreased mortality and improved control of complications of chronic kidney disease. However, less is known on the benefits of RRF in the pediatric </w:t>
            </w:r>
            <w:r w:rsidRPr="006716F8">
              <w:rPr>
                <w:rStyle w:val="highlight"/>
                <w:color w:val="0000FF"/>
              </w:rPr>
              <w:t>dialysis</w:t>
            </w:r>
            <w:r w:rsidRPr="006716F8">
              <w:rPr>
                <w:color w:val="0000FF"/>
              </w:rPr>
              <w:t xml:space="preserve"> population. The purpose of this article is to review the </w:t>
            </w:r>
            <w:r w:rsidRPr="006716F8">
              <w:rPr>
                <w:rStyle w:val="highlight"/>
                <w:color w:val="0000FF"/>
              </w:rPr>
              <w:t>clinical</w:t>
            </w:r>
            <w:r w:rsidRPr="006716F8">
              <w:rPr>
                <w:color w:val="0000FF"/>
              </w:rPr>
              <w:t xml:space="preserve"> significance of RRF and to discuss strategies for the preservation of RRF in children with ESRD.</w:t>
            </w:r>
          </w:p>
          <w:p w14:paraId="26A3F163" w14:textId="77777777" w:rsidR="00387B66" w:rsidRPr="00387B66" w:rsidRDefault="00387B66" w:rsidP="00387B66">
            <w:pPr>
              <w:ind w:left="0" w:firstLine="0"/>
              <w:rPr>
                <w:b/>
                <w:color w:val="0000FF"/>
              </w:rPr>
            </w:pPr>
          </w:p>
          <w:p w14:paraId="55B8DA92" w14:textId="77777777" w:rsidR="000E5C93" w:rsidRPr="006257CC" w:rsidRDefault="000E5C93" w:rsidP="002E2177">
            <w:pPr>
              <w:ind w:left="0" w:firstLine="0"/>
              <w:rPr>
                <w:color w:val="0000FF"/>
              </w:rPr>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6" w:name="Section1a8"/>
      <w:bookmarkEnd w:id="6"/>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49B2111D"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4F474ED0" w14:textId="05FD0EBF" w:rsidR="006257CC" w:rsidRPr="006257CC" w:rsidRDefault="006257CC" w:rsidP="002E2177">
      <w:pPr>
        <w:ind w:left="0" w:firstLine="0"/>
        <w:rPr>
          <w:color w:val="0000FF"/>
        </w:rPr>
      </w:pPr>
      <w:r w:rsidRPr="006257CC">
        <w:rPr>
          <w:color w:val="0000FF"/>
        </w:rPr>
        <w:t>N/A</w:t>
      </w:r>
    </w:p>
    <w:p w14:paraId="55B8DA9A" w14:textId="77777777" w:rsidR="000E5C93" w:rsidRDefault="000E5C93" w:rsidP="002E2177">
      <w:pPr>
        <w:ind w:left="0" w:firstLine="0"/>
        <w:rPr>
          <w:b/>
        </w:rPr>
      </w:pPr>
    </w:p>
    <w:p w14:paraId="55B8DA9B" w14:textId="1CDBB65C" w:rsidR="00837121" w:rsidRDefault="000E5C93" w:rsidP="002E2177">
      <w:pPr>
        <w:ind w:left="0" w:firstLine="0"/>
        <w:rPr>
          <w:b/>
        </w:rPr>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33EFAD08" w14:textId="1D87A0A1" w:rsidR="006257CC" w:rsidRPr="003B1CC5" w:rsidRDefault="00387B66" w:rsidP="002E2177">
      <w:pPr>
        <w:ind w:left="0" w:firstLine="0"/>
      </w:pPr>
      <w:r w:rsidRPr="006257CC">
        <w:rPr>
          <w:color w:val="0000FF"/>
        </w:rPr>
        <w:t>N/A</w:t>
      </w:r>
      <w:r w:rsidR="006257CC">
        <w:rPr>
          <w:color w:val="0000FF"/>
        </w:rPr>
        <w:br/>
      </w:r>
      <w:bookmarkStart w:id="7" w:name="_GoBack"/>
      <w:bookmarkEnd w:id="7"/>
    </w:p>
    <w:p w14:paraId="55B8DA9C" w14:textId="77777777" w:rsidR="00837121" w:rsidRPr="003B1CC5" w:rsidRDefault="00837121" w:rsidP="002E2177">
      <w:pPr>
        <w:ind w:left="0" w:firstLine="0"/>
      </w:pPr>
    </w:p>
    <w:p w14:paraId="55B8DA9D" w14:textId="6F59C597"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61FE1AC1" w14:textId="7DA07E8E" w:rsidR="006257CC" w:rsidRPr="001B772D" w:rsidRDefault="00387B66" w:rsidP="006716F8">
      <w:pPr>
        <w:ind w:left="0" w:firstLine="0"/>
      </w:pPr>
      <w:r w:rsidRPr="006257CC">
        <w:rPr>
          <w:color w:val="0000FF"/>
        </w:rPr>
        <w:t>N/A</w:t>
      </w:r>
    </w:p>
    <w:sectPr w:rsidR="006257CC"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09D8B1C0"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387B66">
      <w:rPr>
        <w:noProof/>
      </w:rPr>
      <w:t>4</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4F0A"/>
    <w:multiLevelType w:val="hybridMultilevel"/>
    <w:tmpl w:val="E7228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D724B2F"/>
    <w:multiLevelType w:val="hybridMultilevel"/>
    <w:tmpl w:val="2E7EF4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19277AD"/>
    <w:multiLevelType w:val="hybridMultilevel"/>
    <w:tmpl w:val="FE56C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486E58"/>
    <w:multiLevelType w:val="hybridMultilevel"/>
    <w:tmpl w:val="9552DD5A"/>
    <w:lvl w:ilvl="0" w:tplc="BA9C6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5"/>
  </w:num>
  <w:num w:numId="6">
    <w:abstractNumId w:val="4"/>
  </w:num>
  <w:num w:numId="7">
    <w:abstractNumId w:val="13"/>
  </w:num>
  <w:num w:numId="8">
    <w:abstractNumId w:val="12"/>
  </w:num>
  <w:num w:numId="9">
    <w:abstractNumId w:val="14"/>
  </w:num>
  <w:num w:numId="10">
    <w:abstractNumId w:val="1"/>
  </w:num>
  <w:num w:numId="11">
    <w:abstractNumId w:val="7"/>
  </w:num>
  <w:num w:numId="12">
    <w:abstractNumId w:val="10"/>
  </w:num>
  <w:num w:numId="13">
    <w:abstractNumId w:val="11"/>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E74CD"/>
    <w:rsid w:val="000F313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4FBA"/>
    <w:rsid w:val="001E6153"/>
    <w:rsid w:val="00201FF9"/>
    <w:rsid w:val="00205857"/>
    <w:rsid w:val="00235ADC"/>
    <w:rsid w:val="00236F87"/>
    <w:rsid w:val="00265702"/>
    <w:rsid w:val="002662B2"/>
    <w:rsid w:val="002717C7"/>
    <w:rsid w:val="002875E9"/>
    <w:rsid w:val="00287EB3"/>
    <w:rsid w:val="002A1079"/>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87B66"/>
    <w:rsid w:val="0039020B"/>
    <w:rsid w:val="00395263"/>
    <w:rsid w:val="003956E0"/>
    <w:rsid w:val="0039609A"/>
    <w:rsid w:val="00397500"/>
    <w:rsid w:val="003B1CC5"/>
    <w:rsid w:val="003B65CE"/>
    <w:rsid w:val="003D6721"/>
    <w:rsid w:val="003E039E"/>
    <w:rsid w:val="0040230E"/>
    <w:rsid w:val="00413588"/>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22B63"/>
    <w:rsid w:val="00537150"/>
    <w:rsid w:val="00540984"/>
    <w:rsid w:val="00543851"/>
    <w:rsid w:val="0055559D"/>
    <w:rsid w:val="005569AE"/>
    <w:rsid w:val="00563C95"/>
    <w:rsid w:val="005857F8"/>
    <w:rsid w:val="00590510"/>
    <w:rsid w:val="005B0D18"/>
    <w:rsid w:val="005B12C3"/>
    <w:rsid w:val="005B409D"/>
    <w:rsid w:val="005D0FDB"/>
    <w:rsid w:val="005D25E9"/>
    <w:rsid w:val="005D6D59"/>
    <w:rsid w:val="0061327A"/>
    <w:rsid w:val="00617390"/>
    <w:rsid w:val="00623420"/>
    <w:rsid w:val="006257CC"/>
    <w:rsid w:val="00634768"/>
    <w:rsid w:val="0063596F"/>
    <w:rsid w:val="006709EB"/>
    <w:rsid w:val="006716F8"/>
    <w:rsid w:val="00672824"/>
    <w:rsid w:val="00676BD4"/>
    <w:rsid w:val="0068184A"/>
    <w:rsid w:val="006952F9"/>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39AD"/>
    <w:rsid w:val="00A44FF0"/>
    <w:rsid w:val="00A50E55"/>
    <w:rsid w:val="00A67EB1"/>
    <w:rsid w:val="00A8730E"/>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DF74B6"/>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highlight">
    <w:name w:val="highlight"/>
    <w:basedOn w:val="DefaultParagraphFont"/>
    <w:rsid w:val="00563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5D9EAC6077814B12A49E3A00F6B5B00E"/>
        <w:category>
          <w:name w:val="General"/>
          <w:gallery w:val="placeholder"/>
        </w:category>
        <w:types>
          <w:type w:val="bbPlcHdr"/>
        </w:types>
        <w:behaviors>
          <w:behavior w:val="content"/>
        </w:behaviors>
        <w:guid w:val="{FD0D38F7-7037-4A3D-A35C-85A715A8F532}"/>
      </w:docPartPr>
      <w:docPartBody>
        <w:p w:rsidR="00D775D8" w:rsidRDefault="007D283C" w:rsidP="007D283C">
          <w:pPr>
            <w:pStyle w:val="5D9EAC6077814B12A49E3A00F6B5B00E"/>
          </w:pPr>
          <w:r w:rsidRPr="003B1CC5">
            <w:rPr>
              <w:rStyle w:val="PlaceholderText"/>
              <w:rFonts w:cstheme="minorHAnsi"/>
              <w:color w:val="A6A6A6" w:themeColor="background1" w:themeShade="A6"/>
            </w:rPr>
            <w:t>Click here to enter measure title</w:t>
          </w:r>
        </w:p>
      </w:docPartBody>
    </w:docPart>
    <w:docPart>
      <w:docPartPr>
        <w:name w:val="322D7469ED704723BB557ACB1FD45C5C"/>
        <w:category>
          <w:name w:val="General"/>
          <w:gallery w:val="placeholder"/>
        </w:category>
        <w:types>
          <w:type w:val="bbPlcHdr"/>
        </w:types>
        <w:behaviors>
          <w:behavior w:val="content"/>
        </w:behaviors>
        <w:guid w:val="{14BE1528-2102-4633-A9CF-975FED7CA422}"/>
      </w:docPartPr>
      <w:docPartBody>
        <w:p w:rsidR="0036796B" w:rsidRDefault="00D775D8" w:rsidP="00D775D8">
          <w:pPr>
            <w:pStyle w:val="322D7469ED704723BB557ACB1FD45C5C"/>
          </w:pPr>
          <w:r w:rsidRPr="003B1CC5">
            <w:rPr>
              <w:rStyle w:val="PlaceholderText"/>
            </w:rPr>
            <w:t>Click here to enter NQF number</w:t>
          </w:r>
        </w:p>
      </w:docPartBody>
    </w:docPart>
    <w:docPart>
      <w:docPartPr>
        <w:name w:val="15E62E71A05D47D9BEEBEE9875565FF3"/>
        <w:category>
          <w:name w:val="General"/>
          <w:gallery w:val="placeholder"/>
        </w:category>
        <w:types>
          <w:type w:val="bbPlcHdr"/>
        </w:types>
        <w:behaviors>
          <w:behavior w:val="content"/>
        </w:behaviors>
        <w:guid w:val="{A61AFA2C-52AB-474B-9E32-333465D56B79}"/>
      </w:docPartPr>
      <w:docPartBody>
        <w:p w:rsidR="0036796B" w:rsidRDefault="00D775D8" w:rsidP="00D775D8">
          <w:pPr>
            <w:pStyle w:val="15E62E71A05D47D9BEEBEE9875565FF3"/>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6796B"/>
    <w:rsid w:val="003A1E4B"/>
    <w:rsid w:val="00455EB5"/>
    <w:rsid w:val="00461C1C"/>
    <w:rsid w:val="004E2027"/>
    <w:rsid w:val="005F21F3"/>
    <w:rsid w:val="007D283C"/>
    <w:rsid w:val="008F6A9B"/>
    <w:rsid w:val="00A77B15"/>
    <w:rsid w:val="00BE0F2D"/>
    <w:rsid w:val="00C03643"/>
    <w:rsid w:val="00C2797F"/>
    <w:rsid w:val="00C80225"/>
    <w:rsid w:val="00D228C9"/>
    <w:rsid w:val="00D2552B"/>
    <w:rsid w:val="00D75B64"/>
    <w:rsid w:val="00D775D8"/>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75D8"/>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5D9EAC6077814B12A49E3A00F6B5B00E">
    <w:name w:val="5D9EAC6077814B12A49E3A00F6B5B00E"/>
    <w:rsid w:val="007D283C"/>
    <w:pPr>
      <w:spacing w:after="160" w:line="259" w:lineRule="auto"/>
    </w:pPr>
  </w:style>
  <w:style w:type="paragraph" w:customStyle="1" w:styleId="322D7469ED704723BB557ACB1FD45C5C">
    <w:name w:val="322D7469ED704723BB557ACB1FD45C5C"/>
    <w:rsid w:val="00D775D8"/>
    <w:pPr>
      <w:spacing w:after="160" w:line="259" w:lineRule="auto"/>
    </w:pPr>
  </w:style>
  <w:style w:type="paragraph" w:customStyle="1" w:styleId="15E62E71A05D47D9BEEBEE9875565FF3">
    <w:name w:val="15E62E71A05D47D9BEEBEE9875565FF3"/>
    <w:rsid w:val="00D775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purl.org/dc/dcmitype/"/>
    <ds:schemaRef ds:uri="http://www.w3.org/XML/1998/namespace"/>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836b82f1-340d-495e-85b5-201c5296619a"/>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1AF7EB7-ACE9-4E46-B84E-C171C3648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13</Pages>
  <Words>3430</Words>
  <Characters>19557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Jennifer Sardone</cp:lastModifiedBy>
  <cp:revision>12</cp:revision>
  <dcterms:created xsi:type="dcterms:W3CDTF">2018-11-02T15:14:00Z</dcterms:created>
  <dcterms:modified xsi:type="dcterms:W3CDTF">2019-04-02T16:06:00Z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