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35CBA908"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r w:rsidR="00EC2069">
        <w:rPr>
          <w:rStyle w:val="Style1"/>
        </w:rPr>
        <w:t>1424</w:t>
      </w:r>
    </w:p>
    <w:p w14:paraId="0CABCF56" w14:textId="58C602D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133648447"/>
              <w:placeholder>
                <w:docPart w:val="22B497313E064BE59D98C3C0FF7460A4"/>
              </w:placeholder>
            </w:sdtPr>
            <w:sdtEndPr>
              <w:rPr>
                <w:rStyle w:val="DefaultParagraphFont"/>
                <w:noProof/>
                <w:color w:val="auto"/>
              </w:rPr>
            </w:sdtEndPr>
            <w:sdtContent>
              <w:sdt>
                <w:sdtPr>
                  <w:rPr>
                    <w:rStyle w:val="Style1"/>
                    <w:rFonts w:cstheme="minorHAnsi"/>
                  </w:rPr>
                  <w:id w:val="591209361"/>
                  <w:placeholder>
                    <w:docPart w:val="96D64265CA074CEC8E502427DD9DD91B"/>
                  </w:placeholder>
                </w:sdtPr>
                <w:sdtEndPr>
                  <w:rPr>
                    <w:rStyle w:val="DefaultParagraphFont"/>
                    <w:noProof/>
                    <w:color w:val="auto"/>
                  </w:rPr>
                </w:sdtEndPr>
                <w:sdtContent>
                  <w:r w:rsidR="00EC2069" w:rsidRPr="00E573B3">
                    <w:rPr>
                      <w:rStyle w:val="Style1"/>
                      <w:rFonts w:cstheme="minorHAnsi"/>
                    </w:rPr>
                    <w:t>Monthly Hemoglobin Measurement for Pediatric Patients</w:t>
                  </w:r>
                </w:sdtContent>
              </w:sdt>
            </w:sdtContent>
          </w:sdt>
        </w:sdtContent>
      </w:sdt>
    </w:p>
    <w:p w14:paraId="0CABCF57" w14:textId="75B7ABF8"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924A29">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732ADE"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732ADE"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848BE85" w:rsidR="000B7D57" w:rsidRPr="00C775CE" w:rsidRDefault="00732ADE"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EC2069">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732ADE"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12374258" w:rsidR="000B7D57" w:rsidRPr="00C775CE" w:rsidRDefault="00732ADE"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EC2069">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732ADE"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732ADE"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732ADE"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732ADE"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34947FCA" w:rsidR="00A01494" w:rsidRPr="000F1B7A" w:rsidRDefault="00732ADE"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3F82A7F0" w:rsidR="00A01494" w:rsidRPr="000F1B7A" w:rsidRDefault="00732ADE"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B1F2088" w:rsidR="00A01494" w:rsidRPr="000F1B7A" w:rsidRDefault="00732ADE"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r w:rsidR="00255D0C">
              <w:rPr>
                <w:rFonts w:eastAsia="MS Gothic" w:cstheme="minorHAnsi"/>
                <w:bCs/>
              </w:rPr>
              <w:t xml:space="preserve"> </w:t>
            </w:r>
          </w:p>
        </w:tc>
        <w:tc>
          <w:tcPr>
            <w:tcW w:w="4847" w:type="dxa"/>
          </w:tcPr>
          <w:p w14:paraId="0CABCFA2" w14:textId="36BF59D1" w:rsidR="00A01494" w:rsidRPr="000F1B7A" w:rsidRDefault="00732ADE"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732ADE"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732ADE"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732ADE"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732ADE"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732ADE"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732ADE"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C916607" w:rsidR="009E1846" w:rsidRDefault="009E1846" w:rsidP="00DB3627">
      <w:pPr>
        <w:autoSpaceDE w:val="0"/>
        <w:autoSpaceDN w:val="0"/>
        <w:adjustRightInd w:val="0"/>
        <w:spacing w:after="0" w:line="240" w:lineRule="auto"/>
        <w:rPr>
          <w:rFonts w:cstheme="minorHAnsi"/>
          <w:b/>
        </w:rPr>
      </w:pPr>
    </w:p>
    <w:p w14:paraId="5AC9F1B0" w14:textId="133BD173" w:rsidR="00EC2069" w:rsidRDefault="00EC2069" w:rsidP="00EC2069">
      <w:pPr>
        <w:spacing w:after="120"/>
        <w:rPr>
          <w:color w:val="000000" w:themeColor="text1"/>
          <w:szCs w:val="20"/>
        </w:rPr>
      </w:pPr>
      <w:proofErr w:type="spellStart"/>
      <w:r w:rsidRPr="00F23899">
        <w:rPr>
          <w:color w:val="000000" w:themeColor="text1"/>
          <w:szCs w:val="20"/>
        </w:rPr>
        <w:t>CROWNWeb</w:t>
      </w:r>
      <w:proofErr w:type="spellEnd"/>
    </w:p>
    <w:p w14:paraId="63F7D38F" w14:textId="32CF06EB" w:rsidR="00CC6811" w:rsidRPr="00CC6811" w:rsidRDefault="00CC6811" w:rsidP="00CC6811">
      <w:pPr>
        <w:spacing w:after="120"/>
        <w:rPr>
          <w:color w:val="FF0000"/>
          <w:szCs w:val="20"/>
        </w:rPr>
      </w:pPr>
      <w:r>
        <w:rPr>
          <w:color w:val="FF0000"/>
          <w:szCs w:val="20"/>
        </w:rPr>
        <w:t xml:space="preserve">For the </w:t>
      </w:r>
      <w:proofErr w:type="gramStart"/>
      <w:r>
        <w:rPr>
          <w:color w:val="FF0000"/>
          <w:szCs w:val="20"/>
        </w:rPr>
        <w:t>Spring</w:t>
      </w:r>
      <w:proofErr w:type="gramEnd"/>
      <w:r>
        <w:rPr>
          <w:color w:val="FF0000"/>
          <w:szCs w:val="20"/>
        </w:rPr>
        <w:t xml:space="preserve"> 2019 Maintenance submission, </w:t>
      </w:r>
      <w:proofErr w:type="spellStart"/>
      <w:r w:rsidRPr="00CC6811">
        <w:rPr>
          <w:color w:val="FF0000"/>
          <w:szCs w:val="20"/>
        </w:rPr>
        <w:t>CROWNWeb</w:t>
      </w:r>
      <w:proofErr w:type="spellEnd"/>
      <w:r w:rsidR="00732ADE">
        <w:rPr>
          <w:color w:val="FF0000"/>
          <w:szCs w:val="20"/>
        </w:rPr>
        <w:t xml:space="preserve"> and Medicare claims</w:t>
      </w:r>
      <w:bookmarkStart w:id="11" w:name="_GoBack"/>
      <w:bookmarkEnd w:id="11"/>
      <w:r>
        <w:rPr>
          <w:color w:val="FF0000"/>
          <w:szCs w:val="20"/>
        </w:rPr>
        <w:t xml:space="preserve"> data was used. </w:t>
      </w:r>
    </w:p>
    <w:p w14:paraId="78DED32F" w14:textId="77777777" w:rsidR="00CC6811" w:rsidRPr="00F23899" w:rsidRDefault="00CC6811" w:rsidP="00EC2069">
      <w:pPr>
        <w:spacing w:after="120"/>
        <w:rPr>
          <w:color w:val="000000" w:themeColor="text1"/>
          <w:szCs w:val="20"/>
        </w:rPr>
      </w:pPr>
    </w:p>
    <w:p w14:paraId="6103EF23" w14:textId="77777777" w:rsidR="00255D0C" w:rsidRDefault="00255D0C" w:rsidP="00DB3627">
      <w:pPr>
        <w:autoSpaceDE w:val="0"/>
        <w:autoSpaceDN w:val="0"/>
        <w:adjustRightInd w:val="0"/>
        <w:spacing w:after="0" w:line="240" w:lineRule="auto"/>
        <w:rPr>
          <w:rFonts w:cstheme="minorHAnsi"/>
          <w:b/>
        </w:rPr>
      </w:pPr>
    </w:p>
    <w:p w14:paraId="0CABCFB0" w14:textId="44674720"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sz w:val="20"/>
            <w:szCs w:val="20"/>
          </w:rPr>
          <w:id w:val="950514773"/>
          <w:text/>
        </w:sdtPr>
        <w:sdtEndPr/>
        <w:sdtContent>
          <w:r w:rsidR="008603AF" w:rsidRPr="00F01CFC">
            <w:rPr>
              <w:sz w:val="20"/>
              <w:szCs w:val="20"/>
            </w:rPr>
            <w:t>January 2013 to December 2013</w:t>
          </w:r>
        </w:sdtContent>
      </w:sdt>
    </w:p>
    <w:p w14:paraId="0CABCFB1" w14:textId="49C776F1" w:rsidR="000574AB" w:rsidRDefault="000574AB" w:rsidP="00DB3627">
      <w:pPr>
        <w:autoSpaceDE w:val="0"/>
        <w:autoSpaceDN w:val="0"/>
        <w:adjustRightInd w:val="0"/>
        <w:spacing w:after="0" w:line="240" w:lineRule="auto"/>
        <w:rPr>
          <w:rFonts w:cstheme="minorHAnsi"/>
          <w:bCs/>
        </w:rPr>
      </w:pPr>
    </w:p>
    <w:p w14:paraId="042ACDC0" w14:textId="4C78E8BD" w:rsidR="00CC6811" w:rsidRDefault="00CC6811" w:rsidP="00CC6811">
      <w:pPr>
        <w:autoSpaceDE w:val="0"/>
        <w:autoSpaceDN w:val="0"/>
        <w:adjustRightInd w:val="0"/>
        <w:spacing w:after="0" w:line="240" w:lineRule="auto"/>
        <w:rPr>
          <w:color w:val="FF0000"/>
          <w:szCs w:val="20"/>
        </w:rPr>
      </w:pPr>
      <w:r>
        <w:rPr>
          <w:color w:val="FF0000"/>
          <w:szCs w:val="20"/>
        </w:rPr>
        <w:t xml:space="preserve">For the </w:t>
      </w:r>
      <w:proofErr w:type="gramStart"/>
      <w:r>
        <w:rPr>
          <w:color w:val="FF0000"/>
          <w:szCs w:val="20"/>
        </w:rPr>
        <w:t>Spring</w:t>
      </w:r>
      <w:proofErr w:type="gramEnd"/>
      <w:r>
        <w:rPr>
          <w:color w:val="FF0000"/>
          <w:szCs w:val="20"/>
        </w:rPr>
        <w:t xml:space="preserve"> 2019 Maintenance submission, data from January – December 2017 was used. </w:t>
      </w:r>
    </w:p>
    <w:p w14:paraId="55858668" w14:textId="77777777" w:rsidR="00CC6811" w:rsidRDefault="00CC6811" w:rsidP="00CC6811">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604531EC" w:rsidR="000414E8" w:rsidRPr="00A01494" w:rsidRDefault="00732ADE"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3FCEF81" w:rsidR="000414E8" w:rsidRPr="00A01494" w:rsidRDefault="00732ADE"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732ADE"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29E86418" w:rsidR="002B5016" w:rsidRDefault="002B5016" w:rsidP="00DB3627">
      <w:pPr>
        <w:autoSpaceDE w:val="0"/>
        <w:autoSpaceDN w:val="0"/>
        <w:adjustRightInd w:val="0"/>
        <w:spacing w:after="0" w:line="240" w:lineRule="auto"/>
        <w:rPr>
          <w:rFonts w:cstheme="minorHAnsi"/>
          <w:bCs/>
        </w:rPr>
      </w:pPr>
    </w:p>
    <w:p w14:paraId="484497F0" w14:textId="36C4BE6B" w:rsidR="00EC2069" w:rsidRPr="00F23899" w:rsidRDefault="00EC2069" w:rsidP="00EC2069">
      <w:pPr>
        <w:autoSpaceDE w:val="0"/>
        <w:autoSpaceDN w:val="0"/>
        <w:adjustRightInd w:val="0"/>
        <w:spacing w:after="0" w:line="240" w:lineRule="auto"/>
        <w:rPr>
          <w:color w:val="000000" w:themeColor="text1"/>
          <w:szCs w:val="20"/>
        </w:rPr>
      </w:pPr>
      <w:r w:rsidRPr="00F23899">
        <w:rPr>
          <w:color w:val="000000" w:themeColor="text1"/>
          <w:szCs w:val="20"/>
        </w:rPr>
        <w:t>Fifty-nine facilities that had at least 11 eligible pediatric patients during January 2013 – December 2013 were included in the analyses.</w:t>
      </w:r>
      <w:r>
        <w:rPr>
          <w:color w:val="000000" w:themeColor="text1"/>
          <w:szCs w:val="20"/>
        </w:rPr>
        <w:t xml:space="preserve"> </w:t>
      </w:r>
      <w:r w:rsidRPr="002247EF">
        <w:rPr>
          <w:color w:val="000000" w:themeColor="text1"/>
          <w:szCs w:val="20"/>
        </w:rPr>
        <w:t xml:space="preserve">Public reporting of this measure on DFC or in the ESRD QIP would be restricted to facilities with at least 11 eligible patients for the measure. </w:t>
      </w:r>
      <w:r w:rsidRPr="00806F19">
        <w:rPr>
          <w:color w:val="000000" w:themeColor="text1"/>
          <w:szCs w:val="20"/>
        </w:rPr>
        <w:t>We have applied this restriction to all the reliability and validity testing reported here.</w:t>
      </w:r>
    </w:p>
    <w:p w14:paraId="757CD838" w14:textId="77777777" w:rsidR="00F01CFC" w:rsidRPr="00A25024" w:rsidRDefault="00F01CFC" w:rsidP="00F01CFC">
      <w:pPr>
        <w:autoSpaceDE w:val="0"/>
        <w:autoSpaceDN w:val="0"/>
        <w:adjustRightInd w:val="0"/>
        <w:spacing w:after="0" w:line="240" w:lineRule="auto"/>
        <w:rPr>
          <w:rFonts w:cstheme="minorHAnsi"/>
          <w:bCs/>
        </w:rPr>
      </w:pPr>
    </w:p>
    <w:p w14:paraId="785EA82C" w14:textId="09FBFCD1" w:rsidR="00CC6811" w:rsidRPr="00CC6811" w:rsidRDefault="00CC6811" w:rsidP="00CC6811">
      <w:pPr>
        <w:autoSpaceDE w:val="0"/>
        <w:autoSpaceDN w:val="0"/>
        <w:adjustRightInd w:val="0"/>
        <w:spacing w:after="0" w:line="240" w:lineRule="auto"/>
        <w:rPr>
          <w:color w:val="FF0000"/>
          <w:szCs w:val="20"/>
        </w:rPr>
      </w:pPr>
      <w:r w:rsidRPr="00CC6811">
        <w:rPr>
          <w:color w:val="FF0000"/>
          <w:szCs w:val="20"/>
        </w:rPr>
        <w:t xml:space="preserve">For the 2019 Maintenance submission, </w:t>
      </w:r>
      <w:r w:rsidR="0094521D">
        <w:rPr>
          <w:color w:val="FF0000"/>
          <w:szCs w:val="20"/>
        </w:rPr>
        <w:t>62</w:t>
      </w:r>
      <w:r w:rsidRPr="00CC6811">
        <w:rPr>
          <w:color w:val="FF0000"/>
          <w:szCs w:val="20"/>
        </w:rPr>
        <w:t xml:space="preserve"> facilities that had at least 11 eligible pediatric patients during January 2017 – December 2017 were included in the analyses. </w:t>
      </w:r>
    </w:p>
    <w:p w14:paraId="616E80C6" w14:textId="77777777" w:rsidR="00CC6811" w:rsidRPr="00CC6811" w:rsidRDefault="00CC6811" w:rsidP="00CC6811">
      <w:pPr>
        <w:autoSpaceDE w:val="0"/>
        <w:autoSpaceDN w:val="0"/>
        <w:adjustRightInd w:val="0"/>
        <w:spacing w:after="0" w:line="240" w:lineRule="auto"/>
        <w:rPr>
          <w:color w:val="FF0000"/>
          <w:szCs w:val="20"/>
        </w:rPr>
      </w:pPr>
    </w:p>
    <w:p w14:paraId="5354C642" w14:textId="21C306DC" w:rsidR="00255D0C" w:rsidRDefault="00CC6811" w:rsidP="00DB3627">
      <w:pPr>
        <w:autoSpaceDE w:val="0"/>
        <w:autoSpaceDN w:val="0"/>
        <w:adjustRightInd w:val="0"/>
        <w:spacing w:after="0" w:line="240" w:lineRule="auto"/>
        <w:rPr>
          <w:color w:val="FF0000"/>
          <w:szCs w:val="20"/>
        </w:rPr>
      </w:pPr>
      <w:r w:rsidRPr="00CC6811">
        <w:rPr>
          <w:color w:val="FF0000"/>
          <w:szCs w:val="20"/>
        </w:rPr>
        <w:t>Public reporting of this measure on DFC or in the ESRD QIP would be restricted to facilities with at least 11 eligible patients for the measure to comply with restrictions on reporting of potentially patient identifiable information related to small cell size. We have applied this restriction to all the reliability and validity testing reported here.</w:t>
      </w:r>
    </w:p>
    <w:p w14:paraId="75722117" w14:textId="77777777" w:rsidR="00CC6811" w:rsidRPr="00A25024" w:rsidRDefault="00CC6811" w:rsidP="00DB3627">
      <w:pPr>
        <w:autoSpaceDE w:val="0"/>
        <w:autoSpaceDN w:val="0"/>
        <w:adjustRightInd w:val="0"/>
        <w:spacing w:after="0" w:line="240" w:lineRule="auto"/>
        <w:rPr>
          <w:rFonts w:cstheme="minorHAnsi"/>
          <w:bCs/>
        </w:rPr>
      </w:pPr>
    </w:p>
    <w:p w14:paraId="76EE978D" w14:textId="77777777" w:rsidR="00255D0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CF8864B" w14:textId="77777777" w:rsidR="00255D0C" w:rsidRDefault="00255D0C" w:rsidP="00DB3627">
      <w:pPr>
        <w:autoSpaceDE w:val="0"/>
        <w:autoSpaceDN w:val="0"/>
        <w:adjustRightInd w:val="0"/>
        <w:spacing w:after="0" w:line="240" w:lineRule="auto"/>
        <w:rPr>
          <w:rFonts w:cstheme="minorHAnsi"/>
          <w:bCs/>
        </w:rPr>
      </w:pPr>
    </w:p>
    <w:p w14:paraId="0D4509E4" w14:textId="237F10F2" w:rsidR="00EC2069" w:rsidRPr="00F23899" w:rsidRDefault="00EC2069" w:rsidP="00EC2069">
      <w:pPr>
        <w:spacing w:after="120"/>
        <w:rPr>
          <w:szCs w:val="20"/>
        </w:rPr>
      </w:pPr>
      <w:r w:rsidRPr="00F23899">
        <w:rPr>
          <w:szCs w:val="20"/>
        </w:rPr>
        <w:t>There were a total of 1,978 eligible pediatric patients. Among those patients, the average age was 10.5 years, 56% of patients were male, 63% were white, 28% were black, 5% were Asian/Pacific Islander, 29% were Hispanic, and 26% had glomerulonephritis as the primary cause of ESRD.</w:t>
      </w:r>
    </w:p>
    <w:p w14:paraId="2C992A0D" w14:textId="2341AEF0" w:rsidR="00EC2069" w:rsidRPr="00F23899" w:rsidRDefault="00EC2069" w:rsidP="00EC2069">
      <w:pPr>
        <w:autoSpaceDE w:val="0"/>
        <w:autoSpaceDN w:val="0"/>
        <w:adjustRightInd w:val="0"/>
        <w:spacing w:after="0" w:line="240" w:lineRule="auto"/>
        <w:rPr>
          <w:szCs w:val="20"/>
        </w:rPr>
      </w:pPr>
      <w:r w:rsidRPr="00F23899">
        <w:rPr>
          <w:szCs w:val="20"/>
        </w:rPr>
        <w:t>A subset of 1,280 pediatric patients who belonged to the facilities that had at least 11 eligible pediatric patients were included in the testing and analyses.</w:t>
      </w:r>
    </w:p>
    <w:p w14:paraId="0CABCFC9" w14:textId="7ED2C8E4"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6B1811DA" w14:textId="62ADDDDD" w:rsidR="00CC6811" w:rsidRPr="00CC6811" w:rsidRDefault="00CC6811" w:rsidP="00CC6811">
      <w:pPr>
        <w:spacing w:after="120"/>
        <w:rPr>
          <w:color w:val="FF0000"/>
          <w:szCs w:val="20"/>
        </w:rPr>
      </w:pPr>
      <w:r>
        <w:rPr>
          <w:color w:val="FF0000"/>
          <w:szCs w:val="20"/>
        </w:rPr>
        <w:t xml:space="preserve">For the </w:t>
      </w:r>
      <w:proofErr w:type="gramStart"/>
      <w:r>
        <w:rPr>
          <w:color w:val="FF0000"/>
          <w:szCs w:val="20"/>
        </w:rPr>
        <w:t>Spring</w:t>
      </w:r>
      <w:proofErr w:type="gramEnd"/>
      <w:r>
        <w:rPr>
          <w:color w:val="FF0000"/>
          <w:szCs w:val="20"/>
        </w:rPr>
        <w:t xml:space="preserve"> 2019 Maintenance submission, </w:t>
      </w:r>
      <w:r w:rsidR="00ED4384">
        <w:rPr>
          <w:color w:val="FF0000"/>
          <w:szCs w:val="20"/>
        </w:rPr>
        <w:t>t</w:t>
      </w:r>
      <w:r w:rsidRPr="00CC6811">
        <w:rPr>
          <w:color w:val="FF0000"/>
          <w:szCs w:val="20"/>
        </w:rPr>
        <w:t>here were a total of 1,924</w:t>
      </w:r>
      <w:r w:rsidRPr="00CC6811" w:rsidDel="00055F0C">
        <w:rPr>
          <w:color w:val="FF0000"/>
          <w:szCs w:val="20"/>
        </w:rPr>
        <w:t xml:space="preserve"> </w:t>
      </w:r>
      <w:r w:rsidRPr="00CC6811">
        <w:rPr>
          <w:color w:val="FF0000"/>
          <w:szCs w:val="20"/>
        </w:rPr>
        <w:t>eligible pediatric patients. Among those patients, the average age was 10.3 years, 58% of patients were male, 66% were white, 27% were black, 5% were Asian/Pacific Islander, 28% were Hispanic, and 31% had glomerulonephritis as the primary cause of ESRD.</w:t>
      </w:r>
    </w:p>
    <w:p w14:paraId="1571B9D4" w14:textId="65B0AA82" w:rsidR="00CC6811" w:rsidRPr="00CC6811" w:rsidRDefault="00CC6811" w:rsidP="00CC6811">
      <w:pPr>
        <w:autoSpaceDE w:val="0"/>
        <w:autoSpaceDN w:val="0"/>
        <w:adjustRightInd w:val="0"/>
        <w:spacing w:after="0" w:line="240" w:lineRule="auto"/>
        <w:rPr>
          <w:color w:val="FF0000"/>
          <w:szCs w:val="20"/>
        </w:rPr>
      </w:pPr>
      <w:r w:rsidRPr="00CC6811">
        <w:rPr>
          <w:color w:val="FF0000"/>
          <w:szCs w:val="20"/>
        </w:rPr>
        <w:t>A subset of 1,415 pediatric patients who belonged to the facilities that had at least 11 eligible pediatric patients were included in the testing and analyses.</w:t>
      </w:r>
      <w:r w:rsidRPr="00CC6811">
        <w:rPr>
          <w:color w:val="FF0000"/>
        </w:rPr>
        <w:t xml:space="preserve"> </w:t>
      </w:r>
      <w:r w:rsidRPr="00CC6811">
        <w:rPr>
          <w:color w:val="FF0000"/>
          <w:szCs w:val="20"/>
        </w:rPr>
        <w:t>Among those patients, the average age was 9.8 years, 57% of patients were male, 68% were white, 25% were black, 5% were Asian/Pacific Islander, 31% were Hispanic, and 30 % had glomerulonephritis as the primary cause of ESRD.</w:t>
      </w:r>
    </w:p>
    <w:p w14:paraId="7771E157" w14:textId="77777777" w:rsidR="00CC6811" w:rsidRDefault="00CC6811" w:rsidP="00DB3627">
      <w:pPr>
        <w:autoSpaceDE w:val="0"/>
        <w:autoSpaceDN w:val="0"/>
        <w:adjustRightInd w:val="0"/>
        <w:spacing w:after="0" w:line="240" w:lineRule="auto"/>
        <w:rPr>
          <w:rFonts w:cstheme="minorHAnsi"/>
          <w:bCs/>
        </w:rPr>
      </w:pPr>
    </w:p>
    <w:p w14:paraId="0CABCFCA" w14:textId="60E7A926"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250EF4C" w14:textId="76EC2A80" w:rsidR="00255D0C" w:rsidRDefault="00255D0C" w:rsidP="00E37E1B">
      <w:pPr>
        <w:autoSpaceDE w:val="0"/>
        <w:autoSpaceDN w:val="0"/>
        <w:adjustRightInd w:val="0"/>
        <w:spacing w:after="0" w:line="240" w:lineRule="auto"/>
        <w:rPr>
          <w:rFonts w:cstheme="minorHAnsi"/>
          <w:bCs/>
        </w:rPr>
      </w:pPr>
    </w:p>
    <w:p w14:paraId="5D276743" w14:textId="4BCF5C09" w:rsidR="00255D0C" w:rsidRPr="00F01CFC" w:rsidRDefault="00255D0C" w:rsidP="00E37E1B">
      <w:pPr>
        <w:autoSpaceDE w:val="0"/>
        <w:autoSpaceDN w:val="0"/>
        <w:adjustRightInd w:val="0"/>
        <w:spacing w:after="0" w:line="240" w:lineRule="auto"/>
        <w:rPr>
          <w:rFonts w:cstheme="minorHAnsi"/>
          <w:bCs/>
        </w:rPr>
      </w:pPr>
      <w:r w:rsidRPr="00F01CFC">
        <w:rPr>
          <w:rFonts w:cstheme="minorHAnsi"/>
          <w:bCs/>
        </w:rPr>
        <w:t>N/A</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21BF9904"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w:t>
      </w:r>
      <w:r>
        <w:rPr>
          <w:rFonts w:cstheme="minorHAnsi"/>
          <w:bCs/>
        </w:rPr>
        <w:lastRenderedPageBreak/>
        <w:t>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4E5DEDD8" w14:textId="39A1D363" w:rsidR="00F01CFC" w:rsidRDefault="00F01CFC" w:rsidP="00E37E1B">
      <w:pPr>
        <w:autoSpaceDE w:val="0"/>
        <w:autoSpaceDN w:val="0"/>
        <w:adjustRightInd w:val="0"/>
        <w:spacing w:after="0" w:line="240" w:lineRule="auto"/>
        <w:rPr>
          <w:rFonts w:cstheme="minorHAnsi"/>
          <w:bCs/>
        </w:rPr>
      </w:pPr>
    </w:p>
    <w:p w14:paraId="103746D9" w14:textId="2DEE65F9" w:rsidR="00F01CFC" w:rsidRDefault="007F01E0" w:rsidP="00E37E1B">
      <w:pPr>
        <w:autoSpaceDE w:val="0"/>
        <w:autoSpaceDN w:val="0"/>
        <w:adjustRightInd w:val="0"/>
        <w:spacing w:after="0" w:line="240" w:lineRule="auto"/>
        <w:rPr>
          <w:rFonts w:cstheme="minorHAnsi"/>
          <w:bCs/>
        </w:rPr>
      </w:pPr>
      <w:r>
        <w:rPr>
          <w:rFonts w:cstheme="minorHAnsi"/>
          <w:bCs/>
        </w:rPr>
        <w:t>N/A</w:t>
      </w:r>
    </w:p>
    <w:p w14:paraId="3FF0116E" w14:textId="77777777" w:rsidR="00F01CFC" w:rsidRDefault="00F01CFC"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FFA024E"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48873C2F" w:rsidR="008C54A9" w:rsidRDefault="008C54A9" w:rsidP="008C54A9">
      <w:pPr>
        <w:autoSpaceDE w:val="0"/>
        <w:autoSpaceDN w:val="0"/>
        <w:adjustRightInd w:val="0"/>
        <w:spacing w:after="0" w:line="240" w:lineRule="auto"/>
        <w:rPr>
          <w:rFonts w:cstheme="minorHAnsi"/>
          <w:bCs/>
        </w:rPr>
      </w:pPr>
    </w:p>
    <w:p w14:paraId="32C17787" w14:textId="7CF6637E" w:rsidR="00EC2069" w:rsidRPr="00F23899" w:rsidRDefault="00EC2069" w:rsidP="00EC2069">
      <w:r w:rsidRPr="00F23899">
        <w:t xml:space="preserve">We used January 2013 – December 2013 </w:t>
      </w:r>
      <w:proofErr w:type="spellStart"/>
      <w:r w:rsidRPr="00F23899">
        <w:t>CROWNWeb</w:t>
      </w:r>
      <w:proofErr w:type="spellEnd"/>
      <w:r w:rsidRPr="00F23899">
        <w:t xml:space="preserve"> data to calculate facility level monthly and annual performance scores. Fifty-nine facilities that had at least 11 eligible patients were included in the testing. There were a total of 1,280 patients.</w:t>
      </w:r>
    </w:p>
    <w:p w14:paraId="43134398" w14:textId="115ED017" w:rsidR="00EC2069" w:rsidRPr="00F23899" w:rsidRDefault="00EC2069" w:rsidP="00EC2069">
      <w:r w:rsidRPr="00F23899">
        <w:t>We assessed reliability by calculating facility-level Pearson correlation coefficients between the current performance month and the preceding month for reporting months during January 2013 – December 2013.</w:t>
      </w:r>
    </w:p>
    <w:p w14:paraId="5514F7FB" w14:textId="77777777" w:rsidR="00EC2069" w:rsidRPr="00F23899" w:rsidRDefault="00EC2069" w:rsidP="00EC2069">
      <w:pPr>
        <w:rPr>
          <w:rFonts w:cstheme="minorHAnsi"/>
          <w:bCs/>
          <w:sz w:val="24"/>
        </w:rPr>
      </w:pPr>
      <w:r w:rsidRPr="00F23899">
        <w:t xml:space="preserve">In addition, we calculated inter-unit reliability (IUR) for each reporting month and the overall 12 months. </w:t>
      </w:r>
      <w:r w:rsidRPr="00F23899">
        <w:rPr>
          <w:rFonts w:cs="Helvetica"/>
        </w:rPr>
        <w:t>The monthly based measure was a simple average across individuals in the facility.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measure, however, is not a simple average and we instead estimate the IUR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14:paraId="071CC213" w14:textId="23992DC8" w:rsidR="00F01CFC" w:rsidRDefault="00F01CFC" w:rsidP="008C54A9">
      <w:pPr>
        <w:autoSpaceDE w:val="0"/>
        <w:autoSpaceDN w:val="0"/>
        <w:adjustRightInd w:val="0"/>
        <w:spacing w:after="0" w:line="240" w:lineRule="auto"/>
        <w:rPr>
          <w:rFonts w:cstheme="minorHAnsi"/>
          <w:bCs/>
        </w:rPr>
      </w:pPr>
    </w:p>
    <w:p w14:paraId="467E1C96" w14:textId="55B50746" w:rsidR="00CC6811" w:rsidRDefault="00CC6811" w:rsidP="008C54A9">
      <w:pPr>
        <w:autoSpaceDE w:val="0"/>
        <w:autoSpaceDN w:val="0"/>
        <w:adjustRightInd w:val="0"/>
        <w:spacing w:after="0" w:line="240" w:lineRule="auto"/>
        <w:rPr>
          <w:rFonts w:cstheme="minorHAnsi"/>
          <w:bCs/>
        </w:rPr>
      </w:pPr>
    </w:p>
    <w:p w14:paraId="2D5E83BD" w14:textId="686CA23F" w:rsidR="00CC6811" w:rsidRPr="00CC6811" w:rsidRDefault="00CC6811" w:rsidP="00CC6811">
      <w:pPr>
        <w:rPr>
          <w:color w:val="FF0000"/>
        </w:rPr>
      </w:pPr>
      <w:r w:rsidRPr="00CC6811">
        <w:rPr>
          <w:color w:val="FF0000"/>
        </w:rPr>
        <w:t xml:space="preserve">For the </w:t>
      </w:r>
      <w:proofErr w:type="gramStart"/>
      <w:r w:rsidRPr="00CC6811">
        <w:rPr>
          <w:color w:val="FF0000"/>
        </w:rPr>
        <w:t>Spring</w:t>
      </w:r>
      <w:proofErr w:type="gramEnd"/>
      <w:r w:rsidRPr="00CC6811">
        <w:rPr>
          <w:color w:val="FF0000"/>
        </w:rPr>
        <w:t xml:space="preserve"> 2019 Maintenance submission, we used January 2017 – December 2017 </w:t>
      </w:r>
      <w:proofErr w:type="spellStart"/>
      <w:r w:rsidRPr="00CC6811">
        <w:rPr>
          <w:color w:val="FF0000"/>
        </w:rPr>
        <w:t>CROWNWeb</w:t>
      </w:r>
      <w:proofErr w:type="spellEnd"/>
      <w:r w:rsidRPr="00CC6811">
        <w:rPr>
          <w:color w:val="FF0000"/>
        </w:rPr>
        <w:t xml:space="preserve"> data to calculate facility level monthly and annual performance scores. Sixty-two facilities that had at least 11 eligible patients were included in the testing. There were a total of 1,415 patients.</w:t>
      </w:r>
    </w:p>
    <w:p w14:paraId="1DF0BA10" w14:textId="2F6D7C57" w:rsidR="00CC6811" w:rsidRPr="00CC6811" w:rsidRDefault="00CC6811" w:rsidP="00CC6811">
      <w:pPr>
        <w:rPr>
          <w:color w:val="FF0000"/>
        </w:rPr>
      </w:pPr>
      <w:r w:rsidRPr="00CC6811">
        <w:rPr>
          <w:color w:val="FF0000"/>
        </w:rPr>
        <w:lastRenderedPageBreak/>
        <w:t>We assessed reliability by calculating facility-level Pearson correlation coefficients between the current performance month and the preceding month for reporting months during January 2017 – December 2017. We also calculated inter-unit reli</w:t>
      </w:r>
      <w:r w:rsidR="00A84918">
        <w:rPr>
          <w:color w:val="FF0000"/>
        </w:rPr>
        <w:t>a</w:t>
      </w:r>
      <w:r w:rsidRPr="00CC6811">
        <w:rPr>
          <w:color w:val="FF0000"/>
        </w:rPr>
        <w:t>bi</w:t>
      </w:r>
      <w:r w:rsidR="00A84918">
        <w:rPr>
          <w:color w:val="FF0000"/>
        </w:rPr>
        <w:t>li</w:t>
      </w:r>
      <w:r w:rsidRPr="00CC6811">
        <w:rPr>
          <w:color w:val="FF0000"/>
        </w:rPr>
        <w:t xml:space="preserve">ty using the same methodology as the previous submission. </w:t>
      </w:r>
    </w:p>
    <w:p w14:paraId="1CE4EBB6" w14:textId="77777777" w:rsidR="00CC6811" w:rsidRPr="00A25024" w:rsidRDefault="00CC6811" w:rsidP="008C54A9">
      <w:pPr>
        <w:autoSpaceDE w:val="0"/>
        <w:autoSpaceDN w:val="0"/>
        <w:adjustRightInd w:val="0"/>
        <w:spacing w:after="0" w:line="240" w:lineRule="auto"/>
        <w:rPr>
          <w:rFonts w:cstheme="minorHAnsi"/>
          <w:bCs/>
        </w:rPr>
      </w:pPr>
    </w:p>
    <w:p w14:paraId="76ECA3B2" w14:textId="77777777" w:rsidR="00F01CFC"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5631C096" w14:textId="77777777" w:rsidR="00F01CFC" w:rsidRDefault="00F01CFC" w:rsidP="008C54A9">
      <w:pPr>
        <w:autoSpaceDE w:val="0"/>
        <w:autoSpaceDN w:val="0"/>
        <w:adjustRightInd w:val="0"/>
        <w:spacing w:after="0" w:line="240" w:lineRule="auto"/>
        <w:rPr>
          <w:rFonts w:cstheme="minorHAnsi"/>
          <w:bCs/>
        </w:rPr>
      </w:pPr>
    </w:p>
    <w:p w14:paraId="7D06A22B" w14:textId="77777777" w:rsidR="00EC2069" w:rsidRDefault="00EC2069" w:rsidP="00EC2069">
      <w:pPr>
        <w:autoSpaceDE w:val="0"/>
        <w:autoSpaceDN w:val="0"/>
        <w:adjustRightInd w:val="0"/>
        <w:spacing w:after="0" w:line="240" w:lineRule="auto"/>
        <w:rPr>
          <w:rFonts w:cstheme="minorHAnsi"/>
          <w:bCs/>
        </w:rPr>
      </w:pPr>
    </w:p>
    <w:p w14:paraId="1B9DEB92" w14:textId="0350F57A" w:rsidR="006251D4" w:rsidRPr="00F23899" w:rsidRDefault="00EC2069" w:rsidP="00EC2069">
      <w:pPr>
        <w:spacing w:after="120"/>
        <w:rPr>
          <w:szCs w:val="20"/>
        </w:rPr>
      </w:pPr>
      <w:r w:rsidRPr="00F23899">
        <w:rPr>
          <w:szCs w:val="20"/>
        </w:rPr>
        <w:t xml:space="preserve">The Pearson correlation coefficients of each pair of the current and the preceding months ranged from 0.78 to 0.98. All were statistically significant (p&lt;0.0001), indicating this measure is reliable over time. </w:t>
      </w:r>
    </w:p>
    <w:p w14:paraId="2B32E825" w14:textId="3A2B43C2" w:rsidR="00CC6811" w:rsidRPr="00A25024" w:rsidRDefault="00EC2069" w:rsidP="00EC2069">
      <w:pPr>
        <w:autoSpaceDE w:val="0"/>
        <w:autoSpaceDN w:val="0"/>
        <w:adjustRightInd w:val="0"/>
        <w:spacing w:after="0" w:line="240" w:lineRule="auto"/>
        <w:rPr>
          <w:rFonts w:cstheme="minorHAnsi"/>
          <w:bCs/>
        </w:rPr>
      </w:pPr>
      <w:r w:rsidRPr="00F23899">
        <w:rPr>
          <w:szCs w:val="20"/>
        </w:rPr>
        <w:t xml:space="preserve">For reliability we calculated the monthly and annual IUR across the 12 reporting months. As explained above, the method for calculating the IUR was developed for measures that are approximately normally distributed across facilities.  IUR=0.96, which is high and suggests 96% of variation in the measure is attributed to between facility variation.  </w:t>
      </w:r>
      <w:r w:rsidRPr="00A25024">
        <w:rPr>
          <w:rFonts w:cstheme="minorHAnsi"/>
          <w:bCs/>
        </w:rPr>
        <w:br/>
      </w:r>
    </w:p>
    <w:p w14:paraId="0CABCFD3" w14:textId="06BC4891" w:rsidR="007422FD" w:rsidRDefault="007422FD" w:rsidP="008C54A9">
      <w:pPr>
        <w:autoSpaceDE w:val="0"/>
        <w:autoSpaceDN w:val="0"/>
        <w:adjustRightInd w:val="0"/>
        <w:spacing w:after="0" w:line="240" w:lineRule="auto"/>
        <w:rPr>
          <w:rFonts w:cstheme="minorHAnsi"/>
          <w:bCs/>
        </w:rPr>
      </w:pPr>
    </w:p>
    <w:p w14:paraId="7C56D8C1" w14:textId="4D310D35" w:rsidR="00CC6811" w:rsidRPr="00CC6811" w:rsidRDefault="00CC6811" w:rsidP="00CC6811">
      <w:pPr>
        <w:spacing w:after="120"/>
        <w:rPr>
          <w:color w:val="FF0000"/>
          <w:szCs w:val="20"/>
        </w:rPr>
      </w:pPr>
      <w:r>
        <w:rPr>
          <w:color w:val="FF0000"/>
          <w:szCs w:val="20"/>
        </w:rPr>
        <w:t xml:space="preserve">For the </w:t>
      </w:r>
      <w:proofErr w:type="gramStart"/>
      <w:r>
        <w:rPr>
          <w:color w:val="FF0000"/>
          <w:szCs w:val="20"/>
        </w:rPr>
        <w:t>Spring</w:t>
      </w:r>
      <w:proofErr w:type="gramEnd"/>
      <w:r>
        <w:rPr>
          <w:color w:val="FF0000"/>
          <w:szCs w:val="20"/>
        </w:rPr>
        <w:t xml:space="preserve"> 2019 Maintenance submission, t</w:t>
      </w:r>
      <w:r w:rsidRPr="00CC6811">
        <w:rPr>
          <w:color w:val="FF0000"/>
          <w:szCs w:val="20"/>
        </w:rPr>
        <w:t xml:space="preserve">he </w:t>
      </w:r>
      <w:r w:rsidR="00C722A9">
        <w:rPr>
          <w:color w:val="FF0000"/>
          <w:szCs w:val="20"/>
        </w:rPr>
        <w:t>m</w:t>
      </w:r>
      <w:r w:rsidRPr="00CC6811">
        <w:rPr>
          <w:color w:val="FF0000"/>
          <w:szCs w:val="20"/>
        </w:rPr>
        <w:t>edian of Pearson correlation coefficients of each pair of the current and the preceding months</w:t>
      </w:r>
      <w:r w:rsidR="00A84918">
        <w:rPr>
          <w:color w:val="FF0000"/>
          <w:szCs w:val="20"/>
        </w:rPr>
        <w:t xml:space="preserve"> </w:t>
      </w:r>
      <w:r w:rsidR="00C722A9">
        <w:rPr>
          <w:color w:val="FF0000"/>
          <w:szCs w:val="20"/>
        </w:rPr>
        <w:t xml:space="preserve">was </w:t>
      </w:r>
      <w:r w:rsidR="00A84918">
        <w:rPr>
          <w:color w:val="FF0000"/>
          <w:szCs w:val="20"/>
        </w:rPr>
        <w:t>0.84</w:t>
      </w:r>
      <w:r w:rsidRPr="00CC6811">
        <w:rPr>
          <w:color w:val="FF0000"/>
          <w:szCs w:val="20"/>
        </w:rPr>
        <w:t>, with a range of 0.28 to</w:t>
      </w:r>
      <w:r>
        <w:rPr>
          <w:color w:val="FF0000"/>
          <w:szCs w:val="20"/>
        </w:rPr>
        <w:t xml:space="preserve"> </w:t>
      </w:r>
      <w:r w:rsidR="00A84918">
        <w:rPr>
          <w:color w:val="FF0000"/>
          <w:szCs w:val="20"/>
        </w:rPr>
        <w:t>0.92</w:t>
      </w:r>
      <w:r w:rsidRPr="00CC6811">
        <w:rPr>
          <w:color w:val="FF0000"/>
          <w:szCs w:val="20"/>
        </w:rPr>
        <w:t xml:space="preserve">. All were statistically significant (p&lt;0.05), indicating this measure is reliable over time. </w:t>
      </w:r>
    </w:p>
    <w:p w14:paraId="2AC66A50" w14:textId="0B503C2D" w:rsidR="00CC6811" w:rsidRPr="00CC6811" w:rsidRDefault="00CC6811" w:rsidP="00CC6811">
      <w:pPr>
        <w:spacing w:after="120"/>
        <w:rPr>
          <w:color w:val="FF0000"/>
          <w:szCs w:val="20"/>
        </w:rPr>
      </w:pPr>
      <w:r w:rsidRPr="00CC6811">
        <w:rPr>
          <w:color w:val="FF0000"/>
          <w:szCs w:val="20"/>
        </w:rPr>
        <w:t xml:space="preserve">In a sensitivity analysis, we identified an outlier facility </w:t>
      </w:r>
      <w:r w:rsidR="00013F6D">
        <w:rPr>
          <w:color w:val="FF0000"/>
          <w:szCs w:val="20"/>
        </w:rPr>
        <w:t xml:space="preserve">that </w:t>
      </w:r>
      <w:r w:rsidRPr="00CC6811">
        <w:rPr>
          <w:color w:val="FF0000"/>
          <w:szCs w:val="20"/>
        </w:rPr>
        <w:t xml:space="preserve">drastically influenced the correlation between February and March. After removing the outlier facility, the range of correlation coefficients of each pair of the current and the preceding months </w:t>
      </w:r>
      <w:r w:rsidR="00C722A9">
        <w:rPr>
          <w:color w:val="FF0000"/>
          <w:szCs w:val="20"/>
        </w:rPr>
        <w:t>narrowed down to be</w:t>
      </w:r>
      <w:r w:rsidRPr="00CC6811">
        <w:rPr>
          <w:color w:val="FF0000"/>
          <w:szCs w:val="20"/>
        </w:rPr>
        <w:t xml:space="preserve"> from 0.47 and 0.92</w:t>
      </w:r>
      <w:r w:rsidR="00A84918">
        <w:rPr>
          <w:color w:val="FF0000"/>
          <w:szCs w:val="20"/>
        </w:rPr>
        <w:t xml:space="preserve">, </w:t>
      </w:r>
      <w:r w:rsidR="00C722A9">
        <w:rPr>
          <w:color w:val="FF0000"/>
          <w:szCs w:val="20"/>
        </w:rPr>
        <w:t xml:space="preserve">with a </w:t>
      </w:r>
      <w:r w:rsidR="00A84918">
        <w:rPr>
          <w:color w:val="FF0000"/>
          <w:szCs w:val="20"/>
        </w:rPr>
        <w:t xml:space="preserve">median </w:t>
      </w:r>
      <w:r w:rsidR="00C722A9">
        <w:rPr>
          <w:color w:val="FF0000"/>
          <w:szCs w:val="20"/>
        </w:rPr>
        <w:t>of</w:t>
      </w:r>
      <w:r w:rsidR="00A84918">
        <w:rPr>
          <w:color w:val="FF0000"/>
          <w:szCs w:val="20"/>
        </w:rPr>
        <w:t xml:space="preserve"> 0.85</w:t>
      </w:r>
      <w:r w:rsidRPr="00CC6811">
        <w:rPr>
          <w:color w:val="FF0000"/>
          <w:szCs w:val="20"/>
        </w:rPr>
        <w:t xml:space="preserve">.  All </w:t>
      </w:r>
      <w:r w:rsidR="00C722A9">
        <w:rPr>
          <w:color w:val="FF0000"/>
          <w:szCs w:val="20"/>
        </w:rPr>
        <w:t xml:space="preserve">correlations </w:t>
      </w:r>
      <w:r w:rsidRPr="00CC6811">
        <w:rPr>
          <w:color w:val="FF0000"/>
          <w:szCs w:val="20"/>
        </w:rPr>
        <w:t>were statistically significant (p&lt;0.0001),</w:t>
      </w:r>
    </w:p>
    <w:p w14:paraId="00388DB0" w14:textId="33509326" w:rsidR="00CC6811" w:rsidRPr="00CC6811" w:rsidRDefault="00CC6811" w:rsidP="00CC6811">
      <w:pPr>
        <w:autoSpaceDE w:val="0"/>
        <w:autoSpaceDN w:val="0"/>
        <w:adjustRightInd w:val="0"/>
        <w:spacing w:after="0" w:line="240" w:lineRule="auto"/>
        <w:rPr>
          <w:rFonts w:cstheme="minorHAnsi"/>
          <w:bCs/>
          <w:color w:val="FF0000"/>
        </w:rPr>
      </w:pPr>
      <w:r w:rsidRPr="00CC6811">
        <w:rPr>
          <w:color w:val="FF0000"/>
          <w:szCs w:val="20"/>
        </w:rPr>
        <w:t xml:space="preserve">For reliability we calculated the monthly and annual IUR across the 12 reporting months. As explained above, the method for calculating the IUR was developed for measures that are approximately normally distributed across facilities.  IUR=0.82, which is high and suggests 82% of variation in the measure is attributed to between facility variation.  </w:t>
      </w:r>
    </w:p>
    <w:p w14:paraId="214A9F8F" w14:textId="77777777" w:rsidR="00CC6811" w:rsidRDefault="00CC6811" w:rsidP="00DB3627">
      <w:pPr>
        <w:autoSpaceDE w:val="0"/>
        <w:autoSpaceDN w:val="0"/>
        <w:adjustRightInd w:val="0"/>
        <w:spacing w:after="0" w:line="240" w:lineRule="auto"/>
        <w:rPr>
          <w:rFonts w:cstheme="minorHAnsi"/>
          <w:b/>
          <w:bCs/>
        </w:rPr>
      </w:pPr>
    </w:p>
    <w:p w14:paraId="44E8D1FE" w14:textId="77777777" w:rsidR="00CC6811" w:rsidRDefault="00CC6811" w:rsidP="00DB3627">
      <w:pPr>
        <w:autoSpaceDE w:val="0"/>
        <w:autoSpaceDN w:val="0"/>
        <w:adjustRightInd w:val="0"/>
        <w:spacing w:after="0" w:line="240" w:lineRule="auto"/>
        <w:rPr>
          <w:rFonts w:cstheme="minorHAnsi"/>
          <w:b/>
          <w:bCs/>
        </w:rPr>
      </w:pPr>
    </w:p>
    <w:p w14:paraId="0CABCFD4" w14:textId="14BD801F"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762D27E" w14:textId="6C888A7F" w:rsidR="00F01CFC" w:rsidRDefault="00F01CFC" w:rsidP="00DB3627">
      <w:pPr>
        <w:autoSpaceDE w:val="0"/>
        <w:autoSpaceDN w:val="0"/>
        <w:adjustRightInd w:val="0"/>
        <w:spacing w:after="0" w:line="240" w:lineRule="auto"/>
        <w:rPr>
          <w:rFonts w:cstheme="minorHAnsi"/>
          <w:bCs/>
        </w:rPr>
      </w:pPr>
    </w:p>
    <w:p w14:paraId="1A6C17A9" w14:textId="77777777" w:rsidR="00EC2069" w:rsidRPr="00F23899" w:rsidRDefault="00EC2069" w:rsidP="00EC2069">
      <w:pPr>
        <w:spacing w:after="120"/>
        <w:rPr>
          <w:color w:val="000000" w:themeColor="text1"/>
          <w:szCs w:val="20"/>
        </w:rPr>
      </w:pPr>
      <w:r w:rsidRPr="00F23899">
        <w:rPr>
          <w:color w:val="000000" w:themeColor="text1"/>
          <w:szCs w:val="20"/>
        </w:rPr>
        <w:t>The Pearson correlation coefficients were moderate to strong, indicating this measure is reliable over time periods of measurement.</w:t>
      </w:r>
    </w:p>
    <w:p w14:paraId="3FD47966" w14:textId="77777777" w:rsidR="00EC2069" w:rsidRPr="00F23899" w:rsidRDefault="00EC2069" w:rsidP="00EC2069">
      <w:pPr>
        <w:autoSpaceDE w:val="0"/>
        <w:autoSpaceDN w:val="0"/>
        <w:adjustRightInd w:val="0"/>
        <w:spacing w:after="0" w:line="240" w:lineRule="auto"/>
        <w:rPr>
          <w:szCs w:val="20"/>
        </w:rPr>
      </w:pPr>
      <w:r w:rsidRPr="00F23899">
        <w:rPr>
          <w:szCs w:val="20"/>
        </w:rPr>
        <w:t>The IUR suggest this measure is reliable. However, since the distribution of performance scores is skewed, the IUR value should be interpreted with some caution.</w:t>
      </w:r>
    </w:p>
    <w:p w14:paraId="55421113" w14:textId="5C7A14CD" w:rsidR="00EC2069" w:rsidRDefault="00EC2069" w:rsidP="00EC2069">
      <w:pPr>
        <w:autoSpaceDE w:val="0"/>
        <w:autoSpaceDN w:val="0"/>
        <w:adjustRightInd w:val="0"/>
        <w:spacing w:after="0" w:line="240" w:lineRule="auto"/>
        <w:rPr>
          <w:rFonts w:cstheme="minorHAnsi"/>
          <w:bCs/>
        </w:rPr>
      </w:pPr>
    </w:p>
    <w:p w14:paraId="14F0879D" w14:textId="147D9B22" w:rsidR="00CC6811" w:rsidRPr="00CC6811" w:rsidRDefault="00CC6811" w:rsidP="00CC6811">
      <w:pPr>
        <w:spacing w:after="120"/>
        <w:rPr>
          <w:color w:val="FF0000"/>
          <w:szCs w:val="20"/>
        </w:rPr>
      </w:pPr>
      <w:r>
        <w:rPr>
          <w:color w:val="FF0000"/>
          <w:szCs w:val="20"/>
        </w:rPr>
        <w:t xml:space="preserve">For the </w:t>
      </w:r>
      <w:proofErr w:type="gramStart"/>
      <w:r>
        <w:rPr>
          <w:color w:val="FF0000"/>
          <w:szCs w:val="20"/>
        </w:rPr>
        <w:t>Spring</w:t>
      </w:r>
      <w:proofErr w:type="gramEnd"/>
      <w:r>
        <w:rPr>
          <w:color w:val="FF0000"/>
          <w:szCs w:val="20"/>
        </w:rPr>
        <w:t xml:space="preserve"> 2019 Maintenance submission, t</w:t>
      </w:r>
      <w:r w:rsidRPr="00CC6811">
        <w:rPr>
          <w:color w:val="FF0000"/>
          <w:szCs w:val="20"/>
        </w:rPr>
        <w:t>he Pearson correlation coefficients were moderate to strong, indicating this measure is reliable over time periods of measurement.</w:t>
      </w:r>
    </w:p>
    <w:p w14:paraId="6A8F3D57" w14:textId="3E4BA69C" w:rsidR="00CC6811" w:rsidRPr="00CC6811" w:rsidRDefault="00CC6811" w:rsidP="00CC6811">
      <w:pPr>
        <w:autoSpaceDE w:val="0"/>
        <w:autoSpaceDN w:val="0"/>
        <w:adjustRightInd w:val="0"/>
        <w:spacing w:after="0" w:line="240" w:lineRule="auto"/>
        <w:rPr>
          <w:color w:val="FF0000"/>
          <w:szCs w:val="20"/>
        </w:rPr>
      </w:pPr>
      <w:r w:rsidRPr="00CC6811">
        <w:rPr>
          <w:color w:val="FF0000"/>
          <w:szCs w:val="20"/>
        </w:rPr>
        <w:t xml:space="preserve">The IUR </w:t>
      </w:r>
      <w:r>
        <w:rPr>
          <w:color w:val="FF0000"/>
          <w:szCs w:val="20"/>
        </w:rPr>
        <w:t xml:space="preserve">again </w:t>
      </w:r>
      <w:r w:rsidRPr="00CC6811">
        <w:rPr>
          <w:color w:val="FF0000"/>
          <w:szCs w:val="20"/>
        </w:rPr>
        <w:t>suggest</w:t>
      </w:r>
      <w:r>
        <w:rPr>
          <w:color w:val="FF0000"/>
          <w:szCs w:val="20"/>
        </w:rPr>
        <w:t>s</w:t>
      </w:r>
      <w:r w:rsidRPr="00CC6811">
        <w:rPr>
          <w:color w:val="FF0000"/>
          <w:szCs w:val="20"/>
        </w:rPr>
        <w:t xml:space="preserve"> this measure is reliable. However, since the distribution of performance scores is skewed, the IUR value should be interpreted with some caution.</w:t>
      </w:r>
    </w:p>
    <w:p w14:paraId="0CABCFD5" w14:textId="703D3DB1" w:rsidR="00021170" w:rsidRPr="00A25024" w:rsidRDefault="00483E94" w:rsidP="00DB3627">
      <w:pPr>
        <w:autoSpaceDE w:val="0"/>
        <w:autoSpaceDN w:val="0"/>
        <w:adjustRightInd w:val="0"/>
        <w:spacing w:after="0" w:line="240" w:lineRule="auto"/>
        <w:rPr>
          <w:rFonts w:cstheme="minorHAnsi"/>
          <w:noProof/>
        </w:rPr>
      </w:pPr>
      <w:r>
        <w:rPr>
          <w:rFonts w:cstheme="minorHAnsi"/>
          <w:noProof/>
        </w:rPr>
        <w:lastRenderedPageBreak/>
        <w:t>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B0B9DDA" w:rsidR="00696262" w:rsidRPr="00A25024" w:rsidRDefault="00732ADE"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251BCAD" w:rsidR="000574AB" w:rsidRPr="00A25024" w:rsidRDefault="00732ADE"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5CB8EBF"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DA017D0" w14:textId="5397904F" w:rsidR="008D07AE" w:rsidRPr="00F23899" w:rsidRDefault="008D07AE" w:rsidP="008D07AE">
      <w:pPr>
        <w:autoSpaceDE w:val="0"/>
        <w:autoSpaceDN w:val="0"/>
        <w:adjustRightInd w:val="0"/>
        <w:spacing w:after="0"/>
        <w:rPr>
          <w:color w:val="000000" w:themeColor="text1"/>
          <w:szCs w:val="20"/>
        </w:rPr>
      </w:pPr>
      <w:r w:rsidRPr="00F23899">
        <w:rPr>
          <w:color w:val="000000" w:themeColor="text1"/>
          <w:szCs w:val="20"/>
        </w:rPr>
        <w:t>W</w:t>
      </w:r>
      <w:r w:rsidRPr="00F23899">
        <w:rPr>
          <w:rFonts w:cs="Arial Narrow"/>
          <w:color w:val="000000" w:themeColor="text1"/>
          <w:szCs w:val="20"/>
        </w:rPr>
        <w:t xml:space="preserve">e used </w:t>
      </w:r>
      <w:r w:rsidRPr="00F23899">
        <w:rPr>
          <w:color w:val="000000" w:themeColor="text1"/>
          <w:szCs w:val="20"/>
        </w:rPr>
        <w:t>January 2013 – December 2013</w:t>
      </w:r>
      <w:r w:rsidRPr="00F23899">
        <w:rPr>
          <w:rFonts w:cs="Arial Narrow"/>
          <w:color w:val="000000" w:themeColor="text1"/>
          <w:szCs w:val="20"/>
        </w:rPr>
        <w:t xml:space="preserve"> </w:t>
      </w:r>
      <w:proofErr w:type="spellStart"/>
      <w:r w:rsidRPr="00F23899">
        <w:rPr>
          <w:rFonts w:cs="Arial Narrow"/>
          <w:color w:val="000000" w:themeColor="text1"/>
          <w:szCs w:val="20"/>
        </w:rPr>
        <w:t>CROWNWeb</w:t>
      </w:r>
      <w:proofErr w:type="spellEnd"/>
      <w:r w:rsidRPr="00F23899">
        <w:rPr>
          <w:rFonts w:cs="Arial Narrow"/>
          <w:color w:val="000000" w:themeColor="text1"/>
          <w:szCs w:val="20"/>
        </w:rPr>
        <w:t xml:space="preserve"> data to calculate facility level monthly and annual performance scores. </w:t>
      </w:r>
      <w:r w:rsidRPr="00F23899">
        <w:rPr>
          <w:color w:val="000000" w:themeColor="text1"/>
          <w:szCs w:val="20"/>
        </w:rPr>
        <w:t xml:space="preserve">Fifty-nine facilities that had at least 11 eligible patients and included 1,280 patients in total were included in the testing. </w:t>
      </w:r>
    </w:p>
    <w:p w14:paraId="71BE4F04" w14:textId="77777777" w:rsidR="008D07AE" w:rsidRDefault="008D07AE" w:rsidP="008D07AE">
      <w:pPr>
        <w:autoSpaceDE w:val="0"/>
        <w:autoSpaceDN w:val="0"/>
        <w:adjustRightInd w:val="0"/>
        <w:spacing w:after="0"/>
        <w:rPr>
          <w:sz w:val="20"/>
          <w:szCs w:val="20"/>
        </w:rPr>
      </w:pPr>
    </w:p>
    <w:p w14:paraId="2CEA3F18" w14:textId="7887FFDC" w:rsidR="008D07AE" w:rsidRDefault="008D07AE" w:rsidP="008D07AE">
      <w:pPr>
        <w:autoSpaceDE w:val="0"/>
        <w:autoSpaceDN w:val="0"/>
        <w:adjustRightInd w:val="0"/>
        <w:spacing w:after="0" w:line="240" w:lineRule="auto"/>
        <w:rPr>
          <w:rFonts w:cs="Arial Narrow"/>
          <w:color w:val="000000" w:themeColor="text1"/>
          <w:szCs w:val="20"/>
        </w:rPr>
      </w:pPr>
      <w:r w:rsidRPr="00F23899">
        <w:rPr>
          <w:rFonts w:cs="Arial Narrow"/>
          <w:color w:val="000000" w:themeColor="text1"/>
          <w:szCs w:val="20"/>
        </w:rPr>
        <w:t>We computed the Spearman correlation to assess the association between the annual performance scores and the NQF endorsed (0369) standardized mortality ratio (SMR) using the 2013 SMR. The data source and the methodology in SMR calculations are attached.</w:t>
      </w:r>
    </w:p>
    <w:p w14:paraId="31835243" w14:textId="77777777" w:rsidR="008D07AE" w:rsidRDefault="008D07AE" w:rsidP="008D07AE">
      <w:pPr>
        <w:autoSpaceDE w:val="0"/>
        <w:autoSpaceDN w:val="0"/>
        <w:adjustRightInd w:val="0"/>
        <w:spacing w:after="0" w:line="240" w:lineRule="auto"/>
        <w:rPr>
          <w:rFonts w:cs="Arial Narrow"/>
          <w:color w:val="000000" w:themeColor="text1"/>
          <w:szCs w:val="20"/>
        </w:rPr>
      </w:pPr>
    </w:p>
    <w:p w14:paraId="15F7A650" w14:textId="5D2CF462" w:rsidR="008D07AE" w:rsidRPr="004A3B94" w:rsidRDefault="008D07AE" w:rsidP="008D07AE">
      <w:pPr>
        <w:autoSpaceDE w:val="0"/>
        <w:autoSpaceDN w:val="0"/>
        <w:adjustRightInd w:val="0"/>
        <w:spacing w:after="0" w:line="240" w:lineRule="auto"/>
        <w:rPr>
          <w:rFonts w:cstheme="minorHAnsi"/>
          <w:bCs/>
        </w:rPr>
      </w:pPr>
      <w:r w:rsidRPr="004A3B94">
        <w:rPr>
          <w:rFonts w:cstheme="minorHAnsi"/>
          <w:bCs/>
        </w:rPr>
        <w:t>This measure is being maintained on the basis of face validity</w:t>
      </w:r>
      <w:r w:rsidR="004A3B94" w:rsidRPr="004A3B94">
        <w:rPr>
          <w:rFonts w:cstheme="minorHAnsi"/>
          <w:bCs/>
        </w:rPr>
        <w:t>.</w:t>
      </w:r>
      <w:r w:rsidRPr="004A3B94">
        <w:rPr>
          <w:rFonts w:cstheme="minorHAnsi"/>
          <w:bCs/>
        </w:rPr>
        <w:t xml:space="preserve"> The measurement of hemoglobin as a dialysis quality measure was initially developed and approved by a Clinical TEP, which agreed that this quality measure is important in the assessment of the quality of care for pediatric dialysis patients.</w:t>
      </w:r>
    </w:p>
    <w:p w14:paraId="4EE3CB88" w14:textId="6AC89F9C" w:rsidR="00F01CFC" w:rsidRPr="000F2E8C" w:rsidRDefault="00F01CFC" w:rsidP="00F01CFC">
      <w:pPr>
        <w:autoSpaceDE w:val="0"/>
        <w:autoSpaceDN w:val="0"/>
        <w:adjustRightInd w:val="0"/>
        <w:spacing w:after="0" w:line="240" w:lineRule="auto"/>
        <w:rPr>
          <w:szCs w:val="20"/>
        </w:rPr>
      </w:pPr>
    </w:p>
    <w:p w14:paraId="379651FD" w14:textId="3430CA0F" w:rsidR="00CC6811" w:rsidRPr="00CC6811" w:rsidRDefault="00CC6811" w:rsidP="00CC6811">
      <w:pPr>
        <w:autoSpaceDE w:val="0"/>
        <w:autoSpaceDN w:val="0"/>
        <w:adjustRightInd w:val="0"/>
        <w:spacing w:after="0"/>
        <w:rPr>
          <w:color w:val="FF0000"/>
        </w:rPr>
      </w:pPr>
      <w:r w:rsidRPr="00CC6811">
        <w:rPr>
          <w:color w:val="FF0000"/>
        </w:rPr>
        <w:t xml:space="preserve">For the </w:t>
      </w:r>
      <w:proofErr w:type="gramStart"/>
      <w:r w:rsidRPr="00CC6811">
        <w:rPr>
          <w:color w:val="FF0000"/>
        </w:rPr>
        <w:t>Spring</w:t>
      </w:r>
      <w:proofErr w:type="gramEnd"/>
      <w:r w:rsidRPr="00CC6811">
        <w:rPr>
          <w:color w:val="FF0000"/>
        </w:rPr>
        <w:t xml:space="preserve"> 2019 Maintenance submission, w</w:t>
      </w:r>
      <w:r w:rsidRPr="00CC6811">
        <w:rPr>
          <w:rFonts w:cs="Arial Narrow"/>
          <w:color w:val="FF0000"/>
        </w:rPr>
        <w:t xml:space="preserve">e used </w:t>
      </w:r>
      <w:r w:rsidRPr="00CC6811">
        <w:rPr>
          <w:color w:val="FF0000"/>
        </w:rPr>
        <w:t>January 2017 – December 2017</w:t>
      </w:r>
      <w:r w:rsidRPr="00CC6811">
        <w:rPr>
          <w:rFonts w:cs="Arial Narrow"/>
          <w:color w:val="FF0000"/>
        </w:rPr>
        <w:t xml:space="preserve"> </w:t>
      </w:r>
      <w:proofErr w:type="spellStart"/>
      <w:r w:rsidRPr="00CC6811">
        <w:rPr>
          <w:rFonts w:cs="Arial Narrow"/>
          <w:color w:val="FF0000"/>
        </w:rPr>
        <w:t>CROWNWeb</w:t>
      </w:r>
      <w:proofErr w:type="spellEnd"/>
      <w:r w:rsidRPr="00CC6811">
        <w:rPr>
          <w:rFonts w:cs="Arial Narrow"/>
          <w:color w:val="FF0000"/>
        </w:rPr>
        <w:t xml:space="preserve"> data to calculate facility level monthly and annual performance scores. Sixty-</w:t>
      </w:r>
      <w:r w:rsidR="004A3B94" w:rsidRPr="00CC6811">
        <w:rPr>
          <w:rFonts w:cs="Arial Narrow"/>
          <w:color w:val="FF0000"/>
        </w:rPr>
        <w:t xml:space="preserve">two </w:t>
      </w:r>
      <w:r w:rsidR="004A3B94" w:rsidRPr="00CC6811">
        <w:rPr>
          <w:color w:val="FF0000"/>
        </w:rPr>
        <w:t>facilities</w:t>
      </w:r>
      <w:r w:rsidRPr="00CC6811">
        <w:rPr>
          <w:color w:val="FF0000"/>
        </w:rPr>
        <w:t xml:space="preserve"> that had at least 11 eligible patients and included 1,415</w:t>
      </w:r>
      <w:r w:rsidR="009C15BF">
        <w:rPr>
          <w:color w:val="FF0000"/>
        </w:rPr>
        <w:t xml:space="preserve"> </w:t>
      </w:r>
      <w:r w:rsidRPr="00CC6811">
        <w:rPr>
          <w:color w:val="FF0000"/>
        </w:rPr>
        <w:t xml:space="preserve">patients in total were included in the testing. </w:t>
      </w:r>
    </w:p>
    <w:p w14:paraId="1CD41627" w14:textId="77777777" w:rsidR="00CC6811" w:rsidRPr="00CC6811" w:rsidRDefault="00CC6811" w:rsidP="00CC6811">
      <w:pPr>
        <w:autoSpaceDE w:val="0"/>
        <w:autoSpaceDN w:val="0"/>
        <w:adjustRightInd w:val="0"/>
        <w:spacing w:after="0"/>
        <w:rPr>
          <w:color w:val="FF0000"/>
        </w:rPr>
      </w:pPr>
    </w:p>
    <w:p w14:paraId="0F629556" w14:textId="1F694665" w:rsidR="00CC6811" w:rsidRPr="00CC6811" w:rsidRDefault="00CC6811" w:rsidP="00CC6811">
      <w:pPr>
        <w:autoSpaceDE w:val="0"/>
        <w:autoSpaceDN w:val="0"/>
        <w:adjustRightInd w:val="0"/>
        <w:spacing w:after="0" w:line="240" w:lineRule="auto"/>
        <w:rPr>
          <w:rFonts w:cs="Arial Narrow"/>
          <w:color w:val="FF0000"/>
        </w:rPr>
      </w:pPr>
      <w:r w:rsidRPr="00CC6811">
        <w:rPr>
          <w:rFonts w:cs="Arial Narrow"/>
          <w:color w:val="FF0000"/>
        </w:rPr>
        <w:t xml:space="preserve">We computed the Spearman correlation to assess the association between the annual performance scores and the NQF endorsed (0369) standardized mortality ratio (SMR) using the 2017 SMR. </w:t>
      </w:r>
      <w:r w:rsidR="00801437">
        <w:rPr>
          <w:rFonts w:cs="Arial Narrow"/>
          <w:color w:val="FF0000"/>
        </w:rPr>
        <w:t xml:space="preserve">We expect the correlation to be </w:t>
      </w:r>
      <w:r w:rsidR="000928C2">
        <w:rPr>
          <w:rFonts w:cs="Arial Narrow"/>
          <w:color w:val="FF0000"/>
        </w:rPr>
        <w:t>negative</w:t>
      </w:r>
      <w:r w:rsidR="00ED4384">
        <w:rPr>
          <w:rFonts w:cs="Arial Narrow"/>
          <w:color w:val="FF0000"/>
        </w:rPr>
        <w:t xml:space="preserve">, insofar as facilities with successful processes for monitoring clinically important intermediate outcomes of care would be expected to have better primary outcomes, including </w:t>
      </w:r>
      <w:r w:rsidR="000928C2">
        <w:rPr>
          <w:rFonts w:cs="Arial Narrow"/>
          <w:color w:val="FF0000"/>
        </w:rPr>
        <w:t>lower mortality</w:t>
      </w:r>
      <w:r w:rsidR="00ED4384">
        <w:rPr>
          <w:rFonts w:cs="Arial Narrow"/>
          <w:color w:val="FF0000"/>
        </w:rPr>
        <w:t>. In addition, if consistent, effective monitoring of hemoglobin outcomes contributes to a higher percentage of hemoglobin values in the facility’s target range, then patient primary outcomes would likely be improved</w:t>
      </w:r>
      <w:r w:rsidR="000928C2">
        <w:rPr>
          <w:rFonts w:cs="Arial Narrow"/>
          <w:color w:val="FF0000"/>
        </w:rPr>
        <w:t xml:space="preserve"> (lower mortality)</w:t>
      </w:r>
      <w:r w:rsidR="00ED4384">
        <w:rPr>
          <w:rFonts w:cs="Arial Narrow"/>
          <w:color w:val="FF0000"/>
        </w:rPr>
        <w:t>, assuming the facility’s target ranges were appropriate.</w:t>
      </w:r>
    </w:p>
    <w:p w14:paraId="5407BC70" w14:textId="77777777" w:rsidR="00CC6811" w:rsidRPr="00CC6811" w:rsidRDefault="00CC6811" w:rsidP="00CC6811">
      <w:pPr>
        <w:autoSpaceDE w:val="0"/>
        <w:autoSpaceDN w:val="0"/>
        <w:adjustRightInd w:val="0"/>
        <w:spacing w:after="0" w:line="240" w:lineRule="auto"/>
        <w:rPr>
          <w:rFonts w:cs="Arial Narrow"/>
          <w:color w:val="FF0000"/>
        </w:rPr>
      </w:pPr>
    </w:p>
    <w:p w14:paraId="47D4F75E" w14:textId="77777777" w:rsidR="00CC6811" w:rsidRPr="00CC6811" w:rsidRDefault="00CC6811" w:rsidP="00CC6811">
      <w:pPr>
        <w:autoSpaceDE w:val="0"/>
        <w:autoSpaceDN w:val="0"/>
        <w:adjustRightInd w:val="0"/>
        <w:spacing w:after="0" w:line="240" w:lineRule="auto"/>
        <w:rPr>
          <w:rFonts w:cstheme="minorHAnsi"/>
          <w:bCs/>
          <w:color w:val="FF0000"/>
        </w:rPr>
      </w:pPr>
      <w:r w:rsidRPr="00CC6811">
        <w:rPr>
          <w:rFonts w:cstheme="minorHAnsi"/>
          <w:bCs/>
          <w:color w:val="FF0000"/>
        </w:rPr>
        <w:t>This measure is being maintained on the basis of face validity. The measurement of hemoglobin as a dialysis quality measure was initially developed and approved by a Clinical TEP, which agreed that this quality measure is important in the assessment of the quality of care for pediatric dialysis patients.</w:t>
      </w:r>
    </w:p>
    <w:p w14:paraId="6D2FEEEE" w14:textId="77777777" w:rsidR="00F01CFC" w:rsidRPr="00A25024" w:rsidRDefault="00F01CFC" w:rsidP="00DB3627">
      <w:pPr>
        <w:autoSpaceDE w:val="0"/>
        <w:autoSpaceDN w:val="0"/>
        <w:adjustRightInd w:val="0"/>
        <w:spacing w:after="0" w:line="240" w:lineRule="auto"/>
        <w:rPr>
          <w:rFonts w:cstheme="minorHAnsi"/>
          <w:bCs/>
        </w:rPr>
      </w:pP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2AF411DE" w14:textId="77777777" w:rsidR="00F01CFC" w:rsidRDefault="009C7513" w:rsidP="00092566">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489A160" w14:textId="77777777" w:rsidR="00F01CFC" w:rsidRDefault="00F01CFC" w:rsidP="00092566">
      <w:pPr>
        <w:autoSpaceDE w:val="0"/>
        <w:autoSpaceDN w:val="0"/>
        <w:adjustRightInd w:val="0"/>
        <w:spacing w:after="0" w:line="240" w:lineRule="auto"/>
        <w:rPr>
          <w:rFonts w:cstheme="minorHAnsi"/>
          <w:bCs/>
        </w:rPr>
      </w:pPr>
    </w:p>
    <w:p w14:paraId="27B03D96" w14:textId="7C89DB1E" w:rsidR="008D07AE" w:rsidRDefault="008D07AE" w:rsidP="008D07AE">
      <w:pPr>
        <w:autoSpaceDE w:val="0"/>
        <w:autoSpaceDN w:val="0"/>
        <w:adjustRightInd w:val="0"/>
        <w:spacing w:after="0" w:line="240" w:lineRule="auto"/>
        <w:rPr>
          <w:color w:val="000000" w:themeColor="text1"/>
          <w:szCs w:val="20"/>
        </w:rPr>
      </w:pPr>
      <w:r w:rsidRPr="00801437">
        <w:rPr>
          <w:color w:val="000000" w:themeColor="text1"/>
          <w:szCs w:val="20"/>
        </w:rPr>
        <w:t xml:space="preserve">Spearman correlation coefficient was </w:t>
      </w:r>
      <w:r w:rsidRPr="00801437">
        <w:rPr>
          <w:rFonts w:cs="SAS Monospace"/>
          <w:color w:val="000000" w:themeColor="text1"/>
          <w:szCs w:val="20"/>
        </w:rPr>
        <w:t>-0.20</w:t>
      </w:r>
      <w:r w:rsidRPr="00801437">
        <w:rPr>
          <w:color w:val="000000" w:themeColor="text1"/>
          <w:szCs w:val="20"/>
        </w:rPr>
        <w:t>, p=0.13.</w:t>
      </w:r>
    </w:p>
    <w:p w14:paraId="6683B340" w14:textId="5BBE2CE6" w:rsidR="00801437" w:rsidRDefault="00801437" w:rsidP="008D07AE">
      <w:pPr>
        <w:autoSpaceDE w:val="0"/>
        <w:autoSpaceDN w:val="0"/>
        <w:adjustRightInd w:val="0"/>
        <w:spacing w:after="0" w:line="240" w:lineRule="auto"/>
        <w:rPr>
          <w:color w:val="000000" w:themeColor="text1"/>
          <w:szCs w:val="20"/>
        </w:rPr>
      </w:pPr>
    </w:p>
    <w:p w14:paraId="7327A861" w14:textId="24BD900A" w:rsidR="00801437" w:rsidRPr="00340035" w:rsidRDefault="00801437" w:rsidP="00801437">
      <w:pPr>
        <w:autoSpaceDE w:val="0"/>
        <w:autoSpaceDN w:val="0"/>
        <w:adjustRightInd w:val="0"/>
        <w:spacing w:after="0" w:line="240" w:lineRule="auto"/>
        <w:rPr>
          <w:rFonts w:cstheme="minorHAnsi"/>
          <w:bCs/>
          <w:color w:val="FF0000"/>
          <w:sz w:val="24"/>
        </w:rPr>
      </w:pPr>
      <w:r w:rsidRPr="00340035">
        <w:rPr>
          <w:color w:val="FF0000"/>
          <w:szCs w:val="20"/>
        </w:rPr>
        <w:t xml:space="preserve">For the </w:t>
      </w:r>
      <w:proofErr w:type="gramStart"/>
      <w:r w:rsidRPr="00340035">
        <w:rPr>
          <w:color w:val="FF0000"/>
          <w:szCs w:val="20"/>
        </w:rPr>
        <w:t>Spring</w:t>
      </w:r>
      <w:proofErr w:type="gramEnd"/>
      <w:r w:rsidRPr="00340035">
        <w:rPr>
          <w:color w:val="FF0000"/>
          <w:szCs w:val="20"/>
        </w:rPr>
        <w:t xml:space="preserve"> 2019 Maintenance submission, the spearman correlation coefficient was </w:t>
      </w:r>
      <w:r w:rsidRPr="00340035">
        <w:rPr>
          <w:rFonts w:cs="SAS Monospace"/>
          <w:color w:val="FF0000"/>
          <w:szCs w:val="20"/>
        </w:rPr>
        <w:t>0.07</w:t>
      </w:r>
      <w:r w:rsidRPr="00340035">
        <w:rPr>
          <w:color w:val="FF0000"/>
          <w:szCs w:val="20"/>
        </w:rPr>
        <w:t>, p=0.55.</w:t>
      </w:r>
    </w:p>
    <w:p w14:paraId="29CD5CAE" w14:textId="77777777" w:rsidR="00801437" w:rsidRPr="00340035" w:rsidRDefault="00801437" w:rsidP="008D07AE">
      <w:pPr>
        <w:autoSpaceDE w:val="0"/>
        <w:autoSpaceDN w:val="0"/>
        <w:adjustRightInd w:val="0"/>
        <w:spacing w:after="0" w:line="240" w:lineRule="auto"/>
        <w:rPr>
          <w:rFonts w:cstheme="minorHAnsi"/>
          <w:bCs/>
          <w:sz w:val="24"/>
        </w:rPr>
      </w:pPr>
    </w:p>
    <w:p w14:paraId="72E42812" w14:textId="53C8A86B" w:rsidR="00F01CFC" w:rsidRPr="00340035" w:rsidRDefault="00833325" w:rsidP="00DB3627">
      <w:pPr>
        <w:autoSpaceDE w:val="0"/>
        <w:autoSpaceDN w:val="0"/>
        <w:adjustRightInd w:val="0"/>
        <w:spacing w:after="0" w:line="240" w:lineRule="auto"/>
        <w:rPr>
          <w:rFonts w:cstheme="minorHAnsi"/>
          <w:bCs/>
        </w:rPr>
      </w:pPr>
      <w:r w:rsidRPr="00340035">
        <w:rPr>
          <w:rFonts w:cstheme="minorHAnsi"/>
          <w:bCs/>
        </w:rPr>
        <w:br/>
      </w:r>
      <w:r w:rsidR="009C7513" w:rsidRPr="00340035">
        <w:rPr>
          <w:rFonts w:cstheme="minorHAnsi"/>
          <w:b/>
          <w:bCs/>
        </w:rPr>
        <w:t>2b1</w:t>
      </w:r>
      <w:r w:rsidR="00092566" w:rsidRPr="00340035">
        <w:rPr>
          <w:rFonts w:cstheme="minorHAnsi"/>
          <w:b/>
          <w:bCs/>
        </w:rPr>
        <w:t>.</w:t>
      </w:r>
      <w:r w:rsidR="007757CE" w:rsidRPr="00340035">
        <w:rPr>
          <w:rFonts w:cstheme="minorHAnsi"/>
          <w:b/>
          <w:bCs/>
        </w:rPr>
        <w:t xml:space="preserve">4. </w:t>
      </w:r>
      <w:proofErr w:type="gramStart"/>
      <w:r w:rsidR="000B2DF7" w:rsidRPr="00340035">
        <w:rPr>
          <w:rFonts w:cstheme="minorHAnsi"/>
          <w:b/>
          <w:bCs/>
        </w:rPr>
        <w:t>What</w:t>
      </w:r>
      <w:proofErr w:type="gramEnd"/>
      <w:r w:rsidR="000B2DF7" w:rsidRPr="00340035">
        <w:rPr>
          <w:rFonts w:cstheme="minorHAnsi"/>
          <w:b/>
          <w:bCs/>
        </w:rPr>
        <w:t xml:space="preserve"> is your interpretation of the results </w:t>
      </w:r>
      <w:r w:rsidR="007422FD" w:rsidRPr="00340035">
        <w:rPr>
          <w:rFonts w:cstheme="minorHAnsi"/>
          <w:b/>
          <w:bCs/>
        </w:rPr>
        <w:t>in terms of demonstrating validity</w:t>
      </w:r>
      <w:r w:rsidR="007422FD" w:rsidRPr="00340035">
        <w:rPr>
          <w:rFonts w:cstheme="minorHAnsi"/>
          <w:bCs/>
        </w:rPr>
        <w:t xml:space="preserve">? </w:t>
      </w:r>
      <w:r w:rsidR="000B2DF7" w:rsidRPr="00340035">
        <w:rPr>
          <w:rFonts w:cstheme="minorHAnsi"/>
          <w:bCs/>
        </w:rPr>
        <w:t>(i</w:t>
      </w:r>
      <w:r w:rsidR="000B2DF7" w:rsidRPr="00340035">
        <w:rPr>
          <w:rFonts w:cstheme="minorHAnsi"/>
          <w:bCs/>
          <w:i/>
        </w:rPr>
        <w:t>.e., what do the results mean and what are the norms for the test conducted</w:t>
      </w:r>
      <w:r w:rsidR="00A25024" w:rsidRPr="00340035">
        <w:rPr>
          <w:rFonts w:cstheme="minorHAnsi"/>
          <w:bCs/>
          <w:i/>
        </w:rPr>
        <w:t>?</w:t>
      </w:r>
      <w:r w:rsidR="000B2DF7" w:rsidRPr="00340035">
        <w:rPr>
          <w:rFonts w:cstheme="minorHAnsi"/>
          <w:bCs/>
        </w:rPr>
        <w:t>)</w:t>
      </w:r>
    </w:p>
    <w:p w14:paraId="3FAE87E3" w14:textId="77777777" w:rsidR="008D07AE" w:rsidRPr="00340035" w:rsidRDefault="008D07AE" w:rsidP="008D07AE">
      <w:pPr>
        <w:autoSpaceDE w:val="0"/>
        <w:autoSpaceDN w:val="0"/>
        <w:adjustRightInd w:val="0"/>
        <w:spacing w:after="0" w:line="240" w:lineRule="auto"/>
        <w:rPr>
          <w:color w:val="000000" w:themeColor="text1"/>
          <w:szCs w:val="20"/>
        </w:rPr>
      </w:pPr>
    </w:p>
    <w:p w14:paraId="028302AF" w14:textId="12B187AC" w:rsidR="008D07AE" w:rsidRPr="00F23899" w:rsidRDefault="008D07AE" w:rsidP="008D07AE">
      <w:pPr>
        <w:autoSpaceDE w:val="0"/>
        <w:autoSpaceDN w:val="0"/>
        <w:adjustRightInd w:val="0"/>
        <w:spacing w:after="0" w:line="240" w:lineRule="auto"/>
        <w:rPr>
          <w:color w:val="000000" w:themeColor="text1"/>
          <w:szCs w:val="20"/>
        </w:rPr>
      </w:pPr>
      <w:r w:rsidRPr="00340035">
        <w:rPr>
          <w:color w:val="000000" w:themeColor="text1"/>
          <w:szCs w:val="20"/>
        </w:rPr>
        <w:t>The result suggests that facilities with a higher percentage of pediatric patients (calculated as patient months) with hemoglobin measured is associated with a lower risk of mortality relative to facilities with a lower percentage of pediatric patients with hemoglobin measured. The result is however not statistically significant. This may be due to the small sample size (e.g., small number of facilities eligible for this measure).</w:t>
      </w:r>
    </w:p>
    <w:p w14:paraId="0CABCFDF" w14:textId="43A6E1C3" w:rsidR="007422FD" w:rsidRPr="00340035" w:rsidRDefault="007422FD" w:rsidP="00DB3627">
      <w:pPr>
        <w:autoSpaceDE w:val="0"/>
        <w:autoSpaceDN w:val="0"/>
        <w:adjustRightInd w:val="0"/>
        <w:spacing w:after="0" w:line="240" w:lineRule="auto"/>
        <w:rPr>
          <w:rFonts w:cstheme="minorHAnsi"/>
          <w:bCs/>
          <w:color w:val="FF0000"/>
        </w:rPr>
      </w:pPr>
      <w:r w:rsidRPr="00A25024">
        <w:rPr>
          <w:rFonts w:cstheme="minorHAnsi"/>
          <w:bCs/>
        </w:rPr>
        <w:br/>
      </w:r>
      <w:r w:rsidR="000928C2">
        <w:rPr>
          <w:rFonts w:cstheme="minorHAnsi"/>
          <w:bCs/>
          <w:color w:val="FF0000"/>
        </w:rPr>
        <w:t>The result does not suggest a statistically significant association between the measure (calculated as patient months) and mortality.</w:t>
      </w:r>
      <w:r w:rsidR="00C37654">
        <w:rPr>
          <w:rFonts w:cstheme="minorHAnsi"/>
          <w:bCs/>
          <w:color w:val="FF0000"/>
        </w:rPr>
        <w:t xml:space="preserve"> We maintain the measure based on face validity as determined by the Technical Expert Panel that initially developed the measure. </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00599975"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5F8F3135"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AD5C1AE"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F01CFC">
        <w:rPr>
          <w:rFonts w:cstheme="minorHAnsi"/>
          <w:bCs/>
        </w:rPr>
        <w:t>N/A</w:t>
      </w:r>
      <w:r w:rsidR="00F01CFC" w:rsidRPr="00A25024">
        <w:rPr>
          <w:rFonts w:cstheme="minorHAnsi"/>
          <w:bCs/>
        </w:rPr>
        <w:t xml:space="preserve"> </w:t>
      </w:r>
    </w:p>
    <w:p w14:paraId="0CABCFE6" w14:textId="38532CDE" w:rsidR="007422FD" w:rsidRDefault="007422FD"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3632083" w14:textId="77777777" w:rsidR="00F01CFC" w:rsidRPr="00A25024" w:rsidRDefault="00092566" w:rsidP="00F01CFC">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F01CFC">
        <w:rPr>
          <w:rFonts w:cstheme="minorHAnsi"/>
          <w:bCs/>
        </w:rPr>
        <w:t>N/A</w:t>
      </w:r>
      <w:r w:rsidR="00F01CFC" w:rsidRPr="00A25024">
        <w:rPr>
          <w:rFonts w:cstheme="minorHAnsi"/>
          <w:bCs/>
        </w:rPr>
        <w:t xml:space="preserve"> </w:t>
      </w:r>
    </w:p>
    <w:p w14:paraId="0CABCFE9" w14:textId="1CA1B9D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1DD8EE9D" w:rsidR="00033038" w:rsidRPr="005232D6" w:rsidRDefault="00732ADE"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01CFC">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732ADE"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732ADE"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732ADE"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A4C018B"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A1E352E" w14:textId="77777777" w:rsidR="00AF2D68" w:rsidRDefault="00AF2D68" w:rsidP="009D3882">
      <w:pPr>
        <w:rPr>
          <w:rFonts w:cs="Calibri"/>
          <w:b/>
          <w:bCs/>
        </w:rPr>
      </w:pPr>
    </w:p>
    <w:p w14:paraId="27C28C8C" w14:textId="77777777" w:rsidR="008D07AE" w:rsidRPr="00F23899" w:rsidRDefault="009C7513" w:rsidP="008D07AE">
      <w:pPr>
        <w:autoSpaceDE w:val="0"/>
        <w:autoSpaceDN w:val="0"/>
        <w:adjustRightInd w:val="0"/>
        <w:spacing w:after="0" w:line="240" w:lineRule="auto"/>
        <w:rPr>
          <w:rFonts w:cstheme="minorHAnsi"/>
          <w:bCs/>
          <w:sz w:val="24"/>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8D07AE" w:rsidRPr="00F23899">
        <w:rPr>
          <w:szCs w:val="20"/>
        </w:rPr>
        <w:t>Risk adjustment is not required for this measure. While trend analysis suggests by disparities by race, the conservative interpretation would be that these differences reflected in the trend analysis reflect disparities in care for certain subpopulations. In the absence of biological effects explaining these differences, risk adjustment for these factors would potentially mask disparities in care.</w:t>
      </w:r>
    </w:p>
    <w:p w14:paraId="12C01F3F" w14:textId="01E776BB" w:rsidR="00F01CFC" w:rsidRDefault="00F01CFC" w:rsidP="00F01CFC">
      <w:pPr>
        <w:autoSpaceDE w:val="0"/>
        <w:autoSpaceDN w:val="0"/>
        <w:adjustRightInd w:val="0"/>
        <w:spacing w:after="0" w:line="240" w:lineRule="auto"/>
        <w:rPr>
          <w:rFonts w:cstheme="minorHAnsi"/>
          <w:bCs/>
        </w:rPr>
      </w:pPr>
    </w:p>
    <w:p w14:paraId="25AC3573" w14:textId="77777777" w:rsidR="008D07AE" w:rsidRPr="00A25024" w:rsidRDefault="008D07AE" w:rsidP="00F01CFC">
      <w:pPr>
        <w:autoSpaceDE w:val="0"/>
        <w:autoSpaceDN w:val="0"/>
        <w:adjustRightInd w:val="0"/>
        <w:spacing w:after="0" w:line="240" w:lineRule="auto"/>
        <w:rPr>
          <w:rFonts w:cstheme="minorHAnsi"/>
          <w:bCs/>
        </w:rPr>
      </w:pPr>
    </w:p>
    <w:p w14:paraId="7A584B7C"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6" w14:textId="5A589104" w:rsidR="00001D73" w:rsidRPr="00AF2D68" w:rsidRDefault="00001D73"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732AD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732AD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732AD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56737AD5"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r w:rsidR="00F01CFC">
        <w:rPr>
          <w:rFonts w:cstheme="minorHAnsi"/>
          <w:bCs/>
        </w:rPr>
        <w:t>N/A</w:t>
      </w:r>
      <w:r w:rsidR="00F01CFC" w:rsidRPr="00A25024">
        <w:rPr>
          <w:rFonts w:cstheme="minorHAnsi"/>
          <w:bCs/>
        </w:rPr>
        <w:t xml:space="preserve"> </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33C8D53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3E3F577D"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1F0C34AC" w14:textId="7DEAAC9D" w:rsidR="00F01CFC" w:rsidRDefault="00F01CFC" w:rsidP="00092566">
      <w:pPr>
        <w:autoSpaceDE w:val="0"/>
        <w:autoSpaceDN w:val="0"/>
        <w:adjustRightInd w:val="0"/>
        <w:spacing w:after="0" w:line="240" w:lineRule="auto"/>
        <w:rPr>
          <w:rStyle w:val="Hyperlink"/>
          <w:rFonts w:cstheme="minorHAnsi"/>
          <w:b/>
          <w:bCs/>
          <w:i/>
        </w:rPr>
      </w:pPr>
    </w:p>
    <w:p w14:paraId="1243D24D"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lastRenderedPageBreak/>
        <w:t>N/A</w:t>
      </w:r>
      <w:r w:rsidRPr="00A25024">
        <w:rPr>
          <w:rFonts w:cstheme="minorHAnsi"/>
          <w:bCs/>
        </w:rPr>
        <w:t xml:space="preserve"> </w:t>
      </w:r>
    </w:p>
    <w:p w14:paraId="2EECFAC6" w14:textId="77777777" w:rsidR="00F01CFC" w:rsidRDefault="00F01CFC" w:rsidP="00092566">
      <w:pPr>
        <w:autoSpaceDE w:val="0"/>
        <w:autoSpaceDN w:val="0"/>
        <w:adjustRightInd w:val="0"/>
        <w:spacing w:after="0" w:line="240" w:lineRule="auto"/>
        <w:rPr>
          <w:rFonts w:cstheme="minorHAnsi"/>
          <w:b/>
          <w:bCs/>
        </w:rPr>
      </w:pPr>
    </w:p>
    <w:p w14:paraId="0CABCFFC" w14:textId="77777777" w:rsidR="00743E46" w:rsidRDefault="00743E46" w:rsidP="00092566">
      <w:pPr>
        <w:autoSpaceDE w:val="0"/>
        <w:autoSpaceDN w:val="0"/>
        <w:adjustRightInd w:val="0"/>
        <w:spacing w:after="0" w:line="240" w:lineRule="auto"/>
        <w:rPr>
          <w:rFonts w:cstheme="minorHAnsi"/>
          <w:b/>
          <w:bCs/>
        </w:rPr>
      </w:pPr>
    </w:p>
    <w:p w14:paraId="200161A2" w14:textId="77777777" w:rsidR="00F01CFC"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5E83E93C"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CFFD" w14:textId="54A6D9E1" w:rsidR="00001D73" w:rsidRPr="00001D73" w:rsidRDefault="00092566" w:rsidP="00092566">
      <w:pPr>
        <w:autoSpaceDE w:val="0"/>
        <w:autoSpaceDN w:val="0"/>
        <w:adjustRightInd w:val="0"/>
        <w:spacing w:after="0" w:line="240" w:lineRule="auto"/>
        <w:rPr>
          <w:rFonts w:cstheme="minorHAnsi"/>
          <w:b/>
          <w:bCs/>
        </w:rPr>
      </w:pPr>
      <w:r w:rsidRPr="00001D73">
        <w:rPr>
          <w:rFonts w:cstheme="minorHAnsi"/>
          <w:b/>
        </w:rPr>
        <w:br/>
      </w:r>
    </w:p>
    <w:p w14:paraId="43C2E8B4"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F01CFC">
        <w:rPr>
          <w:rFonts w:cstheme="minorHAnsi"/>
          <w:bCs/>
        </w:rPr>
        <w:t>N/A</w:t>
      </w:r>
      <w:r w:rsidR="00F01CFC" w:rsidRPr="00A25024">
        <w:rPr>
          <w:rFonts w:cstheme="minorHAnsi"/>
          <w:bCs/>
        </w:rPr>
        <w:t xml:space="preserve"> </w:t>
      </w:r>
    </w:p>
    <w:p w14:paraId="0CABCFFE" w14:textId="57E7DDD4" w:rsidR="00001D73" w:rsidRDefault="00001D73" w:rsidP="00092566">
      <w:pPr>
        <w:autoSpaceDE w:val="0"/>
        <w:autoSpaceDN w:val="0"/>
        <w:adjustRightInd w:val="0"/>
        <w:spacing w:after="0" w:line="240" w:lineRule="auto"/>
        <w:rPr>
          <w:rFonts w:cstheme="minorHAnsi"/>
          <w:b/>
          <w:bCs/>
        </w:rPr>
      </w:pPr>
    </w:p>
    <w:p w14:paraId="36AC48F0" w14:textId="77777777" w:rsidR="00F01CFC" w:rsidRPr="00A25024" w:rsidRDefault="009C7513" w:rsidP="00F01CFC">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bookmarkStart w:id="13" w:name="question2b49"/>
      <w:bookmarkEnd w:id="13"/>
      <w:r w:rsidR="00F01CFC">
        <w:rPr>
          <w:rFonts w:cstheme="minorHAnsi"/>
          <w:bCs/>
        </w:rPr>
        <w:t>N/A</w:t>
      </w:r>
      <w:r w:rsidR="00F01CFC" w:rsidRPr="00A25024">
        <w:rPr>
          <w:rFonts w:cstheme="minorHAnsi"/>
          <w:bCs/>
        </w:rPr>
        <w:t xml:space="preserve"> </w:t>
      </w:r>
    </w:p>
    <w:p w14:paraId="7CEA0C09" w14:textId="77777777" w:rsidR="00F01CFC" w:rsidRDefault="00F01CFC" w:rsidP="00092566">
      <w:pPr>
        <w:autoSpaceDE w:val="0"/>
        <w:autoSpaceDN w:val="0"/>
        <w:adjustRightInd w:val="0"/>
        <w:spacing w:after="0" w:line="240" w:lineRule="auto"/>
        <w:rPr>
          <w:rFonts w:cstheme="minorHAnsi"/>
          <w:b/>
        </w:rPr>
      </w:pPr>
    </w:p>
    <w:p w14:paraId="0CABD000" w14:textId="73C58E1E" w:rsidR="00092566" w:rsidRPr="00A25024" w:rsidRDefault="009C7513" w:rsidP="00092566">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24129186" w14:textId="77777777"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6744CE2D" w14:textId="77777777" w:rsidR="00F01CFC" w:rsidRDefault="00F01CFC" w:rsidP="00F01CFC">
      <w:pPr>
        <w:autoSpaceDE w:val="0"/>
        <w:autoSpaceDN w:val="0"/>
        <w:adjustRightInd w:val="0"/>
        <w:spacing w:after="0" w:line="240" w:lineRule="auto"/>
        <w:rPr>
          <w:rFonts w:cstheme="minorHAnsi"/>
          <w:bCs/>
        </w:rPr>
      </w:pPr>
    </w:p>
    <w:p w14:paraId="40B48351" w14:textId="6EB66B71" w:rsidR="00F01CFC" w:rsidRPr="00A25024" w:rsidRDefault="00F01CFC" w:rsidP="00F01CFC">
      <w:pPr>
        <w:autoSpaceDE w:val="0"/>
        <w:autoSpaceDN w:val="0"/>
        <w:adjustRightInd w:val="0"/>
        <w:spacing w:after="0" w:line="240" w:lineRule="auto"/>
        <w:rPr>
          <w:rFonts w:cstheme="minorHAnsi"/>
          <w:bCs/>
        </w:rPr>
      </w:pPr>
      <w:r>
        <w:rPr>
          <w:rFonts w:cstheme="minorHAnsi"/>
          <w:bCs/>
        </w:rPr>
        <w:t>N/A</w:t>
      </w:r>
      <w:r w:rsidRPr="00A25024">
        <w:rPr>
          <w:rFonts w:cstheme="minorHAnsi"/>
          <w:bCs/>
        </w:rPr>
        <w:t xml:space="preserve"> </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49B975CB"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F01CFC">
        <w:rPr>
          <w:rFonts w:cstheme="minorHAnsi"/>
          <w:bCs/>
        </w:rPr>
        <w:br/>
      </w:r>
    </w:p>
    <w:p w14:paraId="0CABD008" w14:textId="58D2EDE1" w:rsidR="00D61410" w:rsidRPr="00A25024" w:rsidRDefault="00F01CFC" w:rsidP="00D61410">
      <w:pPr>
        <w:autoSpaceDE w:val="0"/>
        <w:autoSpaceDN w:val="0"/>
        <w:adjustRightInd w:val="0"/>
        <w:spacing w:after="0" w:line="240" w:lineRule="auto"/>
        <w:rPr>
          <w:rFonts w:cstheme="minorHAnsi"/>
          <w:bCs/>
        </w:rPr>
      </w:pPr>
      <w:r w:rsidRPr="000F2E8C">
        <w:rPr>
          <w:rFonts w:cstheme="minorHAnsi"/>
          <w:bCs/>
        </w:rPr>
        <w:t xml:space="preserve">Given </w:t>
      </w:r>
      <w:r w:rsidRPr="00340035">
        <w:rPr>
          <w:rFonts w:cstheme="minorHAnsi"/>
          <w:bCs/>
        </w:rPr>
        <w:t xml:space="preserve">that the number of facilities included in the calculation in </w:t>
      </w:r>
      <w:r w:rsidR="00801437" w:rsidRPr="00340035">
        <w:rPr>
          <w:rFonts w:cstheme="minorHAnsi"/>
          <w:bCs/>
        </w:rPr>
        <w:t>1.5</w:t>
      </w:r>
      <w:r w:rsidRPr="00340035">
        <w:rPr>
          <w:rFonts w:cstheme="minorHAnsi"/>
          <w:bCs/>
        </w:rPr>
        <w:t xml:space="preserve"> </w:t>
      </w:r>
      <w:r w:rsidR="00801437" w:rsidRPr="00340035">
        <w:rPr>
          <w:rFonts w:cstheme="minorHAnsi"/>
          <w:bCs/>
        </w:rPr>
        <w:t>is small</w:t>
      </w:r>
      <w:r w:rsidRPr="00340035">
        <w:rPr>
          <w:rFonts w:cstheme="minorHAnsi"/>
          <w:bCs/>
        </w:rPr>
        <w:t>, the sample was determined to be too small to display useful data on meaningful</w:t>
      </w:r>
      <w:r w:rsidRPr="000F2E8C">
        <w:rPr>
          <w:rFonts w:cstheme="minorHAnsi"/>
          <w:bCs/>
        </w:rPr>
        <w:t xml:space="preserve"> differences.</w:t>
      </w:r>
    </w:p>
    <w:p w14:paraId="0CABD009" w14:textId="7FEE825C" w:rsidR="00D61410" w:rsidRDefault="00D61410" w:rsidP="00D61410">
      <w:pPr>
        <w:autoSpaceDE w:val="0"/>
        <w:autoSpaceDN w:val="0"/>
        <w:adjustRightInd w:val="0"/>
        <w:spacing w:after="0" w:line="240" w:lineRule="auto"/>
        <w:rPr>
          <w:rFonts w:cstheme="minorHAnsi"/>
          <w:bCs/>
        </w:rPr>
      </w:pPr>
    </w:p>
    <w:p w14:paraId="3D999A6A" w14:textId="458DFFB2" w:rsidR="00340035" w:rsidRPr="00340035" w:rsidRDefault="00340035" w:rsidP="00340035">
      <w:pPr>
        <w:autoSpaceDE w:val="0"/>
        <w:autoSpaceDN w:val="0"/>
        <w:adjustRightInd w:val="0"/>
        <w:spacing w:after="0" w:line="240" w:lineRule="auto"/>
        <w:rPr>
          <w:rFonts w:cstheme="minorHAnsi"/>
          <w:bCs/>
          <w:color w:val="FF0000"/>
        </w:rPr>
      </w:pPr>
      <w:r w:rsidRPr="00340035">
        <w:rPr>
          <w:rFonts w:cstheme="minorHAnsi"/>
          <w:bCs/>
          <w:color w:val="FF0000"/>
        </w:rPr>
        <w:t xml:space="preserve">For the </w:t>
      </w:r>
      <w:proofErr w:type="gramStart"/>
      <w:r w:rsidRPr="00340035">
        <w:rPr>
          <w:rFonts w:cstheme="minorHAnsi"/>
          <w:bCs/>
          <w:color w:val="FF0000"/>
        </w:rPr>
        <w:t>Spring</w:t>
      </w:r>
      <w:proofErr w:type="gramEnd"/>
      <w:r w:rsidRPr="00340035">
        <w:rPr>
          <w:rFonts w:cstheme="minorHAnsi"/>
          <w:bCs/>
          <w:color w:val="FF0000"/>
        </w:rPr>
        <w:t xml:space="preserve"> 2019 submission, we followed the methodology described below to using data from January – December 2017. </w:t>
      </w:r>
    </w:p>
    <w:p w14:paraId="48C5A940" w14:textId="77777777" w:rsidR="00340035" w:rsidRPr="00340035" w:rsidRDefault="00340035" w:rsidP="00340035">
      <w:pPr>
        <w:autoSpaceDE w:val="0"/>
        <w:autoSpaceDN w:val="0"/>
        <w:adjustRightInd w:val="0"/>
        <w:spacing w:after="0" w:line="240" w:lineRule="auto"/>
        <w:rPr>
          <w:rFonts w:cstheme="minorHAnsi"/>
          <w:bCs/>
          <w:color w:val="FF0000"/>
        </w:rPr>
      </w:pPr>
    </w:p>
    <w:p w14:paraId="7C0BF037" w14:textId="61FAE6CC" w:rsidR="00392479" w:rsidRPr="00340035" w:rsidRDefault="00340035" w:rsidP="00340035">
      <w:pPr>
        <w:autoSpaceDE w:val="0"/>
        <w:autoSpaceDN w:val="0"/>
        <w:adjustRightInd w:val="0"/>
        <w:spacing w:after="0" w:line="240" w:lineRule="auto"/>
        <w:rPr>
          <w:rFonts w:cstheme="minorHAnsi"/>
          <w:bCs/>
          <w:color w:val="FF0000"/>
        </w:rPr>
      </w:pPr>
      <w:r w:rsidRPr="00340035">
        <w:rPr>
          <w:rFonts w:cstheme="minorHAnsi"/>
          <w:bCs/>
          <w:color w:val="FF0000"/>
        </w:rPr>
        <w:t>Testing was performed on the yearly based performance score. We used a re-sampling based exact test, with re-sampling generated from the population distribution of the patient level outcomes. Note that a one-sided test with significance level 0.025 is used (corresponding to cutoff=0.05 in a two-sided test) due to non-symmetric structure of the measure's distribution. To calculate the p-value, we compute the probability that the facility would experience a number of events (i.e., percentage with hypercalcemia) more extreme than that observed if the null hypothesis were true, with the null hypothesis being that the  facility's distribution of hypercalcemia will follow the overall national distribution.</w:t>
      </w:r>
    </w:p>
    <w:p w14:paraId="4AB06AD8" w14:textId="77777777" w:rsidR="00392479" w:rsidRPr="00A25024" w:rsidRDefault="00392479" w:rsidP="00D61410">
      <w:pPr>
        <w:autoSpaceDE w:val="0"/>
        <w:autoSpaceDN w:val="0"/>
        <w:adjustRightInd w:val="0"/>
        <w:spacing w:after="0" w:line="240" w:lineRule="auto"/>
        <w:rPr>
          <w:rFonts w:cstheme="minorHAnsi"/>
          <w:bCs/>
        </w:rPr>
      </w:pPr>
    </w:p>
    <w:p w14:paraId="17135732" w14:textId="77777777" w:rsidR="00F01CFC"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152297FB" w14:textId="77777777" w:rsidR="00F01CFC" w:rsidRDefault="00F01CFC" w:rsidP="00D61410">
      <w:pPr>
        <w:autoSpaceDE w:val="0"/>
        <w:autoSpaceDN w:val="0"/>
        <w:adjustRightInd w:val="0"/>
        <w:spacing w:after="0" w:line="240" w:lineRule="auto"/>
        <w:rPr>
          <w:rFonts w:cstheme="minorHAnsi"/>
          <w:bCs/>
        </w:rPr>
      </w:pPr>
    </w:p>
    <w:p w14:paraId="33780CE8" w14:textId="31B3E0FF" w:rsidR="00801437" w:rsidRDefault="00801437" w:rsidP="00582E26">
      <w:pPr>
        <w:autoSpaceDE w:val="0"/>
        <w:autoSpaceDN w:val="0"/>
        <w:adjustRightInd w:val="0"/>
        <w:spacing w:after="0" w:line="240" w:lineRule="auto"/>
        <w:rPr>
          <w:rFonts w:cstheme="minorHAnsi"/>
          <w:bCs/>
        </w:rPr>
      </w:pPr>
      <w:r>
        <w:rPr>
          <w:rFonts w:cstheme="minorHAnsi"/>
          <w:bCs/>
        </w:rPr>
        <w:t>N/A</w:t>
      </w:r>
    </w:p>
    <w:p w14:paraId="548DF25E" w14:textId="6DD5340B" w:rsidR="00340035" w:rsidRDefault="00D61410" w:rsidP="00F01CFC">
      <w:pPr>
        <w:autoSpaceDE w:val="0"/>
        <w:autoSpaceDN w:val="0"/>
        <w:adjustRightInd w:val="0"/>
        <w:spacing w:after="0" w:line="240" w:lineRule="auto"/>
        <w:rPr>
          <w:rFonts w:cstheme="minorHAnsi"/>
          <w:bCs/>
        </w:rPr>
      </w:pPr>
      <w:r w:rsidRPr="00A25024">
        <w:rPr>
          <w:rFonts w:cstheme="minorHAnsi"/>
          <w:bCs/>
        </w:rPr>
        <w:br/>
      </w:r>
      <w:r w:rsidR="00801437" w:rsidRPr="00340035">
        <w:rPr>
          <w:rFonts w:cstheme="minorHAnsi"/>
          <w:bCs/>
          <w:color w:val="FF0000"/>
        </w:rPr>
        <w:t xml:space="preserve">For the </w:t>
      </w:r>
      <w:proofErr w:type="gramStart"/>
      <w:r w:rsidR="00801437" w:rsidRPr="00340035">
        <w:rPr>
          <w:rFonts w:cstheme="minorHAnsi"/>
          <w:bCs/>
          <w:color w:val="FF0000"/>
        </w:rPr>
        <w:t>Spring</w:t>
      </w:r>
      <w:proofErr w:type="gramEnd"/>
      <w:r w:rsidR="00801437" w:rsidRPr="00340035">
        <w:rPr>
          <w:rFonts w:cstheme="minorHAnsi"/>
          <w:bCs/>
          <w:color w:val="FF0000"/>
        </w:rPr>
        <w:t xml:space="preserve"> 2019 Maintenance submission, w</w:t>
      </w:r>
      <w:r w:rsidR="00582E26" w:rsidRPr="00340035">
        <w:rPr>
          <w:rFonts w:cstheme="minorHAnsi"/>
          <w:bCs/>
          <w:color w:val="FF0000"/>
        </w:rPr>
        <w:t>e did not identify statistically significant in performance scores across 62 facilities that had at least 11 eligible patients. This is because of the size of patient population is relatively small within the each facility (mean=23</w:t>
      </w:r>
      <w:r w:rsidR="00A84918" w:rsidRPr="00340035">
        <w:rPr>
          <w:rFonts w:cstheme="minorHAnsi"/>
          <w:bCs/>
          <w:color w:val="FF0000"/>
        </w:rPr>
        <w:t>, median=20</w:t>
      </w:r>
      <w:r w:rsidR="00582E26" w:rsidRPr="00340035">
        <w:rPr>
          <w:rFonts w:cstheme="minorHAnsi"/>
          <w:bCs/>
          <w:color w:val="FF0000"/>
        </w:rPr>
        <w:t>) and the performance score</w:t>
      </w:r>
      <w:r w:rsidR="00AA36E1" w:rsidRPr="00340035">
        <w:rPr>
          <w:rFonts w:cstheme="minorHAnsi"/>
          <w:bCs/>
          <w:color w:val="FF0000"/>
        </w:rPr>
        <w:t xml:space="preserve"> of measure is distributed uniformly across facilities</w:t>
      </w:r>
      <w:r w:rsidR="00582E26" w:rsidRPr="00340035">
        <w:rPr>
          <w:rFonts w:cstheme="minorHAnsi"/>
          <w:bCs/>
          <w:color w:val="FF0000"/>
        </w:rPr>
        <w:t xml:space="preserve"> (mean= 90.2%, s</w:t>
      </w:r>
      <w:r w:rsidR="009C15BF">
        <w:rPr>
          <w:rFonts w:cstheme="minorHAnsi"/>
          <w:bCs/>
          <w:color w:val="FF0000"/>
        </w:rPr>
        <w:t>tandar</w:t>
      </w:r>
      <w:r w:rsidR="00582E26" w:rsidRPr="00340035">
        <w:rPr>
          <w:rFonts w:cstheme="minorHAnsi"/>
          <w:bCs/>
          <w:color w:val="FF0000"/>
        </w:rPr>
        <w:t>d</w:t>
      </w:r>
      <w:r w:rsidR="009C15BF">
        <w:rPr>
          <w:rFonts w:cstheme="minorHAnsi"/>
          <w:bCs/>
          <w:color w:val="FF0000"/>
        </w:rPr>
        <w:t xml:space="preserve"> deviation</w:t>
      </w:r>
      <w:r w:rsidR="00582E26" w:rsidRPr="00340035">
        <w:rPr>
          <w:rFonts w:cstheme="minorHAnsi"/>
          <w:bCs/>
          <w:color w:val="FF0000"/>
        </w:rPr>
        <w:t>=11%).</w:t>
      </w:r>
    </w:p>
    <w:p w14:paraId="554ADF92" w14:textId="77777777" w:rsidR="00340035" w:rsidRDefault="00340035" w:rsidP="00F01CFC">
      <w:pPr>
        <w:autoSpaceDE w:val="0"/>
        <w:autoSpaceDN w:val="0"/>
        <w:adjustRightInd w:val="0"/>
        <w:spacing w:after="0" w:line="240" w:lineRule="auto"/>
        <w:rPr>
          <w:rFonts w:cstheme="minorHAnsi"/>
          <w:bCs/>
        </w:rPr>
      </w:pPr>
    </w:p>
    <w:p w14:paraId="6CE62C4C" w14:textId="6871154B" w:rsidR="00F01CFC" w:rsidRDefault="009C7513" w:rsidP="00F01CFC">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CABD00C" w14:textId="6787E0CC" w:rsidR="00D61410" w:rsidRDefault="00F01CFC" w:rsidP="00F01CFC">
      <w:pPr>
        <w:autoSpaceDE w:val="0"/>
        <w:autoSpaceDN w:val="0"/>
        <w:adjustRightInd w:val="0"/>
        <w:spacing w:after="0" w:line="240" w:lineRule="auto"/>
        <w:rPr>
          <w:rFonts w:cstheme="minorHAnsi"/>
          <w:bCs/>
        </w:rPr>
      </w:pPr>
      <w:r>
        <w:rPr>
          <w:rFonts w:cstheme="minorHAnsi"/>
          <w:bCs/>
        </w:rPr>
        <w:t>N/A</w:t>
      </w:r>
    </w:p>
    <w:p w14:paraId="6F793AE2" w14:textId="77777777" w:rsidR="00637E1B" w:rsidRDefault="00637E1B" w:rsidP="00F01CFC">
      <w:pPr>
        <w:autoSpaceDE w:val="0"/>
        <w:autoSpaceDN w:val="0"/>
        <w:adjustRightInd w:val="0"/>
        <w:spacing w:after="0" w:line="240" w:lineRule="auto"/>
        <w:rPr>
          <w:rFonts w:cstheme="minorHAnsi"/>
          <w:bCs/>
        </w:rPr>
      </w:pPr>
    </w:p>
    <w:p w14:paraId="62C7EC17" w14:textId="70E69374" w:rsidR="00637E1B" w:rsidRPr="00924A29" w:rsidRDefault="00637E1B" w:rsidP="00F01CFC">
      <w:pPr>
        <w:autoSpaceDE w:val="0"/>
        <w:autoSpaceDN w:val="0"/>
        <w:adjustRightInd w:val="0"/>
        <w:spacing w:after="0" w:line="240" w:lineRule="auto"/>
        <w:rPr>
          <w:rFonts w:cstheme="minorHAnsi"/>
          <w:bCs/>
          <w:color w:val="FF0000"/>
        </w:rPr>
      </w:pPr>
      <w:r w:rsidRPr="00924A29">
        <w:rPr>
          <w:rFonts w:cstheme="minorHAnsi"/>
          <w:bCs/>
          <w:color w:val="FF0000"/>
        </w:rPr>
        <w:t xml:space="preserve">For the </w:t>
      </w:r>
      <w:proofErr w:type="gramStart"/>
      <w:r w:rsidRPr="00924A29">
        <w:rPr>
          <w:rFonts w:cstheme="minorHAnsi"/>
          <w:bCs/>
          <w:color w:val="FF0000"/>
        </w:rPr>
        <w:t>Spring</w:t>
      </w:r>
      <w:proofErr w:type="gramEnd"/>
      <w:r w:rsidRPr="00924A29">
        <w:rPr>
          <w:rFonts w:cstheme="minorHAnsi"/>
          <w:bCs/>
          <w:color w:val="FF0000"/>
        </w:rPr>
        <w:t xml:space="preserve"> 2019 maintenance submission, as described above we did not identify statistically significant differences in performance scores for this measure, due to the small patient population in each facility.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4B986FA0" w14:textId="52994290" w:rsidR="008D07AE" w:rsidRPr="00A25024" w:rsidRDefault="00924A29" w:rsidP="008D07AE">
      <w:pPr>
        <w:autoSpaceDE w:val="0"/>
        <w:autoSpaceDN w:val="0"/>
        <w:adjustRightInd w:val="0"/>
        <w:spacing w:after="0" w:line="240" w:lineRule="auto"/>
        <w:rPr>
          <w:rFonts w:cstheme="minorHAnsi"/>
          <w:bCs/>
        </w:rPr>
      </w:pPr>
      <w:r>
        <w:rPr>
          <w:rFonts w:cs="Calibri"/>
          <w:color w:val="000000"/>
        </w:rPr>
        <w:t>N/A</w:t>
      </w:r>
    </w:p>
    <w:p w14:paraId="52104703" w14:textId="77777777" w:rsidR="00F01CFC" w:rsidRDefault="00F01CFC" w:rsidP="00E1508F">
      <w:pPr>
        <w:autoSpaceDE w:val="0"/>
        <w:autoSpaceDN w:val="0"/>
        <w:adjustRightInd w:val="0"/>
        <w:spacing w:after="0" w:line="240" w:lineRule="auto"/>
        <w:rPr>
          <w:rFonts w:cstheme="minorHAnsi"/>
          <w:b/>
          <w:bCs/>
        </w:rPr>
      </w:pPr>
    </w:p>
    <w:p w14:paraId="0CABD015" w14:textId="1928ECC7"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5D018809" w:rsidR="00E1508F" w:rsidRPr="00E1508F" w:rsidRDefault="00F01CFC" w:rsidP="00F01CFC">
      <w:pPr>
        <w:autoSpaceDE w:val="0"/>
        <w:autoSpaceDN w:val="0"/>
        <w:adjustRightInd w:val="0"/>
        <w:spacing w:after="0" w:line="240" w:lineRule="auto"/>
        <w:rPr>
          <w:rFonts w:cstheme="minorHAnsi"/>
          <w:bCs/>
        </w:rPr>
      </w:pPr>
      <w:r>
        <w:rPr>
          <w:rFonts w:cstheme="minorHAnsi"/>
          <w:bCs/>
        </w:rPr>
        <w:t>N/A</w:t>
      </w:r>
    </w:p>
    <w:p w14:paraId="7F20AC76" w14:textId="77777777" w:rsidR="00F01CFC" w:rsidRDefault="00F01CFC" w:rsidP="00DB3627">
      <w:pPr>
        <w:autoSpaceDE w:val="0"/>
        <w:autoSpaceDN w:val="0"/>
        <w:adjustRightInd w:val="0"/>
        <w:spacing w:after="0" w:line="240" w:lineRule="auto"/>
        <w:rPr>
          <w:rFonts w:cstheme="minorHAnsi"/>
          <w:b/>
          <w:bCs/>
        </w:rPr>
      </w:pPr>
    </w:p>
    <w:p w14:paraId="0CFD6063" w14:textId="77777777" w:rsidR="00F01CFC" w:rsidRDefault="009C7513" w:rsidP="00F01CFC">
      <w:pPr>
        <w:autoSpaceDE w:val="0"/>
        <w:autoSpaceDN w:val="0"/>
        <w:adjustRightInd w:val="0"/>
        <w:spacing w:after="0" w:line="240" w:lineRule="auto"/>
        <w:rPr>
          <w:rFonts w:cstheme="minorHAnsi"/>
          <w:bCs/>
        </w:rPr>
      </w:pPr>
      <w:r>
        <w:rPr>
          <w:rFonts w:cstheme="minorHAnsi"/>
          <w:b/>
          <w:bCs/>
        </w:rPr>
        <w:lastRenderedPageBreak/>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CABD017" w14:textId="4123944F" w:rsidR="0079180E" w:rsidRDefault="00F01CFC" w:rsidP="00F01CFC">
      <w:pPr>
        <w:autoSpaceDE w:val="0"/>
        <w:autoSpaceDN w:val="0"/>
        <w:adjustRightInd w:val="0"/>
        <w:spacing w:after="0" w:line="240" w:lineRule="auto"/>
        <w:rPr>
          <w:rFonts w:cstheme="minorHAnsi"/>
          <w:bCs/>
        </w:rPr>
      </w:pPr>
      <w:r>
        <w:rPr>
          <w:rFonts w:cstheme="minorHAnsi"/>
          <w:bCs/>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6046365E" w14:textId="77777777" w:rsidR="00340035" w:rsidRDefault="009C7513" w:rsidP="0080143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0CABD01B" w14:textId="71658FB0" w:rsidR="008F7E67" w:rsidRPr="00801437" w:rsidRDefault="008F7E67" w:rsidP="00801437">
      <w:pPr>
        <w:autoSpaceDE w:val="0"/>
        <w:autoSpaceDN w:val="0"/>
        <w:adjustRightInd w:val="0"/>
        <w:spacing w:after="0" w:line="240" w:lineRule="auto"/>
        <w:rPr>
          <w:rFonts w:cstheme="minorHAnsi"/>
          <w:bCs/>
        </w:rPr>
      </w:pPr>
      <w:r w:rsidRPr="00A25024">
        <w:rPr>
          <w:rFonts w:cstheme="minorHAnsi"/>
          <w:bCs/>
        </w:rPr>
        <w:br/>
      </w:r>
      <w:r w:rsidR="00801437" w:rsidRPr="00340035">
        <w:rPr>
          <w:rFonts w:cstheme="minorHAnsi"/>
          <w:bCs/>
          <w:color w:val="FF0000"/>
        </w:rPr>
        <w:t>Missing is the outcome and this measure is reporting the percentage of non-missing. Thus, the missing data does not cause bias in this measure.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37CACB40" w14:textId="77777777" w:rsidR="00801437" w:rsidRDefault="009C7513" w:rsidP="00801437">
      <w:pPr>
        <w:autoSpaceDE w:val="0"/>
        <w:autoSpaceDN w:val="0"/>
        <w:adjustRightInd w:val="0"/>
        <w:spacing w:after="0" w:line="240" w:lineRule="auto"/>
        <w:rPr>
          <w:rFonts w:cstheme="minorHAnsi"/>
          <w:bCs/>
          <w:color w:val="FF0000"/>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318E8BA3" w14:textId="05480A96" w:rsidR="00801437" w:rsidRPr="00D2112D" w:rsidRDefault="00801437" w:rsidP="00801437">
      <w:pPr>
        <w:autoSpaceDE w:val="0"/>
        <w:autoSpaceDN w:val="0"/>
        <w:adjustRightInd w:val="0"/>
        <w:spacing w:after="0" w:line="240" w:lineRule="auto"/>
        <w:rPr>
          <w:rFonts w:cstheme="minorHAnsi"/>
          <w:bCs/>
          <w:color w:val="FF0000"/>
        </w:rPr>
      </w:pPr>
      <w:r w:rsidRPr="00D2112D">
        <w:rPr>
          <w:rFonts w:cstheme="minorHAnsi"/>
          <w:bCs/>
          <w:color w:val="FF0000"/>
        </w:rPr>
        <w:t>N/A</w:t>
      </w:r>
    </w:p>
    <w:p w14:paraId="0CABD01D" w14:textId="27F68AF6" w:rsidR="008F7E67" w:rsidRDefault="008F7E67" w:rsidP="008F7E67">
      <w:pPr>
        <w:autoSpaceDE w:val="0"/>
        <w:autoSpaceDN w:val="0"/>
        <w:adjustRightInd w:val="0"/>
        <w:spacing w:after="0" w:line="240" w:lineRule="auto"/>
        <w:rPr>
          <w:rFonts w:cstheme="minorHAnsi"/>
          <w:bCs/>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3EA37133" w:rsidR="00BA053B" w:rsidRDefault="00BA053B">
      <w:pPr>
        <w:autoSpaceDE w:val="0"/>
        <w:autoSpaceDN w:val="0"/>
        <w:adjustRightInd w:val="0"/>
        <w:spacing w:after="0" w:line="240" w:lineRule="auto"/>
        <w:rPr>
          <w:rFonts w:cstheme="minorHAnsi"/>
          <w:bCs/>
        </w:rPr>
      </w:pPr>
    </w:p>
    <w:p w14:paraId="3E678190" w14:textId="77777777" w:rsidR="00801437" w:rsidRPr="00D2112D" w:rsidRDefault="00801437" w:rsidP="00801437">
      <w:pPr>
        <w:autoSpaceDE w:val="0"/>
        <w:autoSpaceDN w:val="0"/>
        <w:adjustRightInd w:val="0"/>
        <w:spacing w:after="0" w:line="240" w:lineRule="auto"/>
        <w:rPr>
          <w:rFonts w:cstheme="minorHAnsi"/>
          <w:bCs/>
          <w:color w:val="FF0000"/>
        </w:rPr>
      </w:pPr>
      <w:r w:rsidRPr="00D2112D">
        <w:rPr>
          <w:rFonts w:cstheme="minorHAnsi"/>
          <w:bCs/>
          <w:color w:val="FF0000"/>
        </w:rPr>
        <w:t>N/A</w:t>
      </w:r>
    </w:p>
    <w:p w14:paraId="1F3A7E7B" w14:textId="77777777" w:rsidR="00801437" w:rsidRPr="005560E7" w:rsidRDefault="00801437">
      <w:pPr>
        <w:autoSpaceDE w:val="0"/>
        <w:autoSpaceDN w:val="0"/>
        <w:adjustRightInd w:val="0"/>
        <w:spacing w:after="0" w:line="240" w:lineRule="auto"/>
        <w:rPr>
          <w:rFonts w:cstheme="minorHAnsi"/>
          <w:bCs/>
        </w:rPr>
      </w:pPr>
    </w:p>
    <w:sectPr w:rsidR="00801437"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03788" w14:textId="77777777" w:rsidR="006274AC" w:rsidRDefault="006274AC" w:rsidP="005C73CA">
      <w:pPr>
        <w:spacing w:after="0" w:line="240" w:lineRule="auto"/>
      </w:pPr>
      <w:r>
        <w:separator/>
      </w:r>
    </w:p>
  </w:endnote>
  <w:endnote w:type="continuationSeparator" w:id="0">
    <w:p w14:paraId="5932F782" w14:textId="77777777" w:rsidR="006274AC" w:rsidRDefault="006274A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1A586B37"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732ADE">
      <w:rPr>
        <w:noProof/>
      </w:rPr>
      <w:t>4</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0B808" w14:textId="77777777" w:rsidR="006274AC" w:rsidRDefault="006274AC" w:rsidP="005C73CA">
      <w:pPr>
        <w:spacing w:after="0" w:line="240" w:lineRule="auto"/>
      </w:pPr>
      <w:r>
        <w:separator/>
      </w:r>
    </w:p>
  </w:footnote>
  <w:footnote w:type="continuationSeparator" w:id="0">
    <w:p w14:paraId="28E6E8DE" w14:textId="77777777" w:rsidR="006274AC" w:rsidRDefault="006274AC"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3F6D"/>
    <w:rsid w:val="00021170"/>
    <w:rsid w:val="0002128B"/>
    <w:rsid w:val="00022ED3"/>
    <w:rsid w:val="00024DFD"/>
    <w:rsid w:val="00027AB8"/>
    <w:rsid w:val="000309DD"/>
    <w:rsid w:val="00031414"/>
    <w:rsid w:val="00033038"/>
    <w:rsid w:val="00033D63"/>
    <w:rsid w:val="0003436F"/>
    <w:rsid w:val="000414E8"/>
    <w:rsid w:val="0004593A"/>
    <w:rsid w:val="00050A3E"/>
    <w:rsid w:val="00052A6F"/>
    <w:rsid w:val="00053F02"/>
    <w:rsid w:val="00055F0C"/>
    <w:rsid w:val="0005612B"/>
    <w:rsid w:val="000574AB"/>
    <w:rsid w:val="0006147A"/>
    <w:rsid w:val="0006234F"/>
    <w:rsid w:val="000775F8"/>
    <w:rsid w:val="00080CF7"/>
    <w:rsid w:val="0008195A"/>
    <w:rsid w:val="00082C7B"/>
    <w:rsid w:val="000851B2"/>
    <w:rsid w:val="00092566"/>
    <w:rsid w:val="000928C2"/>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8504F"/>
    <w:rsid w:val="00193F21"/>
    <w:rsid w:val="001969C5"/>
    <w:rsid w:val="001A06A2"/>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5D0C"/>
    <w:rsid w:val="0025762F"/>
    <w:rsid w:val="0026587A"/>
    <w:rsid w:val="00275563"/>
    <w:rsid w:val="0028114D"/>
    <w:rsid w:val="00287649"/>
    <w:rsid w:val="00287E84"/>
    <w:rsid w:val="0029286C"/>
    <w:rsid w:val="0029300E"/>
    <w:rsid w:val="002B0C3A"/>
    <w:rsid w:val="002B2116"/>
    <w:rsid w:val="002B2D9B"/>
    <w:rsid w:val="002B5016"/>
    <w:rsid w:val="002B742C"/>
    <w:rsid w:val="002B7F4D"/>
    <w:rsid w:val="002C285C"/>
    <w:rsid w:val="002C625F"/>
    <w:rsid w:val="002C7BE4"/>
    <w:rsid w:val="002D417D"/>
    <w:rsid w:val="002D5E5D"/>
    <w:rsid w:val="002E78A0"/>
    <w:rsid w:val="002F2687"/>
    <w:rsid w:val="002F48E1"/>
    <w:rsid w:val="002F4F3B"/>
    <w:rsid w:val="00304C86"/>
    <w:rsid w:val="003059EB"/>
    <w:rsid w:val="003116AC"/>
    <w:rsid w:val="00315567"/>
    <w:rsid w:val="00330144"/>
    <w:rsid w:val="00334329"/>
    <w:rsid w:val="00340035"/>
    <w:rsid w:val="00345CBA"/>
    <w:rsid w:val="00346245"/>
    <w:rsid w:val="00356267"/>
    <w:rsid w:val="00356BAD"/>
    <w:rsid w:val="003605B4"/>
    <w:rsid w:val="003627AC"/>
    <w:rsid w:val="00363935"/>
    <w:rsid w:val="00366914"/>
    <w:rsid w:val="00372FE3"/>
    <w:rsid w:val="003755CB"/>
    <w:rsid w:val="00383F85"/>
    <w:rsid w:val="00387BA1"/>
    <w:rsid w:val="00392479"/>
    <w:rsid w:val="003A306C"/>
    <w:rsid w:val="003A7DE7"/>
    <w:rsid w:val="003B1006"/>
    <w:rsid w:val="003C5F11"/>
    <w:rsid w:val="003D294B"/>
    <w:rsid w:val="003D6401"/>
    <w:rsid w:val="003E1863"/>
    <w:rsid w:val="003F34E2"/>
    <w:rsid w:val="0041606D"/>
    <w:rsid w:val="00416962"/>
    <w:rsid w:val="004206A8"/>
    <w:rsid w:val="004348CC"/>
    <w:rsid w:val="00450C58"/>
    <w:rsid w:val="004658FF"/>
    <w:rsid w:val="00474ED7"/>
    <w:rsid w:val="004756E1"/>
    <w:rsid w:val="0048008A"/>
    <w:rsid w:val="00483E94"/>
    <w:rsid w:val="00484120"/>
    <w:rsid w:val="004853A0"/>
    <w:rsid w:val="00496B5F"/>
    <w:rsid w:val="004A2E10"/>
    <w:rsid w:val="004A3B94"/>
    <w:rsid w:val="004B17FF"/>
    <w:rsid w:val="004B1BA0"/>
    <w:rsid w:val="004B6CEE"/>
    <w:rsid w:val="004C2443"/>
    <w:rsid w:val="004C498F"/>
    <w:rsid w:val="004C5D29"/>
    <w:rsid w:val="004C681A"/>
    <w:rsid w:val="004D4D8A"/>
    <w:rsid w:val="004E37DF"/>
    <w:rsid w:val="004F68EE"/>
    <w:rsid w:val="005038D5"/>
    <w:rsid w:val="00511BA4"/>
    <w:rsid w:val="005149E7"/>
    <w:rsid w:val="005232D6"/>
    <w:rsid w:val="005333CC"/>
    <w:rsid w:val="005363F1"/>
    <w:rsid w:val="00537C1B"/>
    <w:rsid w:val="0055007C"/>
    <w:rsid w:val="00554922"/>
    <w:rsid w:val="00555282"/>
    <w:rsid w:val="005560E7"/>
    <w:rsid w:val="005601EF"/>
    <w:rsid w:val="005612CC"/>
    <w:rsid w:val="00563029"/>
    <w:rsid w:val="00565946"/>
    <w:rsid w:val="00567D12"/>
    <w:rsid w:val="00576062"/>
    <w:rsid w:val="00582E26"/>
    <w:rsid w:val="0059559F"/>
    <w:rsid w:val="005A49FF"/>
    <w:rsid w:val="005A7634"/>
    <w:rsid w:val="005B6F04"/>
    <w:rsid w:val="005C0447"/>
    <w:rsid w:val="005C739F"/>
    <w:rsid w:val="005C73CA"/>
    <w:rsid w:val="005D4768"/>
    <w:rsid w:val="005E2CAB"/>
    <w:rsid w:val="005E429E"/>
    <w:rsid w:val="00601ED4"/>
    <w:rsid w:val="006030BC"/>
    <w:rsid w:val="00612866"/>
    <w:rsid w:val="006159FA"/>
    <w:rsid w:val="00616EB5"/>
    <w:rsid w:val="006251D4"/>
    <w:rsid w:val="006269D4"/>
    <w:rsid w:val="006274AC"/>
    <w:rsid w:val="006327D8"/>
    <w:rsid w:val="00637E1B"/>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05D5"/>
    <w:rsid w:val="00732880"/>
    <w:rsid w:val="00732ADE"/>
    <w:rsid w:val="007416B9"/>
    <w:rsid w:val="007422FD"/>
    <w:rsid w:val="00743E46"/>
    <w:rsid w:val="00747C45"/>
    <w:rsid w:val="00751481"/>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7F01E0"/>
    <w:rsid w:val="00801437"/>
    <w:rsid w:val="00804C69"/>
    <w:rsid w:val="0080711D"/>
    <w:rsid w:val="008155CD"/>
    <w:rsid w:val="00833325"/>
    <w:rsid w:val="00840A41"/>
    <w:rsid w:val="00842F3C"/>
    <w:rsid w:val="008505D1"/>
    <w:rsid w:val="00855158"/>
    <w:rsid w:val="00857EE8"/>
    <w:rsid w:val="008603AF"/>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D07AE"/>
    <w:rsid w:val="008E0748"/>
    <w:rsid w:val="008E67C3"/>
    <w:rsid w:val="008F589F"/>
    <w:rsid w:val="008F76A9"/>
    <w:rsid w:val="008F7E67"/>
    <w:rsid w:val="00900DBF"/>
    <w:rsid w:val="009048B9"/>
    <w:rsid w:val="00904E91"/>
    <w:rsid w:val="009153BA"/>
    <w:rsid w:val="00915886"/>
    <w:rsid w:val="009214DC"/>
    <w:rsid w:val="00923573"/>
    <w:rsid w:val="00924A29"/>
    <w:rsid w:val="00927027"/>
    <w:rsid w:val="009344BA"/>
    <w:rsid w:val="00940B2D"/>
    <w:rsid w:val="0094521D"/>
    <w:rsid w:val="00946E61"/>
    <w:rsid w:val="00947F78"/>
    <w:rsid w:val="00953234"/>
    <w:rsid w:val="009569AF"/>
    <w:rsid w:val="00961EAF"/>
    <w:rsid w:val="0096278F"/>
    <w:rsid w:val="009726E1"/>
    <w:rsid w:val="00972A04"/>
    <w:rsid w:val="0097419F"/>
    <w:rsid w:val="00977591"/>
    <w:rsid w:val="00980E75"/>
    <w:rsid w:val="00994BE0"/>
    <w:rsid w:val="009978E5"/>
    <w:rsid w:val="009A0F4C"/>
    <w:rsid w:val="009A25B1"/>
    <w:rsid w:val="009A4608"/>
    <w:rsid w:val="009A6A57"/>
    <w:rsid w:val="009A70BF"/>
    <w:rsid w:val="009B1A15"/>
    <w:rsid w:val="009C0852"/>
    <w:rsid w:val="009C13CA"/>
    <w:rsid w:val="009C15BF"/>
    <w:rsid w:val="009C32C6"/>
    <w:rsid w:val="009C665F"/>
    <w:rsid w:val="009C7513"/>
    <w:rsid w:val="009D2E8B"/>
    <w:rsid w:val="009D3882"/>
    <w:rsid w:val="009D7E38"/>
    <w:rsid w:val="009E095B"/>
    <w:rsid w:val="009E1846"/>
    <w:rsid w:val="009E78FF"/>
    <w:rsid w:val="009F6DB9"/>
    <w:rsid w:val="00A01494"/>
    <w:rsid w:val="00A22FA9"/>
    <w:rsid w:val="00A25024"/>
    <w:rsid w:val="00A35F8F"/>
    <w:rsid w:val="00A41377"/>
    <w:rsid w:val="00A4263D"/>
    <w:rsid w:val="00A47055"/>
    <w:rsid w:val="00A509B8"/>
    <w:rsid w:val="00A52AB9"/>
    <w:rsid w:val="00A6210B"/>
    <w:rsid w:val="00A64EBF"/>
    <w:rsid w:val="00A71200"/>
    <w:rsid w:val="00A7323A"/>
    <w:rsid w:val="00A831B4"/>
    <w:rsid w:val="00A84918"/>
    <w:rsid w:val="00A97798"/>
    <w:rsid w:val="00AA36E1"/>
    <w:rsid w:val="00AA5213"/>
    <w:rsid w:val="00AA65A6"/>
    <w:rsid w:val="00AC1D8E"/>
    <w:rsid w:val="00AC48FA"/>
    <w:rsid w:val="00AD0240"/>
    <w:rsid w:val="00AD2480"/>
    <w:rsid w:val="00AD4137"/>
    <w:rsid w:val="00AF2D68"/>
    <w:rsid w:val="00B037BA"/>
    <w:rsid w:val="00B20139"/>
    <w:rsid w:val="00B218DA"/>
    <w:rsid w:val="00B22D6D"/>
    <w:rsid w:val="00B342FA"/>
    <w:rsid w:val="00B53E8B"/>
    <w:rsid w:val="00B774D2"/>
    <w:rsid w:val="00B8015A"/>
    <w:rsid w:val="00B82A57"/>
    <w:rsid w:val="00BA053B"/>
    <w:rsid w:val="00BB2314"/>
    <w:rsid w:val="00BB35AE"/>
    <w:rsid w:val="00BB756E"/>
    <w:rsid w:val="00BC03A1"/>
    <w:rsid w:val="00BC0D25"/>
    <w:rsid w:val="00BD2505"/>
    <w:rsid w:val="00BE592D"/>
    <w:rsid w:val="00BF12F7"/>
    <w:rsid w:val="00BF52B0"/>
    <w:rsid w:val="00BF5697"/>
    <w:rsid w:val="00C14CCC"/>
    <w:rsid w:val="00C1695E"/>
    <w:rsid w:val="00C22C1C"/>
    <w:rsid w:val="00C33F2E"/>
    <w:rsid w:val="00C34936"/>
    <w:rsid w:val="00C34C14"/>
    <w:rsid w:val="00C355B9"/>
    <w:rsid w:val="00C37654"/>
    <w:rsid w:val="00C37EF1"/>
    <w:rsid w:val="00C401C4"/>
    <w:rsid w:val="00C403DC"/>
    <w:rsid w:val="00C41680"/>
    <w:rsid w:val="00C60A25"/>
    <w:rsid w:val="00C722A9"/>
    <w:rsid w:val="00C765C5"/>
    <w:rsid w:val="00C775CE"/>
    <w:rsid w:val="00C80EDD"/>
    <w:rsid w:val="00C82479"/>
    <w:rsid w:val="00C867F0"/>
    <w:rsid w:val="00CA06D8"/>
    <w:rsid w:val="00CA345A"/>
    <w:rsid w:val="00CB49FF"/>
    <w:rsid w:val="00CC02CF"/>
    <w:rsid w:val="00CC086A"/>
    <w:rsid w:val="00CC6811"/>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836C7"/>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2069"/>
    <w:rsid w:val="00EC79DE"/>
    <w:rsid w:val="00ED4384"/>
    <w:rsid w:val="00ED4ACE"/>
    <w:rsid w:val="00EE4D35"/>
    <w:rsid w:val="00EF2DA7"/>
    <w:rsid w:val="00F01CFC"/>
    <w:rsid w:val="00F1412B"/>
    <w:rsid w:val="00F15BFA"/>
    <w:rsid w:val="00F34FAB"/>
    <w:rsid w:val="00F435AA"/>
    <w:rsid w:val="00F5738A"/>
    <w:rsid w:val="00F612D4"/>
    <w:rsid w:val="00F7389E"/>
    <w:rsid w:val="00F742D9"/>
    <w:rsid w:val="00F77F1D"/>
    <w:rsid w:val="00F8283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22B497313E064BE59D98C3C0FF7460A4"/>
        <w:category>
          <w:name w:val="General"/>
          <w:gallery w:val="placeholder"/>
        </w:category>
        <w:types>
          <w:type w:val="bbPlcHdr"/>
        </w:types>
        <w:behaviors>
          <w:behavior w:val="content"/>
        </w:behaviors>
        <w:guid w:val="{44017E27-53FF-48BF-BB2C-83E895746829}"/>
      </w:docPartPr>
      <w:docPartBody>
        <w:p w:rsidR="00BB7231" w:rsidRDefault="0013485E" w:rsidP="0013485E">
          <w:pPr>
            <w:pStyle w:val="22B497313E064BE59D98C3C0FF7460A4"/>
          </w:pPr>
          <w:r w:rsidRPr="00A25024">
            <w:rPr>
              <w:rStyle w:val="PlaceholderText"/>
              <w:rFonts w:cstheme="minorHAnsi"/>
              <w:color w:val="A6A6A6" w:themeColor="background1" w:themeShade="A6"/>
            </w:rPr>
            <w:t>Click here to enter measure title</w:t>
          </w:r>
        </w:p>
      </w:docPartBody>
    </w:docPart>
    <w:docPart>
      <w:docPartPr>
        <w:name w:val="96D64265CA074CEC8E502427DD9DD91B"/>
        <w:category>
          <w:name w:val="General"/>
          <w:gallery w:val="placeholder"/>
        </w:category>
        <w:types>
          <w:type w:val="bbPlcHdr"/>
        </w:types>
        <w:behaviors>
          <w:behavior w:val="content"/>
        </w:behaviors>
        <w:guid w:val="{4B39C12D-8998-475F-9CDE-F5D38D1EAB6F}"/>
      </w:docPartPr>
      <w:docPartBody>
        <w:p w:rsidR="00162FD8" w:rsidRDefault="00BB7231" w:rsidP="00BB7231">
          <w:pPr>
            <w:pStyle w:val="96D64265CA074CEC8E502427DD9DD91B"/>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3485E"/>
    <w:rsid w:val="00162FD8"/>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0799F"/>
    <w:rsid w:val="00822666"/>
    <w:rsid w:val="00823ECC"/>
    <w:rsid w:val="00826796"/>
    <w:rsid w:val="00866C97"/>
    <w:rsid w:val="009017AE"/>
    <w:rsid w:val="009C542D"/>
    <w:rsid w:val="00A01A18"/>
    <w:rsid w:val="00A95183"/>
    <w:rsid w:val="00AB4AF7"/>
    <w:rsid w:val="00AD7C4F"/>
    <w:rsid w:val="00B445F5"/>
    <w:rsid w:val="00BB7231"/>
    <w:rsid w:val="00BD40CB"/>
    <w:rsid w:val="00C362A2"/>
    <w:rsid w:val="00C90121"/>
    <w:rsid w:val="00C96E73"/>
    <w:rsid w:val="00CA1FE8"/>
    <w:rsid w:val="00CA344F"/>
    <w:rsid w:val="00CA660C"/>
    <w:rsid w:val="00D1676E"/>
    <w:rsid w:val="00D9190A"/>
    <w:rsid w:val="00DC0246"/>
    <w:rsid w:val="00E6518A"/>
    <w:rsid w:val="00F46BC1"/>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723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4918BE5A9043D7A246A37E2B9A74A9">
    <w:name w:val="224918BE5A9043D7A246A37E2B9A74A9"/>
    <w:rsid w:val="00F46BC1"/>
    <w:pPr>
      <w:spacing w:after="160" w:line="259" w:lineRule="auto"/>
    </w:pPr>
  </w:style>
  <w:style w:type="paragraph" w:customStyle="1" w:styleId="22B497313E064BE59D98C3C0FF7460A4">
    <w:name w:val="22B497313E064BE59D98C3C0FF7460A4"/>
    <w:rsid w:val="0013485E"/>
    <w:pPr>
      <w:spacing w:after="160" w:line="259" w:lineRule="auto"/>
    </w:pPr>
  </w:style>
  <w:style w:type="paragraph" w:customStyle="1" w:styleId="36D67FA5B6C44F9AB107BA6ADED761DC">
    <w:name w:val="36D67FA5B6C44F9AB107BA6ADED761DC"/>
    <w:rsid w:val="00BB7231"/>
    <w:pPr>
      <w:spacing w:after="160" w:line="259" w:lineRule="auto"/>
    </w:pPr>
  </w:style>
  <w:style w:type="paragraph" w:customStyle="1" w:styleId="96D64265CA074CEC8E502427DD9DD91B">
    <w:name w:val="96D64265CA074CEC8E502427DD9DD91B"/>
    <w:rsid w:val="00BB723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836b82f1-340d-495e-85b5-201c5296619a"/>
    <ds:schemaRef ds:uri="http://purl.org/dc/dcmitype/"/>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CD09A391-768A-4D3B-850B-DC44C341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5089</Words>
  <Characters>29011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Jennifer Sardone</cp:lastModifiedBy>
  <cp:revision>19</cp:revision>
  <dcterms:created xsi:type="dcterms:W3CDTF">2018-12-23T18:49:00Z</dcterms:created>
  <dcterms:modified xsi:type="dcterms:W3CDTF">2019-04-15T20:14:00Z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