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669A6DD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sdt>
            <w:sdtPr>
              <w:rPr>
                <w:rStyle w:val="Style1"/>
              </w:rPr>
              <w:id w:val="-801759486"/>
              <w:placeholder>
                <w:docPart w:val="D787DFF0FACD4CDF99A5C8DED1F569D4"/>
              </w:placeholder>
            </w:sdtPr>
            <w:sdtEndPr>
              <w:rPr>
                <w:rStyle w:val="DefaultParagraphFont"/>
                <w:rFonts w:cstheme="minorHAnsi"/>
                <w:b/>
                <w:noProof/>
                <w:color w:val="auto"/>
              </w:rPr>
            </w:sdtEndPr>
            <w:sdtContent>
              <w:r w:rsidR="00B36EFF">
                <w:rPr>
                  <w:rStyle w:val="Style1"/>
                </w:rPr>
                <w:t>1424</w:t>
              </w:r>
            </w:sdtContent>
          </w:sdt>
        </w:sdtContent>
      </w:sdt>
    </w:p>
    <w:p w14:paraId="55B8DA2F" w14:textId="5BF8C140"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923252161"/>
              <w:placeholder>
                <w:docPart w:val="5D9EAC6077814B12A49E3A00F6B5B00E"/>
              </w:placeholder>
            </w:sdtPr>
            <w:sdtEndPr>
              <w:rPr>
                <w:rStyle w:val="DefaultParagraphFont"/>
                <w:noProof/>
                <w:color w:val="auto"/>
              </w:rPr>
            </w:sdtEndPr>
            <w:sdtContent>
              <w:sdt>
                <w:sdtPr>
                  <w:rPr>
                    <w:rStyle w:val="Style1"/>
                  </w:rPr>
                  <w:id w:val="510727747"/>
                  <w:placeholder>
                    <w:docPart w:val="15E62E71A05D47D9BEEBEE9875565FF3"/>
                  </w:placeholder>
                </w:sdtPr>
                <w:sdtEndPr>
                  <w:rPr>
                    <w:rStyle w:val="DefaultParagraphFont"/>
                    <w:color w:val="auto"/>
                  </w:rPr>
                </w:sdtEndPr>
                <w:sdtContent>
                  <w:sdt>
                    <w:sdtPr>
                      <w:rPr>
                        <w:rStyle w:val="Style1"/>
                      </w:rPr>
                      <w:id w:val="1374888976"/>
                      <w:placeholder>
                        <w:docPart w:val="B9EC45093F414BD4A3031E5CE830178B"/>
                      </w:placeholder>
                    </w:sdtPr>
                    <w:sdtEndPr>
                      <w:rPr>
                        <w:rStyle w:val="DefaultParagraphFont"/>
                        <w:noProof/>
                        <w:color w:val="auto"/>
                      </w:rPr>
                    </w:sdtEndPr>
                    <w:sdtContent>
                      <w:sdt>
                        <w:sdtPr>
                          <w:rPr>
                            <w:rStyle w:val="Style1"/>
                            <w:noProof/>
                          </w:rPr>
                          <w:id w:val="-1884474772"/>
                          <w:placeholder>
                            <w:docPart w:val="1E74BB2243564D28930C797391930572"/>
                          </w:placeholder>
                        </w:sdtPr>
                        <w:sdtEndPr>
                          <w:rPr>
                            <w:rStyle w:val="Style1"/>
                          </w:rPr>
                        </w:sdtEndPr>
                        <w:sdtContent>
                          <w:r w:rsidR="00B36EFF" w:rsidRPr="00D85972">
                            <w:rPr>
                              <w:rStyle w:val="Style1"/>
                            </w:rPr>
                            <w:t xml:space="preserve">Monthly Hemoglobin Measurement for Pediatric Patients </w:t>
                          </w:r>
                        </w:sdtContent>
                      </w:sdt>
                    </w:sdtContent>
                  </w:sdt>
                </w:sdtContent>
              </w:sdt>
              <w:r w:rsidR="000E74CD">
                <w:rPr>
                  <w:noProof/>
                </w:rPr>
                <w:t xml:space="preserve"> </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0EBB0C83"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2T00:00:00Z">
            <w:dateFormat w:val="M/d/yyyy"/>
            <w:lid w:val="en-US"/>
            <w:storeMappedDataAs w:val="dateTime"/>
            <w:calendar w:val="gregorian"/>
          </w:date>
        </w:sdtPr>
        <w:sdtEndPr>
          <w:rPr>
            <w:rStyle w:val="DefaultParagraphFont"/>
            <w:noProof/>
            <w:color w:val="auto"/>
            <w:u w:val="none"/>
          </w:rPr>
        </w:sdtEndPr>
        <w:sdtContent>
          <w:r w:rsidR="007B5E7D">
            <w:rPr>
              <w:rStyle w:val="Style2"/>
            </w:rPr>
            <w:t>4/2</w:t>
          </w:r>
          <w:r w:rsidR="00563C95">
            <w:rPr>
              <w:rStyle w:val="Style2"/>
            </w:rPr>
            <w:t>/2019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78593D"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78593D"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bookmarkStart w:id="5" w:name="_GoBack"/>
      <w:bookmarkEnd w:id="5"/>
    </w:p>
    <w:p w14:paraId="55B8DA54" w14:textId="3101A15C" w:rsidR="00496AF8" w:rsidRPr="003B1CC5" w:rsidRDefault="0078593D" w:rsidP="004E7215">
      <w:pPr>
        <w:rPr>
          <w:bCs/>
        </w:rPr>
      </w:pPr>
      <w:sdt>
        <w:sdtPr>
          <w:rPr>
            <w:bCs/>
            <w:color w:val="0000FF"/>
          </w:rPr>
          <w:id w:val="-720977531"/>
          <w14:checkbox>
            <w14:checked w14:val="0"/>
            <w14:checkedState w14:val="2612" w14:font="MS Gothic"/>
            <w14:uncheckedState w14:val="2610" w14:font="MS Gothic"/>
          </w14:checkbox>
        </w:sdtPr>
        <w:sdtEndPr/>
        <w:sdtContent>
          <w:r w:rsidR="00B36EFF">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5" w14:textId="19A10486" w:rsidR="00D73685" w:rsidRDefault="0078593D"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B36EF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B36EFF">
            <w:rPr>
              <w:rStyle w:val="Style2"/>
              <w:rFonts w:cstheme="minorHAnsi"/>
            </w:rPr>
            <w:t xml:space="preserve">measurement of hemoglobin values for pediatric patients </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78593D"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78593D"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A47D816"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1398434" w14:textId="0B061704" w:rsidR="00563C95" w:rsidRDefault="00563C95" w:rsidP="002B06BD">
      <w:pPr>
        <w:ind w:left="432" w:hanging="432"/>
        <w:rPr>
          <w:iCs/>
        </w:rPr>
      </w:pPr>
    </w:p>
    <w:p w14:paraId="55B8DA5B" w14:textId="0725A0A0" w:rsidR="002B06BD" w:rsidRPr="003B1CC5" w:rsidRDefault="00B36EFF" w:rsidP="00B36EFF">
      <w:pPr>
        <w:ind w:left="0" w:firstLine="0"/>
        <w:rPr>
          <w:color w:val="0000FF"/>
        </w:rPr>
      </w:pPr>
      <w:r w:rsidRPr="00B36EFF">
        <w:rPr>
          <w:color w:val="0000FF"/>
        </w:rPr>
        <w:t>Large scale clinical trials have not been conducted in the pediatric population, however smaller scale observational and cohort studies have shown an association between anemia and poor outcomes including poor quality of life, cardiovascular disease, morbidity, and mortality.</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5D" w14:textId="21C95AC4" w:rsidR="00676BD4" w:rsidRPr="00563C95" w:rsidRDefault="00563C95" w:rsidP="002E2177">
      <w:pPr>
        <w:ind w:left="432" w:hanging="432"/>
        <w:rPr>
          <w:color w:val="0000FF"/>
        </w:rPr>
      </w:pPr>
      <w:r w:rsidRPr="00563C95">
        <w:rPr>
          <w:color w:val="0000FF"/>
        </w:rPr>
        <w:t>N/A</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2A444455" w14:textId="77777777" w:rsidR="00563C95" w:rsidRPr="00563C95" w:rsidRDefault="00563C95" w:rsidP="00563C95">
      <w:pPr>
        <w:ind w:left="432" w:hanging="432"/>
        <w:rPr>
          <w:color w:val="0000FF"/>
        </w:rPr>
      </w:pPr>
      <w:r w:rsidRPr="00563C95">
        <w:rPr>
          <w:color w:val="0000FF"/>
        </w:rPr>
        <w:t>N/A</w:t>
      </w:r>
    </w:p>
    <w:p w14:paraId="55B8DA64" w14:textId="77777777" w:rsidR="00D14F0B" w:rsidRPr="003B1CC5" w:rsidRDefault="00D14F0B" w:rsidP="002E2177">
      <w:pPr>
        <w:ind w:left="0" w:firstLine="0"/>
        <w:rPr>
          <w:iCs/>
        </w:rPr>
      </w:pPr>
    </w:p>
    <w:p w14:paraId="55B8DA65" w14:textId="77777777" w:rsidR="00676BD4" w:rsidRPr="00563C95" w:rsidRDefault="00676BD4" w:rsidP="002E2177">
      <w:pPr>
        <w:ind w:left="0" w:firstLine="0"/>
        <w:rPr>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lastRenderedPageBreak/>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29FBA718" w:rsidR="00A9011D" w:rsidRPr="00A9011D" w:rsidRDefault="00563C95"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ayout w:type="fixed"/>
        <w:tblLook w:val="04A0" w:firstRow="1" w:lastRow="0" w:firstColumn="1" w:lastColumn="0" w:noHBand="0" w:noVBand="1"/>
      </w:tblPr>
      <w:tblGrid>
        <w:gridCol w:w="4675"/>
        <w:gridCol w:w="4675"/>
      </w:tblGrid>
      <w:tr w:rsidR="00AB4ECE" w14:paraId="55B8DA76" w14:textId="77777777" w:rsidTr="00413588">
        <w:tc>
          <w:tcPr>
            <w:tcW w:w="467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4675" w:type="dxa"/>
          </w:tcPr>
          <w:p w14:paraId="55B8DA75" w14:textId="4DC0A188" w:rsidR="00AB4ECE" w:rsidRPr="006257CC" w:rsidRDefault="00B36EFF" w:rsidP="00F5413C">
            <w:pPr>
              <w:ind w:left="0" w:firstLine="0"/>
              <w:rPr>
                <w:b/>
                <w:color w:val="0000FF"/>
              </w:rPr>
            </w:pPr>
            <w:r w:rsidRPr="00B36EFF">
              <w:rPr>
                <w:color w:val="0000FF"/>
              </w:rPr>
              <w:t>Clinical Practice Guidelines for Anemia in Chronic Kidney Disease: 2006 KDOQI CPR for Pediatrics 3.1: Using ESAs</w:t>
            </w:r>
          </w:p>
        </w:tc>
      </w:tr>
      <w:tr w:rsidR="00AB4ECE" w14:paraId="55B8DA79" w14:textId="77777777" w:rsidTr="00413588">
        <w:tc>
          <w:tcPr>
            <w:tcW w:w="467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4675" w:type="dxa"/>
          </w:tcPr>
          <w:p w14:paraId="55B8DA78" w14:textId="539BF453" w:rsidR="00AB4ECE" w:rsidRPr="006257CC" w:rsidRDefault="00B36EFF" w:rsidP="00F5413C">
            <w:pPr>
              <w:ind w:left="0" w:firstLine="0"/>
              <w:rPr>
                <w:color w:val="0000FF"/>
              </w:rPr>
            </w:pPr>
            <w:r w:rsidRPr="00B36EFF">
              <w:rPr>
                <w:color w:val="0000FF"/>
              </w:rPr>
              <w:t>3.1.1.1 In the opinion of the Work Group, the frequency of hemoglobin monitoring in patients treated with ESAs should be at least monthly. Please note that these are clinical practice recommendations and are therefore defined in the KDOQI document as “expert opinion” based recommendations.</w:t>
            </w:r>
          </w:p>
        </w:tc>
      </w:tr>
      <w:tr w:rsidR="00AB4ECE" w14:paraId="55B8DA7C" w14:textId="77777777" w:rsidTr="00413588">
        <w:tc>
          <w:tcPr>
            <w:tcW w:w="4675"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4675" w:type="dxa"/>
          </w:tcPr>
          <w:p w14:paraId="55B8DA7B" w14:textId="314F069F" w:rsidR="00AB4ECE" w:rsidRPr="006257CC" w:rsidRDefault="00413588" w:rsidP="002E2177">
            <w:pPr>
              <w:ind w:left="0" w:firstLine="0"/>
              <w:rPr>
                <w:color w:val="0000FF"/>
              </w:rPr>
            </w:pPr>
            <w:r>
              <w:rPr>
                <w:color w:val="0000FF"/>
              </w:rPr>
              <w:t>N/A</w:t>
            </w:r>
          </w:p>
        </w:tc>
      </w:tr>
      <w:tr w:rsidR="00AB4ECE" w14:paraId="55B8DA7F" w14:textId="77777777" w:rsidTr="00413588">
        <w:tc>
          <w:tcPr>
            <w:tcW w:w="4675" w:type="dxa"/>
          </w:tcPr>
          <w:p w14:paraId="55B8DA7D" w14:textId="77777777" w:rsidR="00AB4ECE" w:rsidRDefault="00AB4ECE" w:rsidP="00E42FAA">
            <w:pPr>
              <w:ind w:left="0" w:firstLine="0"/>
            </w:pPr>
            <w:r>
              <w:t>Provide all other grades and definitions from the evidence grading system</w:t>
            </w:r>
          </w:p>
        </w:tc>
        <w:tc>
          <w:tcPr>
            <w:tcW w:w="4675" w:type="dxa"/>
          </w:tcPr>
          <w:p w14:paraId="55B8DA7E" w14:textId="3B7B3F5E" w:rsidR="00AB4ECE" w:rsidRPr="006257CC" w:rsidRDefault="00413588" w:rsidP="00DF74B6">
            <w:pPr>
              <w:ind w:left="0" w:firstLine="0"/>
              <w:rPr>
                <w:color w:val="0000FF"/>
              </w:rPr>
            </w:pPr>
            <w:r>
              <w:rPr>
                <w:color w:val="0000FF"/>
              </w:rPr>
              <w:t>N/A</w:t>
            </w:r>
          </w:p>
        </w:tc>
      </w:tr>
      <w:tr w:rsidR="00F5413C" w14:paraId="55B8DA82" w14:textId="77777777" w:rsidTr="00413588">
        <w:tc>
          <w:tcPr>
            <w:tcW w:w="4675" w:type="dxa"/>
          </w:tcPr>
          <w:p w14:paraId="55B8DA80" w14:textId="77777777" w:rsidR="00F5413C" w:rsidRPr="00522B63" w:rsidRDefault="00F5413C" w:rsidP="00F5413C">
            <w:pPr>
              <w:ind w:left="0" w:firstLine="0"/>
            </w:pPr>
            <w:r w:rsidRPr="00522B63">
              <w:t xml:space="preserve">Grade assigned to the </w:t>
            </w:r>
            <w:r w:rsidRPr="00522B63">
              <w:rPr>
                <w:b/>
              </w:rPr>
              <w:t>recommendation</w:t>
            </w:r>
            <w:r w:rsidRPr="00522B63">
              <w:t xml:space="preserve"> with definition of the grade</w:t>
            </w:r>
          </w:p>
        </w:tc>
        <w:tc>
          <w:tcPr>
            <w:tcW w:w="4675" w:type="dxa"/>
          </w:tcPr>
          <w:p w14:paraId="5B923CA1" w14:textId="33E417CF" w:rsidR="00B36EFF" w:rsidRPr="00B36EFF" w:rsidRDefault="00B36EFF" w:rsidP="00B36EFF">
            <w:pPr>
              <w:ind w:left="0" w:firstLine="0"/>
              <w:rPr>
                <w:color w:val="0000FF"/>
                <w:sz w:val="20"/>
                <w:szCs w:val="20"/>
              </w:rPr>
            </w:pPr>
            <w:r w:rsidRPr="00B36EFF">
              <w:rPr>
                <w:color w:val="0000FF"/>
                <w:szCs w:val="20"/>
              </w:rPr>
              <w:t>The 2006 KDOQI CPR 3.1 was based on Work Group consensus; it was not graded using a formal grading system.</w:t>
            </w:r>
          </w:p>
          <w:p w14:paraId="55B8DA81" w14:textId="46C05539" w:rsidR="00F5413C" w:rsidRPr="00413588" w:rsidRDefault="00F5413C" w:rsidP="00F5413C">
            <w:pPr>
              <w:ind w:left="0" w:firstLine="0"/>
              <w:rPr>
                <w:color w:val="0000FF"/>
              </w:rPr>
            </w:pPr>
          </w:p>
        </w:tc>
      </w:tr>
      <w:tr w:rsidR="00F5413C" w14:paraId="55B8DA85" w14:textId="77777777" w:rsidTr="00413588">
        <w:tc>
          <w:tcPr>
            <w:tcW w:w="4675" w:type="dxa"/>
          </w:tcPr>
          <w:p w14:paraId="55B8DA83" w14:textId="77777777" w:rsidR="00F5413C" w:rsidRPr="00522B63" w:rsidRDefault="00F5413C" w:rsidP="00F5413C">
            <w:pPr>
              <w:ind w:left="0" w:firstLine="0"/>
            </w:pPr>
            <w:r w:rsidRPr="00522B63">
              <w:t>Provide all other grades and definitions from the recommendation grading system</w:t>
            </w:r>
          </w:p>
        </w:tc>
        <w:tc>
          <w:tcPr>
            <w:tcW w:w="4675" w:type="dxa"/>
          </w:tcPr>
          <w:p w14:paraId="55B8DA84" w14:textId="3F7BB605" w:rsidR="00F5413C" w:rsidRPr="00413588" w:rsidRDefault="00F5413C" w:rsidP="00F5413C">
            <w:pPr>
              <w:rPr>
                <w:color w:val="0000FF"/>
              </w:rPr>
            </w:pPr>
            <w:r>
              <w:rPr>
                <w:color w:val="0000FF"/>
              </w:rPr>
              <w:t>N/A</w:t>
            </w:r>
          </w:p>
        </w:tc>
      </w:tr>
      <w:tr w:rsidR="00AB4ECE" w14:paraId="55B8DA8A" w14:textId="77777777" w:rsidTr="00413588">
        <w:tc>
          <w:tcPr>
            <w:tcW w:w="4675"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4675" w:type="dxa"/>
          </w:tcPr>
          <w:p w14:paraId="55B8DA89" w14:textId="09169C37" w:rsidR="00AB4ECE" w:rsidRPr="006257CC" w:rsidRDefault="007B5E7D" w:rsidP="002E2177">
            <w:pPr>
              <w:ind w:left="0" w:firstLine="0"/>
              <w:rPr>
                <w:color w:val="0000FF"/>
              </w:rPr>
            </w:pPr>
            <w:r>
              <w:rPr>
                <w:color w:val="0000FF"/>
              </w:rPr>
              <w:t>N/A</w:t>
            </w:r>
          </w:p>
        </w:tc>
      </w:tr>
      <w:tr w:rsidR="00AB4ECE" w14:paraId="55B8DA8D" w14:textId="77777777" w:rsidTr="00413588">
        <w:tc>
          <w:tcPr>
            <w:tcW w:w="4675" w:type="dxa"/>
          </w:tcPr>
          <w:p w14:paraId="55B8DA8B" w14:textId="77777777" w:rsidR="00AB4ECE" w:rsidRDefault="000E5C93" w:rsidP="002E2177">
            <w:pPr>
              <w:ind w:left="0" w:firstLine="0"/>
            </w:pPr>
            <w:r>
              <w:t xml:space="preserve">Estimates of benefit and consistency across studies </w:t>
            </w:r>
          </w:p>
        </w:tc>
        <w:tc>
          <w:tcPr>
            <w:tcW w:w="4675" w:type="dxa"/>
          </w:tcPr>
          <w:p w14:paraId="55B8DA8C" w14:textId="3480464D" w:rsidR="00AB4ECE" w:rsidRPr="006257CC" w:rsidRDefault="007B5E7D" w:rsidP="002E2177">
            <w:pPr>
              <w:ind w:left="0" w:firstLine="0"/>
              <w:rPr>
                <w:color w:val="0000FF"/>
              </w:rPr>
            </w:pPr>
            <w:r>
              <w:rPr>
                <w:color w:val="0000FF"/>
              </w:rPr>
              <w:t>N/A</w:t>
            </w:r>
          </w:p>
        </w:tc>
      </w:tr>
      <w:tr w:rsidR="000E5C93" w14:paraId="55B8DA90" w14:textId="77777777" w:rsidTr="00413588">
        <w:tc>
          <w:tcPr>
            <w:tcW w:w="4675" w:type="dxa"/>
          </w:tcPr>
          <w:p w14:paraId="55B8DA8E" w14:textId="77777777" w:rsidR="000E5C93" w:rsidRDefault="000E5C93" w:rsidP="002E2177">
            <w:pPr>
              <w:ind w:left="0" w:firstLine="0"/>
            </w:pPr>
            <w:r>
              <w:t>What harms were identified?</w:t>
            </w:r>
          </w:p>
        </w:tc>
        <w:tc>
          <w:tcPr>
            <w:tcW w:w="4675" w:type="dxa"/>
          </w:tcPr>
          <w:p w14:paraId="55B8DA8F" w14:textId="0953A640" w:rsidR="000E5C93" w:rsidRPr="006257CC" w:rsidRDefault="007B5E7D" w:rsidP="00413588">
            <w:pPr>
              <w:ind w:left="0" w:firstLine="0"/>
              <w:rPr>
                <w:color w:val="0000FF"/>
              </w:rPr>
            </w:pPr>
            <w:r>
              <w:rPr>
                <w:color w:val="0000FF"/>
              </w:rPr>
              <w:t>N/A</w:t>
            </w:r>
          </w:p>
        </w:tc>
      </w:tr>
      <w:tr w:rsidR="000E5C93" w14:paraId="55B8DA93" w14:textId="77777777" w:rsidTr="00413588">
        <w:tc>
          <w:tcPr>
            <w:tcW w:w="4675" w:type="dxa"/>
          </w:tcPr>
          <w:p w14:paraId="55B8DA91" w14:textId="77777777" w:rsidR="000E5C93" w:rsidRDefault="000E5C93" w:rsidP="000E5C93">
            <w:pPr>
              <w:ind w:left="0" w:firstLine="0"/>
            </w:pPr>
            <w:r>
              <w:lastRenderedPageBreak/>
              <w:t>Identify any new studies conducted since the SR. Do the new studies change the conclusions from the SR?</w:t>
            </w:r>
          </w:p>
        </w:tc>
        <w:tc>
          <w:tcPr>
            <w:tcW w:w="4675" w:type="dxa"/>
          </w:tcPr>
          <w:p w14:paraId="7F362DFB" w14:textId="77777777" w:rsidR="000E5C93" w:rsidRDefault="007B5E7D" w:rsidP="002E2177">
            <w:pPr>
              <w:ind w:left="0" w:firstLine="0"/>
              <w:rPr>
                <w:color w:val="0000FF"/>
              </w:rPr>
            </w:pPr>
            <w:r w:rsidRPr="00B36EFF">
              <w:rPr>
                <w:color w:val="0000FF"/>
              </w:rPr>
              <w:t xml:space="preserve">The clinical TEP reviewed the body of evidence available for pediatric anemia measurement. An analysis of patients &lt;18 years of age in the North American Pediatric Renal Transplant Cooperative Study (NAPRTCS) found that 68% of patients were anemic. Additionally, results showed anemia was associated with a 52% higher risk of death [1]. An observational study of adolescents on hemodialysis showed decreased risk for death (HR: 0.31; 95% CI: 0.14, 0.65) among patients with hemoglobin 11-12 compared to those with hemoglobin&lt;10 [2]. Results from a small observational study of hemodialysis and peritoneal dialysis patients age 20 months to 22 years showed patients with severe left ventricular </w:t>
            </w:r>
            <w:proofErr w:type="spellStart"/>
            <w:r w:rsidRPr="00B36EFF">
              <w:rPr>
                <w:color w:val="0000FF"/>
              </w:rPr>
              <w:t>hyptertrophy</w:t>
            </w:r>
            <w:proofErr w:type="spellEnd"/>
            <w:r w:rsidRPr="00B36EFF">
              <w:rPr>
                <w:color w:val="0000FF"/>
              </w:rPr>
              <w:t xml:space="preserve"> (LVH) had a significantly lower hemoglobin (p=0.027) compared to those without LVH [3]. Finally, a small observational study found a significant association between anemia and lower quality of life among adolescent patients with CKD [4]. Additionally, the 2006 KDOQI Clinical Practice Recommendation (CPR) for pediatric patients states that hemoglobin should be measured at least monthly in patients treated with ESAs.</w:t>
            </w:r>
          </w:p>
          <w:p w14:paraId="584D9341" w14:textId="77777777" w:rsidR="007B5E7D" w:rsidRDefault="007B5E7D" w:rsidP="002E2177">
            <w:pPr>
              <w:ind w:left="0" w:firstLine="0"/>
              <w:rPr>
                <w:color w:val="0000FF"/>
              </w:rPr>
            </w:pPr>
          </w:p>
          <w:p w14:paraId="66DDD3DF" w14:textId="77777777" w:rsidR="007B5E7D" w:rsidRDefault="007B5E7D" w:rsidP="002E2177">
            <w:pPr>
              <w:ind w:left="0" w:firstLine="0"/>
              <w:rPr>
                <w:color w:val="0000FF"/>
              </w:rPr>
            </w:pPr>
          </w:p>
          <w:p w14:paraId="07CD988E" w14:textId="77777777" w:rsidR="007B5E7D" w:rsidRPr="00B36EFF" w:rsidRDefault="007B5E7D" w:rsidP="007B5E7D">
            <w:pPr>
              <w:pStyle w:val="ListParagraph"/>
              <w:numPr>
                <w:ilvl w:val="0"/>
                <w:numId w:val="17"/>
              </w:numPr>
              <w:spacing w:after="120"/>
              <w:rPr>
                <w:color w:val="0000FF"/>
                <w:szCs w:val="20"/>
              </w:rPr>
            </w:pPr>
            <w:proofErr w:type="spellStart"/>
            <w:r w:rsidRPr="00B36EFF">
              <w:rPr>
                <w:color w:val="0000FF"/>
                <w:szCs w:val="20"/>
              </w:rPr>
              <w:t>Warady</w:t>
            </w:r>
            <w:proofErr w:type="spellEnd"/>
            <w:r w:rsidRPr="00B36EFF">
              <w:rPr>
                <w:color w:val="0000FF"/>
                <w:szCs w:val="20"/>
              </w:rPr>
              <w:t xml:space="preserve"> B Ho M. Morbidity and mortality in children with anemia at initiation of dialysis. </w:t>
            </w:r>
            <w:proofErr w:type="spellStart"/>
            <w:r w:rsidRPr="00B36EFF">
              <w:rPr>
                <w:color w:val="0000FF"/>
                <w:szCs w:val="20"/>
              </w:rPr>
              <w:t>Pediatr</w:t>
            </w:r>
            <w:proofErr w:type="spellEnd"/>
            <w:r w:rsidRPr="00B36EFF">
              <w:rPr>
                <w:color w:val="0000FF"/>
                <w:szCs w:val="20"/>
              </w:rPr>
              <w:t xml:space="preserve"> </w:t>
            </w:r>
            <w:proofErr w:type="spellStart"/>
            <w:r w:rsidRPr="00B36EFF">
              <w:rPr>
                <w:color w:val="0000FF"/>
                <w:szCs w:val="20"/>
              </w:rPr>
              <w:t>Nephrol</w:t>
            </w:r>
            <w:proofErr w:type="spellEnd"/>
            <w:r w:rsidRPr="00B36EFF">
              <w:rPr>
                <w:color w:val="0000FF"/>
                <w:szCs w:val="20"/>
              </w:rPr>
              <w:t xml:space="preserve"> 18:1055-1062, 2003.</w:t>
            </w:r>
          </w:p>
          <w:p w14:paraId="7562475D" w14:textId="77777777" w:rsidR="007B5E7D" w:rsidRPr="00B36EFF" w:rsidRDefault="007B5E7D" w:rsidP="007B5E7D">
            <w:pPr>
              <w:pStyle w:val="ListParagraph"/>
              <w:numPr>
                <w:ilvl w:val="0"/>
                <w:numId w:val="17"/>
              </w:numPr>
              <w:spacing w:after="120"/>
              <w:rPr>
                <w:color w:val="0000FF"/>
                <w:szCs w:val="20"/>
              </w:rPr>
            </w:pPr>
            <w:proofErr w:type="spellStart"/>
            <w:r w:rsidRPr="00B36EFF">
              <w:rPr>
                <w:color w:val="0000FF"/>
                <w:szCs w:val="20"/>
              </w:rPr>
              <w:t>Amaral</w:t>
            </w:r>
            <w:proofErr w:type="spellEnd"/>
            <w:r w:rsidRPr="00B36EFF">
              <w:rPr>
                <w:color w:val="0000FF"/>
                <w:szCs w:val="20"/>
              </w:rPr>
              <w:t xml:space="preserve"> S, Hwang W, </w:t>
            </w:r>
            <w:proofErr w:type="spellStart"/>
            <w:r w:rsidRPr="00B36EFF">
              <w:rPr>
                <w:color w:val="0000FF"/>
                <w:szCs w:val="20"/>
              </w:rPr>
              <w:t>Fivush</w:t>
            </w:r>
            <w:proofErr w:type="spellEnd"/>
            <w:r w:rsidRPr="00B36EFF">
              <w:rPr>
                <w:color w:val="0000FF"/>
                <w:szCs w:val="20"/>
              </w:rPr>
              <w:t xml:space="preserve"> B, </w:t>
            </w:r>
            <w:proofErr w:type="spellStart"/>
            <w:r w:rsidRPr="00B36EFF">
              <w:rPr>
                <w:color w:val="0000FF"/>
                <w:szCs w:val="20"/>
              </w:rPr>
              <w:t>Neu</w:t>
            </w:r>
            <w:proofErr w:type="spellEnd"/>
            <w:r w:rsidRPr="00B36EFF">
              <w:rPr>
                <w:color w:val="0000FF"/>
                <w:szCs w:val="20"/>
              </w:rPr>
              <w:t xml:space="preserve"> A, </w:t>
            </w:r>
            <w:proofErr w:type="spellStart"/>
            <w:r w:rsidRPr="00B36EFF">
              <w:rPr>
                <w:color w:val="0000FF"/>
                <w:szCs w:val="20"/>
              </w:rPr>
              <w:t>Frankenfield</w:t>
            </w:r>
            <w:proofErr w:type="spellEnd"/>
            <w:r w:rsidRPr="00B36EFF">
              <w:rPr>
                <w:color w:val="0000FF"/>
                <w:szCs w:val="20"/>
              </w:rPr>
              <w:t xml:space="preserve"> D, Furth S. Association of mortality and hospitalization with achievement of adult hemoglobin targets in adolescents maintained on hemodialysis. J Am </w:t>
            </w:r>
            <w:proofErr w:type="spellStart"/>
            <w:r w:rsidRPr="00B36EFF">
              <w:rPr>
                <w:color w:val="0000FF"/>
                <w:szCs w:val="20"/>
              </w:rPr>
              <w:t>Soc</w:t>
            </w:r>
            <w:proofErr w:type="spellEnd"/>
            <w:r w:rsidRPr="00B36EFF">
              <w:rPr>
                <w:color w:val="0000FF"/>
                <w:szCs w:val="20"/>
              </w:rPr>
              <w:t xml:space="preserve"> </w:t>
            </w:r>
            <w:proofErr w:type="spellStart"/>
            <w:r w:rsidRPr="00B36EFF">
              <w:rPr>
                <w:color w:val="0000FF"/>
                <w:szCs w:val="20"/>
              </w:rPr>
              <w:t>Nephrol</w:t>
            </w:r>
            <w:proofErr w:type="spellEnd"/>
            <w:r w:rsidRPr="00B36EFF">
              <w:rPr>
                <w:color w:val="0000FF"/>
                <w:szCs w:val="20"/>
              </w:rPr>
              <w:t xml:space="preserve"> 17:2878-85, 2006.</w:t>
            </w:r>
          </w:p>
          <w:p w14:paraId="5658BB70" w14:textId="77777777" w:rsidR="007B5E7D" w:rsidRPr="00B36EFF" w:rsidRDefault="007B5E7D" w:rsidP="007B5E7D">
            <w:pPr>
              <w:pStyle w:val="ListParagraph"/>
              <w:numPr>
                <w:ilvl w:val="0"/>
                <w:numId w:val="17"/>
              </w:numPr>
              <w:spacing w:after="120"/>
              <w:rPr>
                <w:color w:val="0000FF"/>
                <w:szCs w:val="20"/>
              </w:rPr>
            </w:pPr>
            <w:proofErr w:type="spellStart"/>
            <w:r w:rsidRPr="00B36EFF">
              <w:rPr>
                <w:color w:val="0000FF"/>
                <w:szCs w:val="20"/>
              </w:rPr>
              <w:t>Mitsnefes</w:t>
            </w:r>
            <w:proofErr w:type="spellEnd"/>
            <w:r w:rsidRPr="00B36EFF">
              <w:rPr>
                <w:color w:val="0000FF"/>
                <w:szCs w:val="20"/>
              </w:rPr>
              <w:t xml:space="preserve"> MM, Daniels SR, Schwartz SM, Meyer RA, </w:t>
            </w:r>
            <w:proofErr w:type="spellStart"/>
            <w:r w:rsidRPr="00B36EFF">
              <w:rPr>
                <w:color w:val="0000FF"/>
                <w:szCs w:val="20"/>
              </w:rPr>
              <w:t>Khoury</w:t>
            </w:r>
            <w:proofErr w:type="spellEnd"/>
            <w:r w:rsidRPr="00B36EFF">
              <w:rPr>
                <w:color w:val="0000FF"/>
                <w:szCs w:val="20"/>
              </w:rPr>
              <w:t xml:space="preserve"> P, Strife CF. Severe left ventricular hypertrophy in pediatric dialysis: Prevalence and predictors. </w:t>
            </w:r>
            <w:proofErr w:type="spellStart"/>
            <w:r w:rsidRPr="00B36EFF">
              <w:rPr>
                <w:color w:val="0000FF"/>
                <w:szCs w:val="20"/>
              </w:rPr>
              <w:t>Pediatr</w:t>
            </w:r>
            <w:proofErr w:type="spellEnd"/>
            <w:r w:rsidRPr="00B36EFF">
              <w:rPr>
                <w:color w:val="0000FF"/>
                <w:szCs w:val="20"/>
              </w:rPr>
              <w:t xml:space="preserve"> </w:t>
            </w:r>
            <w:proofErr w:type="spellStart"/>
            <w:r w:rsidRPr="00B36EFF">
              <w:rPr>
                <w:color w:val="0000FF"/>
                <w:szCs w:val="20"/>
              </w:rPr>
              <w:t>Nephrol</w:t>
            </w:r>
            <w:proofErr w:type="spellEnd"/>
            <w:r w:rsidRPr="00B36EFF">
              <w:rPr>
                <w:color w:val="0000FF"/>
                <w:szCs w:val="20"/>
              </w:rPr>
              <w:t xml:space="preserve"> 14:898-902, 2000.</w:t>
            </w:r>
          </w:p>
          <w:p w14:paraId="251B8CE2" w14:textId="77777777" w:rsidR="007B5E7D" w:rsidRPr="00B36EFF" w:rsidRDefault="007B5E7D" w:rsidP="007B5E7D">
            <w:pPr>
              <w:pStyle w:val="ListParagraph"/>
              <w:numPr>
                <w:ilvl w:val="0"/>
                <w:numId w:val="17"/>
              </w:numPr>
              <w:rPr>
                <w:color w:val="0000FF"/>
                <w:sz w:val="24"/>
              </w:rPr>
            </w:pPr>
            <w:r w:rsidRPr="00B36EFF">
              <w:rPr>
                <w:color w:val="0000FF"/>
                <w:szCs w:val="20"/>
              </w:rPr>
              <w:t xml:space="preserve">Gerson A, et al. Anemia and health-related quality of life in adolescents with chronic </w:t>
            </w:r>
            <w:r w:rsidRPr="00B36EFF">
              <w:rPr>
                <w:color w:val="0000FF"/>
                <w:szCs w:val="20"/>
              </w:rPr>
              <w:lastRenderedPageBreak/>
              <w:t xml:space="preserve">kidney disease. Am J Kidney Dis 44:1017-1023, </w:t>
            </w:r>
            <w:proofErr w:type="gramStart"/>
            <w:r w:rsidRPr="00B36EFF">
              <w:rPr>
                <w:color w:val="0000FF"/>
                <w:szCs w:val="20"/>
              </w:rPr>
              <w:t>2004.</w:t>
            </w:r>
            <w:proofErr w:type="gramEnd"/>
          </w:p>
          <w:p w14:paraId="55B8DA92" w14:textId="2F0ED3BD" w:rsidR="007B5E7D" w:rsidRPr="006257CC" w:rsidRDefault="007B5E7D" w:rsidP="002E2177">
            <w:pPr>
              <w:ind w:left="0" w:firstLine="0"/>
              <w:rPr>
                <w:color w:val="0000FF"/>
              </w:rPr>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49B2111D"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F474ED0" w14:textId="66D089C3" w:rsidR="006257CC" w:rsidRPr="006257CC" w:rsidRDefault="006257CC" w:rsidP="002E2177">
      <w:pPr>
        <w:ind w:left="0" w:firstLine="0"/>
        <w:rPr>
          <w:color w:val="0000FF"/>
        </w:rPr>
      </w:pPr>
      <w:r w:rsidRPr="006257CC">
        <w:rPr>
          <w:color w:val="0000FF"/>
        </w:rPr>
        <w:t>N/A</w:t>
      </w:r>
    </w:p>
    <w:p w14:paraId="55B8DA9A" w14:textId="77777777" w:rsidR="000E5C93" w:rsidRDefault="000E5C93" w:rsidP="002E2177">
      <w:pPr>
        <w:ind w:left="0" w:firstLine="0"/>
        <w:rPr>
          <w:b/>
        </w:rPr>
      </w:pPr>
    </w:p>
    <w:p w14:paraId="55B8DA9B" w14:textId="1CDBB65C" w:rsidR="00837121" w:rsidRDefault="000E5C93" w:rsidP="002E2177">
      <w:pPr>
        <w:ind w:left="0" w:firstLine="0"/>
        <w:rPr>
          <w:b/>
        </w:rPr>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1D91ED57" w14:textId="210C0C40" w:rsidR="006716F8" w:rsidRPr="003B1CC5" w:rsidRDefault="007B5E7D" w:rsidP="00B36EFF">
      <w:pPr>
        <w:ind w:left="0" w:firstLine="0"/>
      </w:pPr>
      <w:r w:rsidRPr="006257CC">
        <w:rPr>
          <w:color w:val="0000FF"/>
        </w:rPr>
        <w:t>N/A</w:t>
      </w:r>
      <w:r w:rsidR="006257CC">
        <w:rPr>
          <w:color w:val="0000FF"/>
        </w:rPr>
        <w:br/>
      </w:r>
    </w:p>
    <w:p w14:paraId="55B8DA9D" w14:textId="00FCD9B4"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F38829D" w14:textId="0E3EBFA5" w:rsidR="00B36EFF" w:rsidRDefault="007B5E7D" w:rsidP="002E2177">
      <w:pPr>
        <w:ind w:left="0" w:firstLine="0"/>
        <w:rPr>
          <w:b/>
        </w:rPr>
      </w:pPr>
      <w:r w:rsidRPr="006257CC">
        <w:rPr>
          <w:color w:val="0000FF"/>
        </w:rPr>
        <w:t>N/A</w:t>
      </w:r>
    </w:p>
    <w:p w14:paraId="4D1AC3CB" w14:textId="77777777" w:rsidR="00B36EFF" w:rsidRDefault="00B36EFF" w:rsidP="002E2177">
      <w:pPr>
        <w:ind w:left="0" w:firstLine="0"/>
        <w:rPr>
          <w:b/>
        </w:rPr>
      </w:pPr>
    </w:p>
    <w:sectPr w:rsidR="00B36EF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71DA18BF"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78593D">
      <w:rPr>
        <w:noProof/>
      </w:rPr>
      <w:t>4</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F0A"/>
    <w:multiLevelType w:val="hybridMultilevel"/>
    <w:tmpl w:val="E722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C1392"/>
    <w:multiLevelType w:val="hybridMultilevel"/>
    <w:tmpl w:val="A2E842AE"/>
    <w:lvl w:ilvl="0" w:tplc="13EA6088">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B212D1"/>
    <w:multiLevelType w:val="hybridMultilevel"/>
    <w:tmpl w:val="FFE8E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D724B2F"/>
    <w:multiLevelType w:val="hybridMultilevel"/>
    <w:tmpl w:val="2E7EF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19277AD"/>
    <w:multiLevelType w:val="hybridMultilevel"/>
    <w:tmpl w:val="FE56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486E58"/>
    <w:multiLevelType w:val="hybridMultilevel"/>
    <w:tmpl w:val="9552DD5A"/>
    <w:lvl w:ilvl="0" w:tplc="BA9C6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4"/>
  </w:num>
  <w:num w:numId="4">
    <w:abstractNumId w:val="5"/>
  </w:num>
  <w:num w:numId="5">
    <w:abstractNumId w:val="7"/>
  </w:num>
  <w:num w:numId="6">
    <w:abstractNumId w:val="6"/>
  </w:num>
  <w:num w:numId="7">
    <w:abstractNumId w:val="15"/>
  </w:num>
  <w:num w:numId="8">
    <w:abstractNumId w:val="14"/>
  </w:num>
  <w:num w:numId="9">
    <w:abstractNumId w:val="16"/>
  </w:num>
  <w:num w:numId="10">
    <w:abstractNumId w:val="1"/>
  </w:num>
  <w:num w:numId="11">
    <w:abstractNumId w:val="9"/>
  </w:num>
  <w:num w:numId="12">
    <w:abstractNumId w:val="12"/>
  </w:num>
  <w:num w:numId="13">
    <w:abstractNumId w:val="13"/>
  </w:num>
  <w:num w:numId="14">
    <w:abstractNumId w:val="0"/>
  </w:num>
  <w:num w:numId="15">
    <w:abstractNumId w:val="10"/>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E74CD"/>
    <w:rsid w:val="000F313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4FBA"/>
    <w:rsid w:val="001E6153"/>
    <w:rsid w:val="00201FF9"/>
    <w:rsid w:val="00205857"/>
    <w:rsid w:val="00235ADC"/>
    <w:rsid w:val="00236F87"/>
    <w:rsid w:val="00265702"/>
    <w:rsid w:val="002662B2"/>
    <w:rsid w:val="002717C7"/>
    <w:rsid w:val="002875E9"/>
    <w:rsid w:val="00287EB3"/>
    <w:rsid w:val="002A1079"/>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3588"/>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22B63"/>
    <w:rsid w:val="00537150"/>
    <w:rsid w:val="00540984"/>
    <w:rsid w:val="00543851"/>
    <w:rsid w:val="0055559D"/>
    <w:rsid w:val="005569AE"/>
    <w:rsid w:val="00563C95"/>
    <w:rsid w:val="005857F8"/>
    <w:rsid w:val="00590510"/>
    <w:rsid w:val="005B0D18"/>
    <w:rsid w:val="005B12C3"/>
    <w:rsid w:val="005B409D"/>
    <w:rsid w:val="005D0FDB"/>
    <w:rsid w:val="005D25E9"/>
    <w:rsid w:val="005D6D59"/>
    <w:rsid w:val="0061327A"/>
    <w:rsid w:val="00617390"/>
    <w:rsid w:val="00623420"/>
    <w:rsid w:val="006257CC"/>
    <w:rsid w:val="00634768"/>
    <w:rsid w:val="0063596F"/>
    <w:rsid w:val="006709EB"/>
    <w:rsid w:val="006716F8"/>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8593D"/>
    <w:rsid w:val="007B5E7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39AD"/>
    <w:rsid w:val="00A44FF0"/>
    <w:rsid w:val="00A50E55"/>
    <w:rsid w:val="00A67EB1"/>
    <w:rsid w:val="00A8730E"/>
    <w:rsid w:val="00A9011D"/>
    <w:rsid w:val="00A91A47"/>
    <w:rsid w:val="00A95D2B"/>
    <w:rsid w:val="00AA5587"/>
    <w:rsid w:val="00AB4ECE"/>
    <w:rsid w:val="00AC1E53"/>
    <w:rsid w:val="00AD79C8"/>
    <w:rsid w:val="00AE6CE0"/>
    <w:rsid w:val="00B058A6"/>
    <w:rsid w:val="00B117D0"/>
    <w:rsid w:val="00B13998"/>
    <w:rsid w:val="00B35C5F"/>
    <w:rsid w:val="00B36EF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41F6E"/>
    <w:rsid w:val="00D53405"/>
    <w:rsid w:val="00D5457B"/>
    <w:rsid w:val="00D72995"/>
    <w:rsid w:val="00D73685"/>
    <w:rsid w:val="00DA7FA2"/>
    <w:rsid w:val="00DC2D8D"/>
    <w:rsid w:val="00DC7F67"/>
    <w:rsid w:val="00DE1F5D"/>
    <w:rsid w:val="00DE50D8"/>
    <w:rsid w:val="00DF278A"/>
    <w:rsid w:val="00DF74B6"/>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5413C"/>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ighlight">
    <w:name w:val="highlight"/>
    <w:basedOn w:val="DefaultParagraphFont"/>
    <w:rsid w:val="0056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D9EAC6077814B12A49E3A00F6B5B00E"/>
        <w:category>
          <w:name w:val="General"/>
          <w:gallery w:val="placeholder"/>
        </w:category>
        <w:types>
          <w:type w:val="bbPlcHdr"/>
        </w:types>
        <w:behaviors>
          <w:behavior w:val="content"/>
        </w:behaviors>
        <w:guid w:val="{FD0D38F7-7037-4A3D-A35C-85A715A8F532}"/>
      </w:docPartPr>
      <w:docPartBody>
        <w:p w:rsidR="00D775D8" w:rsidRDefault="007D283C" w:rsidP="007D283C">
          <w:pPr>
            <w:pStyle w:val="5D9EAC6077814B12A49E3A00F6B5B00E"/>
          </w:pPr>
          <w:r w:rsidRPr="003B1CC5">
            <w:rPr>
              <w:rStyle w:val="PlaceholderText"/>
              <w:rFonts w:cstheme="minorHAnsi"/>
              <w:color w:val="A6A6A6" w:themeColor="background1" w:themeShade="A6"/>
            </w:rPr>
            <w:t>Click here to enter measure title</w:t>
          </w:r>
        </w:p>
      </w:docPartBody>
    </w:docPart>
    <w:docPart>
      <w:docPartPr>
        <w:name w:val="15E62E71A05D47D9BEEBEE9875565FF3"/>
        <w:category>
          <w:name w:val="General"/>
          <w:gallery w:val="placeholder"/>
        </w:category>
        <w:types>
          <w:type w:val="bbPlcHdr"/>
        </w:types>
        <w:behaviors>
          <w:behavior w:val="content"/>
        </w:behaviors>
        <w:guid w:val="{A61AFA2C-52AB-474B-9E32-333465D56B79}"/>
      </w:docPartPr>
      <w:docPartBody>
        <w:p w:rsidR="0036796B" w:rsidRDefault="00D775D8" w:rsidP="00D775D8">
          <w:pPr>
            <w:pStyle w:val="15E62E71A05D47D9BEEBEE9875565FF3"/>
          </w:pPr>
          <w:r w:rsidRPr="003B1CC5">
            <w:rPr>
              <w:rStyle w:val="PlaceholderText"/>
              <w:rFonts w:cstheme="minorHAnsi"/>
              <w:color w:val="A6A6A6" w:themeColor="background1" w:themeShade="A6"/>
            </w:rPr>
            <w:t>Click here to enter measure title</w:t>
          </w:r>
        </w:p>
      </w:docPartBody>
    </w:docPart>
    <w:docPart>
      <w:docPartPr>
        <w:name w:val="D787DFF0FACD4CDF99A5C8DED1F569D4"/>
        <w:category>
          <w:name w:val="General"/>
          <w:gallery w:val="placeholder"/>
        </w:category>
        <w:types>
          <w:type w:val="bbPlcHdr"/>
        </w:types>
        <w:behaviors>
          <w:behavior w:val="content"/>
        </w:behaviors>
        <w:guid w:val="{9B55914C-065E-49D0-9BB2-0F6DF37B88DA}"/>
      </w:docPartPr>
      <w:docPartBody>
        <w:p w:rsidR="00680AD0" w:rsidRDefault="006021B1" w:rsidP="006021B1">
          <w:pPr>
            <w:pStyle w:val="D787DFF0FACD4CDF99A5C8DED1F569D4"/>
          </w:pPr>
          <w:r w:rsidRPr="003B1CC5">
            <w:rPr>
              <w:rStyle w:val="PlaceholderText"/>
            </w:rPr>
            <w:t>Click here to enter NQF number</w:t>
          </w:r>
        </w:p>
      </w:docPartBody>
    </w:docPart>
    <w:docPart>
      <w:docPartPr>
        <w:name w:val="B9EC45093F414BD4A3031E5CE830178B"/>
        <w:category>
          <w:name w:val="General"/>
          <w:gallery w:val="placeholder"/>
        </w:category>
        <w:types>
          <w:type w:val="bbPlcHdr"/>
        </w:types>
        <w:behaviors>
          <w:behavior w:val="content"/>
        </w:behaviors>
        <w:guid w:val="{7F6418BD-28C6-483D-9C56-4E1C2AF624A5}"/>
      </w:docPartPr>
      <w:docPartBody>
        <w:p w:rsidR="00680AD0" w:rsidRDefault="006021B1" w:rsidP="006021B1">
          <w:pPr>
            <w:pStyle w:val="B9EC45093F414BD4A3031E5CE830178B"/>
          </w:pPr>
          <w:r w:rsidRPr="003B1CC5">
            <w:rPr>
              <w:rStyle w:val="PlaceholderText"/>
              <w:rFonts w:cstheme="minorHAnsi"/>
              <w:color w:val="A6A6A6" w:themeColor="background1" w:themeShade="A6"/>
            </w:rPr>
            <w:t>Click here to enter measure title</w:t>
          </w:r>
        </w:p>
      </w:docPartBody>
    </w:docPart>
    <w:docPart>
      <w:docPartPr>
        <w:name w:val="1E74BB2243564D28930C797391930572"/>
        <w:category>
          <w:name w:val="General"/>
          <w:gallery w:val="placeholder"/>
        </w:category>
        <w:types>
          <w:type w:val="bbPlcHdr"/>
        </w:types>
        <w:behaviors>
          <w:behavior w:val="content"/>
        </w:behaviors>
        <w:guid w:val="{2E6C7738-32A0-4865-BB7B-1C8D4B7E3C66}"/>
      </w:docPartPr>
      <w:docPartBody>
        <w:p w:rsidR="00680AD0" w:rsidRDefault="006021B1" w:rsidP="006021B1">
          <w:pPr>
            <w:pStyle w:val="1E74BB2243564D28930C797391930572"/>
          </w:pPr>
          <w:r>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6796B"/>
    <w:rsid w:val="003A1E4B"/>
    <w:rsid w:val="00455EB5"/>
    <w:rsid w:val="00461C1C"/>
    <w:rsid w:val="004E2027"/>
    <w:rsid w:val="005F21F3"/>
    <w:rsid w:val="006021B1"/>
    <w:rsid w:val="00680AD0"/>
    <w:rsid w:val="007D283C"/>
    <w:rsid w:val="008F6A9B"/>
    <w:rsid w:val="00A77B15"/>
    <w:rsid w:val="00BE0F2D"/>
    <w:rsid w:val="00C03643"/>
    <w:rsid w:val="00C2797F"/>
    <w:rsid w:val="00C80225"/>
    <w:rsid w:val="00D228C9"/>
    <w:rsid w:val="00D2552B"/>
    <w:rsid w:val="00D75B64"/>
    <w:rsid w:val="00D775D8"/>
    <w:rsid w:val="00DB5324"/>
    <w:rsid w:val="00E94CAA"/>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21B1"/>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D9EAC6077814B12A49E3A00F6B5B00E">
    <w:name w:val="5D9EAC6077814B12A49E3A00F6B5B00E"/>
    <w:rsid w:val="007D283C"/>
    <w:pPr>
      <w:spacing w:after="160" w:line="259" w:lineRule="auto"/>
    </w:pPr>
  </w:style>
  <w:style w:type="paragraph" w:customStyle="1" w:styleId="322D7469ED704723BB557ACB1FD45C5C">
    <w:name w:val="322D7469ED704723BB557ACB1FD45C5C"/>
    <w:rsid w:val="00D775D8"/>
    <w:pPr>
      <w:spacing w:after="160" w:line="259" w:lineRule="auto"/>
    </w:pPr>
  </w:style>
  <w:style w:type="paragraph" w:customStyle="1" w:styleId="15E62E71A05D47D9BEEBEE9875565FF3">
    <w:name w:val="15E62E71A05D47D9BEEBEE9875565FF3"/>
    <w:rsid w:val="00D775D8"/>
    <w:pPr>
      <w:spacing w:after="160" w:line="259" w:lineRule="auto"/>
    </w:pPr>
  </w:style>
  <w:style w:type="paragraph" w:customStyle="1" w:styleId="2D08A8A705834FF9AA6383CB51E07126">
    <w:name w:val="2D08A8A705834FF9AA6383CB51E07126"/>
    <w:rsid w:val="00E94CAA"/>
    <w:pPr>
      <w:spacing w:after="160" w:line="259" w:lineRule="auto"/>
    </w:pPr>
  </w:style>
  <w:style w:type="paragraph" w:customStyle="1" w:styleId="D787DFF0FACD4CDF99A5C8DED1F569D4">
    <w:name w:val="D787DFF0FACD4CDF99A5C8DED1F569D4"/>
    <w:rsid w:val="006021B1"/>
    <w:pPr>
      <w:spacing w:after="160" w:line="259" w:lineRule="auto"/>
    </w:pPr>
  </w:style>
  <w:style w:type="paragraph" w:customStyle="1" w:styleId="B9EC45093F414BD4A3031E5CE830178B">
    <w:name w:val="B9EC45093F414BD4A3031E5CE830178B"/>
    <w:rsid w:val="006021B1"/>
    <w:pPr>
      <w:spacing w:after="160" w:line="259" w:lineRule="auto"/>
    </w:pPr>
  </w:style>
  <w:style w:type="paragraph" w:customStyle="1" w:styleId="1E74BB2243564D28930C797391930572">
    <w:name w:val="1E74BB2243564D28930C797391930572"/>
    <w:rsid w:val="006021B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dcmitype/"/>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836b82f1-340d-495e-85b5-201c5296619a"/>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B3EB73E-CA7D-4D66-AA83-3619F4108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Jennifer Sardone</cp:lastModifiedBy>
  <cp:revision>15</cp:revision>
  <dcterms:created xsi:type="dcterms:W3CDTF">2018-11-02T15:14:00Z</dcterms:created>
  <dcterms:modified xsi:type="dcterms:W3CDTF">2019-04-02T17:47:00Z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