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31E3DF74"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sdt>
            <w:sdtPr>
              <w:rPr>
                <w:rStyle w:val="Style1"/>
              </w:rPr>
              <w:id w:val="-1368976421"/>
              <w:placeholder>
                <w:docPart w:val="322D7469ED704723BB557ACB1FD45C5C"/>
              </w:placeholder>
            </w:sdtPr>
            <w:sdtEndPr>
              <w:rPr>
                <w:rStyle w:val="DefaultParagraphFont"/>
                <w:rFonts w:cstheme="minorHAnsi"/>
                <w:b/>
                <w:noProof/>
                <w:color w:val="auto"/>
              </w:rPr>
            </w:sdtEndPr>
            <w:sdtContent>
              <w:r w:rsidR="000E74CD">
                <w:rPr>
                  <w:rStyle w:val="Style1"/>
                </w:rPr>
                <w:t>142</w:t>
              </w:r>
              <w:r w:rsidR="001771D0">
                <w:rPr>
                  <w:rStyle w:val="Style1"/>
                </w:rPr>
                <w:t>5</w:t>
              </w:r>
            </w:sdtContent>
          </w:sdt>
        </w:sdtContent>
      </w:sdt>
    </w:p>
    <w:p w14:paraId="55B8DA2F" w14:textId="60EEC96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923252161"/>
              <w:placeholder>
                <w:docPart w:val="5D9EAC6077814B12A49E3A00F6B5B00E"/>
              </w:placeholder>
            </w:sdtPr>
            <w:sdtEndPr>
              <w:rPr>
                <w:rStyle w:val="DefaultParagraphFont"/>
                <w:noProof/>
                <w:color w:val="auto"/>
              </w:rPr>
            </w:sdtEndPr>
            <w:sdtContent>
              <w:sdt>
                <w:sdtPr>
                  <w:rPr>
                    <w:rStyle w:val="Style1"/>
                  </w:rPr>
                  <w:id w:val="510727747"/>
                  <w:placeholder>
                    <w:docPart w:val="15E62E71A05D47D9BEEBEE9875565FF3"/>
                  </w:placeholder>
                </w:sdtPr>
                <w:sdtEndPr>
                  <w:rPr>
                    <w:rStyle w:val="DefaultParagraphFont"/>
                    <w:noProof/>
                    <w:color w:val="auto"/>
                  </w:rPr>
                </w:sdtEndPr>
                <w:sdtContent>
                  <w:sdt>
                    <w:sdtPr>
                      <w:rPr>
                        <w:rStyle w:val="Style1"/>
                      </w:rPr>
                      <w:id w:val="-1360205363"/>
                      <w:placeholder>
                        <w:docPart w:val="2486BCFB44B84D8E8AD5F597119C6AFE"/>
                      </w:placeholder>
                    </w:sdtPr>
                    <w:sdtEndPr>
                      <w:rPr>
                        <w:rStyle w:val="DefaultParagraphFont"/>
                        <w:noProof/>
                        <w:color w:val="auto"/>
                      </w:rPr>
                    </w:sdtEndPr>
                    <w:sdtContent>
                      <w:r w:rsidR="001771D0" w:rsidRPr="0020681E">
                        <w:rPr>
                          <w:rStyle w:val="Style1"/>
                        </w:rPr>
                        <w:t xml:space="preserve">Measurement of </w:t>
                      </w:r>
                      <w:proofErr w:type="spellStart"/>
                      <w:r w:rsidR="001771D0" w:rsidRPr="0020681E">
                        <w:rPr>
                          <w:rStyle w:val="Style1"/>
                        </w:rPr>
                        <w:t>nPCR</w:t>
                      </w:r>
                      <w:proofErr w:type="spellEnd"/>
                      <w:r w:rsidR="001771D0" w:rsidRPr="0020681E">
                        <w:rPr>
                          <w:rStyle w:val="Style1"/>
                        </w:rPr>
                        <w:t xml:space="preserve"> for Pediatric Hemodialysis Patients</w:t>
                      </w:r>
                    </w:sdtContent>
                  </w:sdt>
                </w:sdtContent>
              </w:sdt>
              <w:r w:rsidR="000E74CD">
                <w:rPr>
                  <w:noProof/>
                </w:rPr>
                <w:t xml:space="preserve"> </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48BB6DC5"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2T00:00:00Z">
            <w:dateFormat w:val="M/d/yyyy"/>
            <w:lid w:val="en-US"/>
            <w:storeMappedDataAs w:val="dateTime"/>
            <w:calendar w:val="gregorian"/>
          </w:date>
        </w:sdtPr>
        <w:sdtEndPr>
          <w:rPr>
            <w:rStyle w:val="DefaultParagraphFont"/>
            <w:noProof/>
            <w:color w:val="auto"/>
            <w:u w:val="none"/>
          </w:rPr>
        </w:sdtEndPr>
        <w:sdtContent>
          <w:r w:rsidR="00B70300">
            <w:rPr>
              <w:rStyle w:val="Style2"/>
            </w:rPr>
            <w:t>4/</w:t>
          </w:r>
          <w:r w:rsidR="00B70300">
            <w:rPr>
              <w:rStyle w:val="Style2"/>
            </w:rPr>
            <w:t>2/</w:t>
          </w:r>
          <w:r w:rsidR="00B70300">
            <w:rPr>
              <w:rStyle w:val="Style2"/>
            </w:rPr>
            <w:t>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B70300"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B70300"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6BDB2A9C" w:rsidR="00496AF8" w:rsidRPr="003B1CC5" w:rsidRDefault="00B70300" w:rsidP="004E7215">
      <w:pPr>
        <w:rPr>
          <w:bCs/>
        </w:rPr>
      </w:pPr>
      <w:sdt>
        <w:sdtPr>
          <w:rPr>
            <w:bCs/>
            <w:color w:val="0000FF"/>
          </w:rPr>
          <w:id w:val="-720977531"/>
          <w14:checkbox>
            <w14:checked w14:val="0"/>
            <w14:checkedState w14:val="2612" w14:font="MS Gothic"/>
            <w14:uncheckedState w14:val="2610" w14:font="MS Gothic"/>
          </w14:checkbox>
        </w:sdtPr>
        <w:sdtEndPr/>
        <w:sdtContent>
          <w:r w:rsidR="00BE3111">
            <w:rPr>
              <w:rFonts w:ascii="MS Gothic" w:eastAsia="MS Gothic" w:hAnsi="MS Gothic" w:hint="eastAsia"/>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5" w14:textId="5C497266" w:rsidR="00D73685" w:rsidRDefault="00B70300"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BE3111">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BE3111">
            <w:rPr>
              <w:rStyle w:val="Style2"/>
              <w:rFonts w:cstheme="minorHAnsi"/>
            </w:rPr>
            <w:t xml:space="preserve">measurement of </w:t>
          </w:r>
          <w:proofErr w:type="spellStart"/>
          <w:r w:rsidR="00BE3111">
            <w:rPr>
              <w:rStyle w:val="Style2"/>
              <w:rFonts w:cstheme="minorHAnsi"/>
            </w:rPr>
            <w:t>nPCR</w:t>
          </w:r>
          <w:proofErr w:type="spellEnd"/>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B70300"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B70300"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A47D816"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1398434" w14:textId="0B061704" w:rsidR="00563C95" w:rsidRDefault="00563C95" w:rsidP="002B06BD">
      <w:pPr>
        <w:ind w:left="432" w:hanging="432"/>
        <w:rPr>
          <w:iCs/>
        </w:rPr>
      </w:pPr>
    </w:p>
    <w:p w14:paraId="03ADA927" w14:textId="43DBAEAE" w:rsidR="00563C95" w:rsidRPr="00676BD4" w:rsidRDefault="001771D0" w:rsidP="001771D0">
      <w:pPr>
        <w:ind w:left="0" w:firstLine="0"/>
        <w:rPr>
          <w:iCs/>
        </w:rPr>
      </w:pPr>
      <w:r w:rsidRPr="001771D0">
        <w:rPr>
          <w:color w:val="0000FF"/>
        </w:rPr>
        <w:t xml:space="preserve">In the 2006 Kidney Disease Outcomes Quality Initiative (KDOQI) Guidelines, Clinical Practice Guideline for pediatric hemodialysis adequacy (Guideline 8.2.2) specifies </w:t>
      </w:r>
      <w:proofErr w:type="spellStart"/>
      <w:r w:rsidRPr="001771D0">
        <w:rPr>
          <w:color w:val="0000FF"/>
        </w:rPr>
        <w:t>nPCR</w:t>
      </w:r>
      <w:proofErr w:type="spellEnd"/>
      <w:r w:rsidRPr="001771D0">
        <w:rPr>
          <w:color w:val="0000FF"/>
        </w:rPr>
        <w:t xml:space="preserve"> should be measured monthly. The 2008 KDOQI Clinical Practice Guideline Update for nutrition in children with CKD Recommendation 1.1 states that the nutritional status and growth of all children with CKD stages 2-5 be evaluated on a periodic basis. Recommendation 1.2 states that </w:t>
      </w:r>
      <w:proofErr w:type="spellStart"/>
      <w:r w:rsidRPr="001771D0">
        <w:rPr>
          <w:color w:val="0000FF"/>
        </w:rPr>
        <w:t>nPCR</w:t>
      </w:r>
      <w:proofErr w:type="spellEnd"/>
      <w:r w:rsidRPr="001771D0">
        <w:rPr>
          <w:color w:val="0000FF"/>
        </w:rPr>
        <w:t xml:space="preserve"> should be evaluated in </w:t>
      </w:r>
      <w:proofErr w:type="spellStart"/>
      <w:r w:rsidRPr="001771D0">
        <w:rPr>
          <w:color w:val="0000FF"/>
        </w:rPr>
        <w:t>hemodialyzed</w:t>
      </w:r>
      <w:proofErr w:type="spellEnd"/>
      <w:r w:rsidRPr="001771D0">
        <w:rPr>
          <w:color w:val="0000FF"/>
        </w:rPr>
        <w:t xml:space="preserve"> adolescents. Small scale observational studies have shown an association between </w:t>
      </w:r>
      <w:proofErr w:type="spellStart"/>
      <w:r w:rsidRPr="001771D0">
        <w:rPr>
          <w:color w:val="0000FF"/>
        </w:rPr>
        <w:t>nPCR</w:t>
      </w:r>
      <w:proofErr w:type="spellEnd"/>
      <w:r w:rsidRPr="001771D0">
        <w:rPr>
          <w:color w:val="0000FF"/>
        </w:rPr>
        <w:t xml:space="preserve"> and nutritional status among malnourished adolescent patients who achieved target </w:t>
      </w:r>
      <w:proofErr w:type="spellStart"/>
      <w:r w:rsidRPr="001771D0">
        <w:rPr>
          <w:color w:val="0000FF"/>
        </w:rPr>
        <w:t>spKt</w:t>
      </w:r>
      <w:proofErr w:type="spellEnd"/>
      <w:r w:rsidRPr="001771D0">
        <w:rPr>
          <w:color w:val="0000FF"/>
        </w:rPr>
        <w:t>/V levels [1</w:t>
      </w:r>
      <w:proofErr w:type="gramStart"/>
      <w:r w:rsidRPr="001771D0">
        <w:rPr>
          <w:color w:val="0000FF"/>
        </w:rPr>
        <w:t>,2</w:t>
      </w:r>
      <w:proofErr w:type="gramEnd"/>
      <w:r w:rsidRPr="001771D0">
        <w:rPr>
          <w:color w:val="0000FF"/>
        </w:rPr>
        <w:t xml:space="preserve">]. Additionally, in adolescent patients, </w:t>
      </w:r>
      <w:proofErr w:type="spellStart"/>
      <w:r w:rsidRPr="001771D0">
        <w:rPr>
          <w:color w:val="0000FF"/>
        </w:rPr>
        <w:t>nPCR</w:t>
      </w:r>
      <w:proofErr w:type="spellEnd"/>
      <w:r w:rsidRPr="001771D0">
        <w:rPr>
          <w:color w:val="0000FF"/>
        </w:rPr>
        <w:t xml:space="preserve"> levels &lt; 1 gram/kg/day were found to be an earlier and more sensitive marker than serum albumin levels in predicting malnutrition and sustained weight loss [3].</w:t>
      </w: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21C95AC4" w:rsidR="00676BD4" w:rsidRPr="00563C95" w:rsidRDefault="00563C95" w:rsidP="002E2177">
      <w:pPr>
        <w:ind w:left="432" w:hanging="432"/>
        <w:rPr>
          <w:color w:val="0000FF"/>
        </w:rPr>
      </w:pPr>
      <w:r w:rsidRPr="00563C95">
        <w:rPr>
          <w:color w:val="0000FF"/>
        </w:rPr>
        <w:t>N/A</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2A444455" w14:textId="77777777" w:rsidR="00563C95" w:rsidRPr="00563C95" w:rsidRDefault="00563C95" w:rsidP="00563C95">
      <w:pPr>
        <w:ind w:left="432" w:hanging="432"/>
        <w:rPr>
          <w:color w:val="0000FF"/>
        </w:rPr>
      </w:pPr>
      <w:r w:rsidRPr="00563C95">
        <w:rPr>
          <w:color w:val="0000FF"/>
        </w:rPr>
        <w:t>N/A</w:t>
      </w:r>
    </w:p>
    <w:p w14:paraId="55B8DA64" w14:textId="77777777" w:rsidR="00D14F0B" w:rsidRPr="003B1CC5" w:rsidRDefault="00D14F0B" w:rsidP="002E2177">
      <w:pPr>
        <w:ind w:left="0" w:firstLine="0"/>
        <w:rPr>
          <w:iCs/>
        </w:rPr>
      </w:pPr>
    </w:p>
    <w:p w14:paraId="55B8DA65" w14:textId="77777777" w:rsidR="00676BD4" w:rsidRPr="00563C95" w:rsidRDefault="00676BD4" w:rsidP="002E2177">
      <w:pPr>
        <w:ind w:left="0" w:firstLine="0"/>
        <w:rPr>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29FBA718" w:rsidR="00A9011D" w:rsidRPr="00A9011D" w:rsidRDefault="00563C95"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ayout w:type="fixed"/>
        <w:tblLook w:val="04A0" w:firstRow="1" w:lastRow="0" w:firstColumn="1" w:lastColumn="0" w:noHBand="0" w:noVBand="1"/>
      </w:tblPr>
      <w:tblGrid>
        <w:gridCol w:w="4675"/>
        <w:gridCol w:w="4675"/>
      </w:tblGrid>
      <w:tr w:rsidR="00AB4ECE" w14:paraId="55B8DA76" w14:textId="77777777" w:rsidTr="00413588">
        <w:tc>
          <w:tcPr>
            <w:tcW w:w="467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4675" w:type="dxa"/>
          </w:tcPr>
          <w:p w14:paraId="7EE2732E" w14:textId="0D05CA79" w:rsidR="001771D0" w:rsidRDefault="001771D0" w:rsidP="001771D0">
            <w:pPr>
              <w:ind w:left="0" w:firstLine="0"/>
              <w:rPr>
                <w:color w:val="0000FF"/>
              </w:rPr>
            </w:pPr>
            <w:r w:rsidRPr="001771D0">
              <w:rPr>
                <w:color w:val="0000FF"/>
              </w:rPr>
              <w:t>National Kidney Foundation. KDOQI Clinical Practice Guidelines and Clinical Practice Recommendations for 2006 Updates: Hemodialysis Adequacy, Peritoneal Dialysis Adequacy and Vascular Access. Am J Kidney Dis 48:S1-S322, 2006 (</w:t>
            </w:r>
            <w:proofErr w:type="spellStart"/>
            <w:r w:rsidRPr="001771D0">
              <w:rPr>
                <w:color w:val="0000FF"/>
              </w:rPr>
              <w:t>suppl</w:t>
            </w:r>
            <w:proofErr w:type="spellEnd"/>
            <w:r w:rsidRPr="001771D0">
              <w:rPr>
                <w:color w:val="0000FF"/>
              </w:rPr>
              <w:t xml:space="preserve"> 1).</w:t>
            </w:r>
          </w:p>
          <w:p w14:paraId="32353C3B" w14:textId="77777777" w:rsidR="001771D0" w:rsidRPr="001771D0" w:rsidRDefault="001771D0" w:rsidP="001771D0">
            <w:pPr>
              <w:ind w:left="0" w:firstLine="0"/>
              <w:rPr>
                <w:color w:val="0000FF"/>
              </w:rPr>
            </w:pPr>
          </w:p>
          <w:p w14:paraId="55B8DA75" w14:textId="506997E8" w:rsidR="00AB4ECE" w:rsidRPr="006257CC" w:rsidRDefault="001771D0" w:rsidP="001771D0">
            <w:pPr>
              <w:ind w:left="0" w:firstLine="0"/>
              <w:rPr>
                <w:b/>
                <w:color w:val="0000FF"/>
              </w:rPr>
            </w:pPr>
            <w:r w:rsidRPr="001771D0">
              <w:rPr>
                <w:color w:val="0000FF"/>
              </w:rPr>
              <w:t>http://www.kidney.org/PROFESSIONALS/kdoqi/guideline_upHD_PD_VA/index.htm</w:t>
            </w:r>
          </w:p>
        </w:tc>
      </w:tr>
      <w:tr w:rsidR="00AB4ECE" w14:paraId="55B8DA79" w14:textId="77777777" w:rsidTr="00413588">
        <w:tc>
          <w:tcPr>
            <w:tcW w:w="4675"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4675" w:type="dxa"/>
          </w:tcPr>
          <w:p w14:paraId="3200550D" w14:textId="77777777" w:rsidR="001771D0" w:rsidRPr="00B70300" w:rsidRDefault="001771D0" w:rsidP="001771D0">
            <w:pPr>
              <w:autoSpaceDE w:val="0"/>
              <w:autoSpaceDN w:val="0"/>
              <w:adjustRightInd w:val="0"/>
              <w:rPr>
                <w:rFonts w:cs="Arial"/>
                <w:color w:val="0000FF"/>
                <w:szCs w:val="20"/>
              </w:rPr>
            </w:pPr>
            <w:r w:rsidRPr="00B70300">
              <w:rPr>
                <w:rFonts w:cs="Arial"/>
                <w:color w:val="0000FF"/>
                <w:szCs w:val="20"/>
              </w:rPr>
              <w:t xml:space="preserve">8.2.2 Assessment of nutrition status is an essential component of HD adequacy measurement. </w:t>
            </w:r>
            <w:proofErr w:type="spellStart"/>
            <w:proofErr w:type="gramStart"/>
            <w:r w:rsidRPr="00B70300">
              <w:rPr>
                <w:rFonts w:cs="Arial"/>
                <w:color w:val="0000FF"/>
                <w:szCs w:val="20"/>
              </w:rPr>
              <w:t>nPCR</w:t>
            </w:r>
            <w:proofErr w:type="spellEnd"/>
            <w:proofErr w:type="gramEnd"/>
            <w:r w:rsidRPr="00B70300">
              <w:rPr>
                <w:rFonts w:cs="Arial"/>
                <w:color w:val="0000FF"/>
                <w:szCs w:val="20"/>
              </w:rPr>
              <w:t xml:space="preserve"> should be measured monthly by using either formal urea kinetic modeling or algebraic approximation. (B)</w:t>
            </w:r>
          </w:p>
          <w:p w14:paraId="51CBAE76" w14:textId="77777777" w:rsidR="001771D0" w:rsidRPr="00B70300" w:rsidRDefault="001771D0" w:rsidP="001771D0">
            <w:pPr>
              <w:autoSpaceDE w:val="0"/>
              <w:autoSpaceDN w:val="0"/>
              <w:adjustRightInd w:val="0"/>
              <w:rPr>
                <w:rFonts w:cs="Arial"/>
                <w:color w:val="0000FF"/>
                <w:szCs w:val="20"/>
              </w:rPr>
            </w:pPr>
            <w:r w:rsidRPr="00B70300">
              <w:rPr>
                <w:rFonts w:cs="Arial"/>
                <w:color w:val="0000FF"/>
                <w:szCs w:val="20"/>
              </w:rPr>
              <w:t>2008 KDOQI CPR RECOMMENDATION 1: EVALUATION OF GROWTH AND NUTRITIONAL STATUS</w:t>
            </w:r>
          </w:p>
          <w:p w14:paraId="0DF0BD70" w14:textId="77777777" w:rsidR="001771D0" w:rsidRPr="00B70300" w:rsidRDefault="001771D0" w:rsidP="001771D0">
            <w:pPr>
              <w:autoSpaceDE w:val="0"/>
              <w:autoSpaceDN w:val="0"/>
              <w:adjustRightInd w:val="0"/>
              <w:rPr>
                <w:rFonts w:cs="Arial"/>
                <w:color w:val="0000FF"/>
                <w:szCs w:val="20"/>
              </w:rPr>
            </w:pPr>
            <w:r w:rsidRPr="00B70300">
              <w:rPr>
                <w:rFonts w:cs="Arial"/>
                <w:color w:val="0000FF"/>
                <w:szCs w:val="20"/>
              </w:rPr>
              <w:t>1.1 The nutritional status and growth of all children with CKD stages 2 to 5 and 5D should be evaluated on a periodic basis. (A)</w:t>
            </w:r>
          </w:p>
          <w:p w14:paraId="67A0199F" w14:textId="77777777" w:rsidR="001771D0" w:rsidRPr="00B70300" w:rsidRDefault="001771D0" w:rsidP="001771D0">
            <w:pPr>
              <w:autoSpaceDE w:val="0"/>
              <w:autoSpaceDN w:val="0"/>
              <w:adjustRightInd w:val="0"/>
              <w:rPr>
                <w:rFonts w:cs="Arial"/>
                <w:color w:val="0000FF"/>
                <w:szCs w:val="20"/>
              </w:rPr>
            </w:pPr>
            <w:r w:rsidRPr="00B70300">
              <w:rPr>
                <w:rFonts w:cs="Arial"/>
                <w:color w:val="0000FF"/>
                <w:szCs w:val="20"/>
              </w:rPr>
              <w:t>1.2 The following parameters of nutritional status and growth should be considered in combination for</w:t>
            </w:r>
          </w:p>
          <w:p w14:paraId="0403E1DA" w14:textId="77777777" w:rsidR="001771D0" w:rsidRPr="00B70300" w:rsidRDefault="001771D0" w:rsidP="001771D0">
            <w:pPr>
              <w:autoSpaceDE w:val="0"/>
              <w:autoSpaceDN w:val="0"/>
              <w:adjustRightInd w:val="0"/>
              <w:rPr>
                <w:rFonts w:cs="Arial"/>
                <w:color w:val="0000FF"/>
                <w:szCs w:val="20"/>
              </w:rPr>
            </w:pPr>
            <w:proofErr w:type="gramStart"/>
            <w:r w:rsidRPr="00B70300">
              <w:rPr>
                <w:rFonts w:cs="Arial"/>
                <w:color w:val="0000FF"/>
                <w:szCs w:val="20"/>
              </w:rPr>
              <w:t>evaluation</w:t>
            </w:r>
            <w:proofErr w:type="gramEnd"/>
            <w:r w:rsidRPr="00B70300">
              <w:rPr>
                <w:rFonts w:cs="Arial"/>
                <w:color w:val="0000FF"/>
                <w:szCs w:val="20"/>
              </w:rPr>
              <w:t xml:space="preserve"> in children with CKD stages 2 to 5 and 5D. (B)</w:t>
            </w:r>
          </w:p>
          <w:p w14:paraId="23FC09B1" w14:textId="77777777" w:rsidR="001771D0" w:rsidRPr="00B70300" w:rsidRDefault="001771D0" w:rsidP="001771D0">
            <w:pPr>
              <w:pStyle w:val="ListParagraph"/>
              <w:numPr>
                <w:ilvl w:val="0"/>
                <w:numId w:val="16"/>
              </w:numPr>
              <w:autoSpaceDE w:val="0"/>
              <w:autoSpaceDN w:val="0"/>
              <w:adjustRightInd w:val="0"/>
              <w:spacing w:after="0" w:line="240" w:lineRule="auto"/>
              <w:ind w:left="810" w:hanging="450"/>
              <w:contextualSpacing w:val="0"/>
              <w:rPr>
                <w:rFonts w:cs="Arial"/>
                <w:color w:val="0000FF"/>
                <w:szCs w:val="20"/>
              </w:rPr>
            </w:pPr>
            <w:r w:rsidRPr="00B70300">
              <w:rPr>
                <w:rFonts w:cs="Arial"/>
                <w:color w:val="0000FF"/>
                <w:szCs w:val="20"/>
              </w:rPr>
              <w:lastRenderedPageBreak/>
              <w:t>Dietary intake (3-day diet record or three 24-hour dietary recalls)</w:t>
            </w:r>
          </w:p>
          <w:p w14:paraId="170C8632" w14:textId="77777777" w:rsidR="001771D0" w:rsidRPr="00B70300" w:rsidRDefault="001771D0" w:rsidP="001771D0">
            <w:pPr>
              <w:pStyle w:val="ListParagraph"/>
              <w:numPr>
                <w:ilvl w:val="0"/>
                <w:numId w:val="16"/>
              </w:numPr>
              <w:autoSpaceDE w:val="0"/>
              <w:autoSpaceDN w:val="0"/>
              <w:adjustRightInd w:val="0"/>
              <w:spacing w:after="0" w:line="240" w:lineRule="auto"/>
              <w:ind w:left="810" w:hanging="450"/>
              <w:contextualSpacing w:val="0"/>
              <w:rPr>
                <w:rFonts w:cs="Arial"/>
                <w:color w:val="0000FF"/>
                <w:szCs w:val="20"/>
              </w:rPr>
            </w:pPr>
            <w:r w:rsidRPr="00B70300">
              <w:rPr>
                <w:rFonts w:cs="Arial"/>
                <w:color w:val="0000FF"/>
                <w:szCs w:val="20"/>
              </w:rPr>
              <w:t>Length- or height-for-age percentile or standard deviation score(SDS)</w:t>
            </w:r>
          </w:p>
          <w:p w14:paraId="5684FD29" w14:textId="77777777" w:rsidR="001771D0" w:rsidRPr="00B70300" w:rsidRDefault="001771D0" w:rsidP="001771D0">
            <w:pPr>
              <w:pStyle w:val="ListParagraph"/>
              <w:numPr>
                <w:ilvl w:val="0"/>
                <w:numId w:val="16"/>
              </w:numPr>
              <w:autoSpaceDE w:val="0"/>
              <w:autoSpaceDN w:val="0"/>
              <w:adjustRightInd w:val="0"/>
              <w:spacing w:after="0" w:line="240" w:lineRule="auto"/>
              <w:ind w:left="810" w:hanging="450"/>
              <w:contextualSpacing w:val="0"/>
              <w:rPr>
                <w:rFonts w:cs="Arial"/>
                <w:color w:val="0000FF"/>
                <w:szCs w:val="20"/>
              </w:rPr>
            </w:pPr>
            <w:r w:rsidRPr="00B70300">
              <w:rPr>
                <w:rFonts w:cs="Arial"/>
                <w:color w:val="0000FF"/>
                <w:szCs w:val="20"/>
              </w:rPr>
              <w:t>Length or height velocity-for-age percentile or SDS</w:t>
            </w:r>
          </w:p>
          <w:p w14:paraId="46F0F54C" w14:textId="77777777" w:rsidR="001771D0" w:rsidRPr="00B70300" w:rsidRDefault="001771D0" w:rsidP="001771D0">
            <w:pPr>
              <w:pStyle w:val="ListParagraph"/>
              <w:numPr>
                <w:ilvl w:val="0"/>
                <w:numId w:val="16"/>
              </w:numPr>
              <w:autoSpaceDE w:val="0"/>
              <w:autoSpaceDN w:val="0"/>
              <w:adjustRightInd w:val="0"/>
              <w:spacing w:after="0" w:line="240" w:lineRule="auto"/>
              <w:ind w:left="810" w:hanging="450"/>
              <w:contextualSpacing w:val="0"/>
              <w:rPr>
                <w:rFonts w:cs="Arial"/>
                <w:color w:val="0000FF"/>
                <w:szCs w:val="20"/>
              </w:rPr>
            </w:pPr>
            <w:r w:rsidRPr="00B70300">
              <w:rPr>
                <w:rFonts w:cs="Arial"/>
                <w:color w:val="0000FF"/>
                <w:szCs w:val="20"/>
              </w:rPr>
              <w:t>Estimated dry weight and weight-for-age percentile or SDS</w:t>
            </w:r>
          </w:p>
          <w:p w14:paraId="24FF3190" w14:textId="77777777" w:rsidR="001771D0" w:rsidRPr="00B70300" w:rsidRDefault="001771D0" w:rsidP="001771D0">
            <w:pPr>
              <w:pStyle w:val="ListParagraph"/>
              <w:numPr>
                <w:ilvl w:val="0"/>
                <w:numId w:val="16"/>
              </w:numPr>
              <w:autoSpaceDE w:val="0"/>
              <w:autoSpaceDN w:val="0"/>
              <w:adjustRightInd w:val="0"/>
              <w:spacing w:after="0" w:line="240" w:lineRule="auto"/>
              <w:ind w:left="810" w:hanging="450"/>
              <w:contextualSpacing w:val="0"/>
              <w:rPr>
                <w:rFonts w:cs="Arial"/>
                <w:color w:val="0000FF"/>
                <w:szCs w:val="20"/>
              </w:rPr>
            </w:pPr>
            <w:r w:rsidRPr="00B70300">
              <w:rPr>
                <w:rFonts w:cs="Arial"/>
                <w:color w:val="0000FF"/>
                <w:szCs w:val="20"/>
              </w:rPr>
              <w:t>BMI-for-height-age percentile or SDS</w:t>
            </w:r>
          </w:p>
          <w:p w14:paraId="6D1D29B1" w14:textId="77777777" w:rsidR="001771D0" w:rsidRPr="00B70300" w:rsidRDefault="001771D0" w:rsidP="001771D0">
            <w:pPr>
              <w:pStyle w:val="ListParagraph"/>
              <w:numPr>
                <w:ilvl w:val="0"/>
                <w:numId w:val="16"/>
              </w:numPr>
              <w:autoSpaceDE w:val="0"/>
              <w:autoSpaceDN w:val="0"/>
              <w:adjustRightInd w:val="0"/>
              <w:spacing w:after="0" w:line="240" w:lineRule="auto"/>
              <w:ind w:left="810" w:hanging="450"/>
              <w:contextualSpacing w:val="0"/>
              <w:rPr>
                <w:rFonts w:cs="Arial"/>
                <w:color w:val="0000FF"/>
                <w:szCs w:val="20"/>
              </w:rPr>
            </w:pPr>
            <w:r w:rsidRPr="00B70300">
              <w:rPr>
                <w:rFonts w:cs="Arial"/>
                <w:color w:val="0000FF"/>
                <w:szCs w:val="20"/>
              </w:rPr>
              <w:t>Head circumference-for-age percentile or SDS (=3 years old only)</w:t>
            </w:r>
          </w:p>
          <w:p w14:paraId="12D556FA" w14:textId="77777777" w:rsidR="001771D0" w:rsidRPr="00B70300" w:rsidRDefault="001771D0" w:rsidP="001771D0">
            <w:pPr>
              <w:ind w:left="0" w:firstLine="0"/>
              <w:rPr>
                <w:rFonts w:cs="Arial"/>
                <w:color w:val="0000FF"/>
                <w:szCs w:val="20"/>
              </w:rPr>
            </w:pPr>
            <w:r w:rsidRPr="00B70300">
              <w:rPr>
                <w:rFonts w:cs="Arial"/>
                <w:color w:val="0000FF"/>
                <w:szCs w:val="20"/>
              </w:rPr>
              <w:t>Normalized protein catabolic rate (</w:t>
            </w:r>
            <w:proofErr w:type="spellStart"/>
            <w:r w:rsidRPr="00B70300">
              <w:rPr>
                <w:rFonts w:cs="Arial"/>
                <w:color w:val="0000FF"/>
                <w:szCs w:val="20"/>
              </w:rPr>
              <w:t>nPCR</w:t>
            </w:r>
            <w:proofErr w:type="spellEnd"/>
            <w:r w:rsidRPr="00B70300">
              <w:rPr>
                <w:rFonts w:cs="Arial"/>
                <w:color w:val="0000FF"/>
                <w:szCs w:val="20"/>
              </w:rPr>
              <w:t xml:space="preserve">) in </w:t>
            </w:r>
            <w:proofErr w:type="spellStart"/>
            <w:r w:rsidRPr="00B70300">
              <w:rPr>
                <w:rFonts w:cs="Arial"/>
                <w:color w:val="0000FF"/>
                <w:szCs w:val="20"/>
              </w:rPr>
              <w:t>hemodialyzed</w:t>
            </w:r>
            <w:proofErr w:type="spellEnd"/>
            <w:r w:rsidRPr="00B70300">
              <w:rPr>
                <w:rFonts w:cs="Arial"/>
                <w:color w:val="0000FF"/>
                <w:szCs w:val="20"/>
              </w:rPr>
              <w:t xml:space="preserve"> adolescents with CKD stage 5D.</w:t>
            </w:r>
          </w:p>
          <w:p w14:paraId="55B8DA78" w14:textId="13AB69A3" w:rsidR="00AB4ECE" w:rsidRPr="00FC5164" w:rsidRDefault="00AB4ECE" w:rsidP="002E2177">
            <w:pPr>
              <w:ind w:left="0" w:firstLine="0"/>
              <w:rPr>
                <w:color w:val="0000FF"/>
              </w:rPr>
            </w:pPr>
          </w:p>
        </w:tc>
      </w:tr>
      <w:tr w:rsidR="00AB4ECE" w14:paraId="55B8DA7C" w14:textId="77777777" w:rsidTr="00413588">
        <w:tc>
          <w:tcPr>
            <w:tcW w:w="4675"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4675" w:type="dxa"/>
          </w:tcPr>
          <w:p w14:paraId="55B8DA7B" w14:textId="314F069F" w:rsidR="00AB4ECE" w:rsidRPr="006257CC" w:rsidRDefault="00413588" w:rsidP="002E2177">
            <w:pPr>
              <w:ind w:left="0" w:firstLine="0"/>
              <w:rPr>
                <w:color w:val="0000FF"/>
              </w:rPr>
            </w:pPr>
            <w:r>
              <w:rPr>
                <w:color w:val="0000FF"/>
              </w:rPr>
              <w:t>N/A</w:t>
            </w:r>
          </w:p>
        </w:tc>
      </w:tr>
      <w:tr w:rsidR="00AB4ECE" w14:paraId="55B8DA7F" w14:textId="77777777" w:rsidTr="00413588">
        <w:tc>
          <w:tcPr>
            <w:tcW w:w="4675" w:type="dxa"/>
          </w:tcPr>
          <w:p w14:paraId="55B8DA7D" w14:textId="77777777" w:rsidR="00AB4ECE" w:rsidRDefault="00AB4ECE" w:rsidP="00E42FAA">
            <w:pPr>
              <w:ind w:left="0" w:firstLine="0"/>
            </w:pPr>
            <w:r>
              <w:t>Provide all other grades and definitions from the evidence grading system</w:t>
            </w:r>
          </w:p>
        </w:tc>
        <w:tc>
          <w:tcPr>
            <w:tcW w:w="4675" w:type="dxa"/>
          </w:tcPr>
          <w:p w14:paraId="55B8DA7E" w14:textId="3B7B3F5E" w:rsidR="00AB4ECE" w:rsidRPr="006257CC" w:rsidRDefault="00413588" w:rsidP="00DF74B6">
            <w:pPr>
              <w:ind w:left="0" w:firstLine="0"/>
              <w:rPr>
                <w:color w:val="0000FF"/>
              </w:rPr>
            </w:pPr>
            <w:r>
              <w:rPr>
                <w:color w:val="0000FF"/>
              </w:rPr>
              <w:t>N/A</w:t>
            </w:r>
          </w:p>
        </w:tc>
      </w:tr>
      <w:tr w:rsidR="00AB4ECE" w14:paraId="55B8DA82" w14:textId="77777777" w:rsidTr="00413588">
        <w:tc>
          <w:tcPr>
            <w:tcW w:w="4675" w:type="dxa"/>
          </w:tcPr>
          <w:p w14:paraId="55B8DA80" w14:textId="77777777" w:rsidR="00AB4ECE" w:rsidRPr="00522B63" w:rsidRDefault="00AB4ECE" w:rsidP="00E42FAA">
            <w:pPr>
              <w:ind w:left="0" w:firstLine="0"/>
            </w:pPr>
            <w:r w:rsidRPr="00522B63">
              <w:t xml:space="preserve">Grade assigned to the </w:t>
            </w:r>
            <w:r w:rsidRPr="00522B63">
              <w:rPr>
                <w:b/>
              </w:rPr>
              <w:t>recommendation</w:t>
            </w:r>
            <w:r w:rsidRPr="00522B63">
              <w:t xml:space="preserve"> with definition of the grade</w:t>
            </w:r>
          </w:p>
        </w:tc>
        <w:tc>
          <w:tcPr>
            <w:tcW w:w="4675" w:type="dxa"/>
          </w:tcPr>
          <w:p w14:paraId="55B8DA81" w14:textId="1D4CF012" w:rsidR="00DF74B6" w:rsidRPr="00413588" w:rsidRDefault="001771D0" w:rsidP="00413588">
            <w:pPr>
              <w:ind w:left="0" w:firstLine="0"/>
              <w:rPr>
                <w:color w:val="0000FF"/>
              </w:rPr>
            </w:pPr>
            <w:r w:rsidRPr="001771D0">
              <w:rPr>
                <w:color w:val="0000FF"/>
              </w:rPr>
              <w:t>The 2006 KDOQI Guideline 8.2.2 rating strength grade is ‘B’. The recommendation for Grade B guidelines states ‘It is recommended that clinicians routinely follow the guideline for eligible patients. There is moderate to strong evidence that the practice improves health outcomes.’</w:t>
            </w:r>
          </w:p>
        </w:tc>
      </w:tr>
      <w:tr w:rsidR="00AB4ECE" w14:paraId="55B8DA85" w14:textId="77777777" w:rsidTr="00413588">
        <w:tc>
          <w:tcPr>
            <w:tcW w:w="4675" w:type="dxa"/>
          </w:tcPr>
          <w:p w14:paraId="55B8DA83" w14:textId="77777777" w:rsidR="00AB4ECE" w:rsidRPr="00522B63" w:rsidRDefault="00AB4ECE" w:rsidP="00E42FAA">
            <w:pPr>
              <w:ind w:left="0" w:firstLine="0"/>
            </w:pPr>
            <w:r w:rsidRPr="00522B63">
              <w:t>Provide all other grades and definitions from the recommendation grading system</w:t>
            </w:r>
          </w:p>
        </w:tc>
        <w:tc>
          <w:tcPr>
            <w:tcW w:w="4675" w:type="dxa"/>
          </w:tcPr>
          <w:p w14:paraId="682816AB" w14:textId="77777777" w:rsidR="00413588" w:rsidRPr="00413588" w:rsidRDefault="00413588" w:rsidP="00413588">
            <w:pPr>
              <w:ind w:left="0" w:firstLine="0"/>
              <w:rPr>
                <w:color w:val="0000FF"/>
              </w:rPr>
            </w:pPr>
            <w:r w:rsidRPr="00413588">
              <w:rPr>
                <w:color w:val="0000FF"/>
              </w:rPr>
              <w:t>The rating system defined in the KDOQI Guidelines was used to grade the strength of the Guideline recommendation. KDOQI defined grades as follows:</w:t>
            </w:r>
          </w:p>
          <w:p w14:paraId="64FA7BEE" w14:textId="77777777" w:rsidR="00413588" w:rsidRPr="00413588" w:rsidRDefault="00413588" w:rsidP="00413588">
            <w:pPr>
              <w:ind w:left="0" w:firstLine="0"/>
              <w:rPr>
                <w:color w:val="0000FF"/>
              </w:rPr>
            </w:pPr>
            <w:r w:rsidRPr="00413588">
              <w:rPr>
                <w:color w:val="0000FF"/>
              </w:rPr>
              <w:t>Grade A: It is strongly recommended that clinicians routinely follow the guideline for eligible patients. There is strong evidence that the practice improves health outcomes.</w:t>
            </w:r>
          </w:p>
          <w:p w14:paraId="7871432E" w14:textId="77777777" w:rsidR="00413588" w:rsidRPr="00413588" w:rsidRDefault="00413588" w:rsidP="00413588">
            <w:pPr>
              <w:ind w:left="0" w:firstLine="0"/>
              <w:rPr>
                <w:color w:val="0000FF"/>
              </w:rPr>
            </w:pPr>
            <w:r w:rsidRPr="00413588">
              <w:rPr>
                <w:color w:val="0000FF"/>
              </w:rPr>
              <w:t>Grade B: It is recommended that clinicians routinely follow the guideline for eligible patients. There is moderately strong evidence that the practice improves health outcomes.</w:t>
            </w:r>
          </w:p>
          <w:p w14:paraId="2C2B473B" w14:textId="77777777" w:rsidR="00413588" w:rsidRPr="00413588" w:rsidRDefault="00413588" w:rsidP="00413588">
            <w:pPr>
              <w:ind w:left="0" w:firstLine="0"/>
              <w:rPr>
                <w:color w:val="0000FF"/>
              </w:rPr>
            </w:pPr>
            <w:r w:rsidRPr="00413588">
              <w:rPr>
                <w:color w:val="0000FF"/>
              </w:rPr>
              <w:t>Grade CPR: It is recommended that clinicians consider following the guideline for eligible patients. This recommendation is based on either weak evidence or on the opinions of the Work Group and reviewers that the practice might improve health outcomes.</w:t>
            </w:r>
          </w:p>
          <w:p w14:paraId="55B8DA84" w14:textId="0C220C99" w:rsidR="00DF74B6" w:rsidRPr="00413588" w:rsidRDefault="00DF74B6" w:rsidP="00413588">
            <w:pPr>
              <w:rPr>
                <w:color w:val="0000FF"/>
              </w:rPr>
            </w:pPr>
          </w:p>
        </w:tc>
      </w:tr>
      <w:tr w:rsidR="00AB4ECE" w14:paraId="55B8DA8A" w14:textId="77777777" w:rsidTr="00413588">
        <w:tc>
          <w:tcPr>
            <w:tcW w:w="4675"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lastRenderedPageBreak/>
              <w:t>Quality – what type of studies?</w:t>
            </w:r>
          </w:p>
        </w:tc>
        <w:tc>
          <w:tcPr>
            <w:tcW w:w="4675" w:type="dxa"/>
          </w:tcPr>
          <w:p w14:paraId="55B8DA89" w14:textId="06AD8964" w:rsidR="008112D3" w:rsidRPr="006257CC" w:rsidRDefault="00FC5164" w:rsidP="002E2177">
            <w:pPr>
              <w:ind w:left="0" w:firstLine="0"/>
              <w:rPr>
                <w:color w:val="0000FF"/>
              </w:rPr>
            </w:pPr>
            <w:r>
              <w:rPr>
                <w:color w:val="0000FF"/>
              </w:rPr>
              <w:lastRenderedPageBreak/>
              <w:t>N/A</w:t>
            </w:r>
          </w:p>
        </w:tc>
      </w:tr>
      <w:tr w:rsidR="00AB4ECE" w14:paraId="55B8DA8D" w14:textId="77777777" w:rsidTr="00413588">
        <w:tc>
          <w:tcPr>
            <w:tcW w:w="4675" w:type="dxa"/>
          </w:tcPr>
          <w:p w14:paraId="55B8DA8B" w14:textId="77777777" w:rsidR="00AB4ECE" w:rsidRDefault="000E5C93" w:rsidP="002E2177">
            <w:pPr>
              <w:ind w:left="0" w:firstLine="0"/>
            </w:pPr>
            <w:r>
              <w:t xml:space="preserve">Estimates of benefit and consistency across studies </w:t>
            </w:r>
          </w:p>
        </w:tc>
        <w:tc>
          <w:tcPr>
            <w:tcW w:w="4675" w:type="dxa"/>
          </w:tcPr>
          <w:p w14:paraId="55B8DA8C" w14:textId="1711DC4D" w:rsidR="00AB4ECE" w:rsidRPr="006257CC" w:rsidRDefault="008112D3" w:rsidP="002E2177">
            <w:pPr>
              <w:ind w:left="0" w:firstLine="0"/>
              <w:rPr>
                <w:color w:val="0000FF"/>
              </w:rPr>
            </w:pPr>
            <w:r>
              <w:rPr>
                <w:color w:val="0000FF"/>
              </w:rPr>
              <w:t>N/A</w:t>
            </w:r>
          </w:p>
        </w:tc>
      </w:tr>
      <w:tr w:rsidR="000E5C93" w14:paraId="55B8DA90" w14:textId="77777777" w:rsidTr="00413588">
        <w:tc>
          <w:tcPr>
            <w:tcW w:w="4675" w:type="dxa"/>
          </w:tcPr>
          <w:p w14:paraId="55B8DA8E" w14:textId="77777777" w:rsidR="000E5C93" w:rsidRDefault="000E5C93" w:rsidP="002E2177">
            <w:pPr>
              <w:ind w:left="0" w:firstLine="0"/>
            </w:pPr>
            <w:r>
              <w:t>What harms were identified?</w:t>
            </w:r>
          </w:p>
        </w:tc>
        <w:tc>
          <w:tcPr>
            <w:tcW w:w="4675" w:type="dxa"/>
          </w:tcPr>
          <w:p w14:paraId="55B8DA8F" w14:textId="08ECD0F5" w:rsidR="000E5C93" w:rsidRPr="006257CC" w:rsidRDefault="008112D3" w:rsidP="00413588">
            <w:pPr>
              <w:ind w:left="0" w:firstLine="0"/>
              <w:rPr>
                <w:color w:val="0000FF"/>
              </w:rPr>
            </w:pPr>
            <w:r>
              <w:rPr>
                <w:color w:val="0000FF"/>
              </w:rPr>
              <w:t>N/A</w:t>
            </w:r>
          </w:p>
        </w:tc>
      </w:tr>
      <w:tr w:rsidR="000E5C93" w14:paraId="55B8DA93" w14:textId="77777777" w:rsidTr="00413588">
        <w:tc>
          <w:tcPr>
            <w:tcW w:w="4675" w:type="dxa"/>
          </w:tcPr>
          <w:p w14:paraId="55B8DA91" w14:textId="77777777" w:rsidR="000E5C93" w:rsidRDefault="000E5C93" w:rsidP="000E5C93">
            <w:pPr>
              <w:ind w:left="0" w:firstLine="0"/>
            </w:pPr>
            <w:r>
              <w:t>Identify any new studies conducted since the SR. Do the new studies change the conclusions from the SR?</w:t>
            </w:r>
          </w:p>
        </w:tc>
        <w:tc>
          <w:tcPr>
            <w:tcW w:w="4675" w:type="dxa"/>
          </w:tcPr>
          <w:p w14:paraId="05B80C20" w14:textId="77777777" w:rsidR="000E5C93" w:rsidRDefault="00BB3AC9" w:rsidP="002E2177">
            <w:pPr>
              <w:ind w:left="0" w:firstLine="0"/>
              <w:rPr>
                <w:color w:val="0000FF"/>
              </w:rPr>
            </w:pPr>
            <w:r w:rsidRPr="00BB3AC9">
              <w:rPr>
                <w:color w:val="0000FF"/>
              </w:rPr>
              <w:t xml:space="preserve">In May 2014, an additional literature search was performed. A recent comprehensive review on the subject [4] is included in the citations below as a result of that search.  This review continues to be supportive of the concept of monitoring </w:t>
            </w:r>
            <w:proofErr w:type="spellStart"/>
            <w:r w:rsidRPr="00BB3AC9">
              <w:rPr>
                <w:color w:val="0000FF"/>
              </w:rPr>
              <w:t>nPCR</w:t>
            </w:r>
            <w:proofErr w:type="spellEnd"/>
            <w:r w:rsidRPr="00BB3AC9">
              <w:rPr>
                <w:color w:val="0000FF"/>
              </w:rPr>
              <w:t xml:space="preserve"> as part of evaluation of Protein Energy Wasting (PEW) in children/adolescents on dialysis.</w:t>
            </w:r>
          </w:p>
          <w:p w14:paraId="6E499306" w14:textId="77777777" w:rsidR="00BB3AC9" w:rsidRDefault="00BB3AC9" w:rsidP="002E2177">
            <w:pPr>
              <w:ind w:left="0" w:firstLine="0"/>
              <w:rPr>
                <w:color w:val="0000FF"/>
              </w:rPr>
            </w:pPr>
          </w:p>
          <w:p w14:paraId="242F9645" w14:textId="5961300C" w:rsidR="00BB3AC9" w:rsidRPr="00B70300" w:rsidRDefault="00BB3AC9" w:rsidP="00B70300">
            <w:pPr>
              <w:pStyle w:val="ListParagraph"/>
              <w:numPr>
                <w:ilvl w:val="0"/>
                <w:numId w:val="19"/>
              </w:numPr>
              <w:spacing w:after="120"/>
              <w:rPr>
                <w:color w:val="0000FF"/>
                <w:szCs w:val="20"/>
              </w:rPr>
            </w:pPr>
            <w:r w:rsidRPr="00B70300">
              <w:rPr>
                <w:color w:val="0000FF"/>
                <w:szCs w:val="20"/>
              </w:rPr>
              <w:t xml:space="preserve">Goldstein, </w:t>
            </w:r>
            <w:proofErr w:type="spellStart"/>
            <w:r w:rsidRPr="00B70300">
              <w:rPr>
                <w:color w:val="0000FF"/>
                <w:szCs w:val="20"/>
              </w:rPr>
              <w:t>Baronette</w:t>
            </w:r>
            <w:proofErr w:type="spellEnd"/>
            <w:r w:rsidRPr="00B70300">
              <w:rPr>
                <w:color w:val="0000FF"/>
                <w:szCs w:val="20"/>
              </w:rPr>
              <w:t xml:space="preserve">, et al. </w:t>
            </w:r>
            <w:proofErr w:type="spellStart"/>
            <w:r w:rsidRPr="00B70300">
              <w:rPr>
                <w:color w:val="0000FF"/>
                <w:szCs w:val="20"/>
              </w:rPr>
              <w:t>nPCR</w:t>
            </w:r>
            <w:proofErr w:type="spellEnd"/>
            <w:r w:rsidRPr="00B70300">
              <w:rPr>
                <w:color w:val="0000FF"/>
                <w:szCs w:val="20"/>
              </w:rPr>
              <w:t xml:space="preserve"> assessment and IDPN treatment of malnutrition in pediatric hemodialysis patients. Pediatric Nephrology (2002) 17:531-534.</w:t>
            </w:r>
          </w:p>
          <w:p w14:paraId="50A4A95C" w14:textId="0B49AA03" w:rsidR="00BB3AC9" w:rsidRPr="00B70300" w:rsidRDefault="00BB3AC9" w:rsidP="00B70300">
            <w:pPr>
              <w:pStyle w:val="ListParagraph"/>
              <w:numPr>
                <w:ilvl w:val="0"/>
                <w:numId w:val="19"/>
              </w:numPr>
              <w:spacing w:after="120"/>
              <w:rPr>
                <w:color w:val="0000FF"/>
                <w:szCs w:val="20"/>
              </w:rPr>
            </w:pPr>
            <w:r w:rsidRPr="00B70300">
              <w:rPr>
                <w:color w:val="0000FF"/>
                <w:szCs w:val="20"/>
              </w:rPr>
              <w:t>Orellana P, Juarez-</w:t>
            </w:r>
            <w:proofErr w:type="spellStart"/>
            <w:r w:rsidRPr="00B70300">
              <w:rPr>
                <w:color w:val="0000FF"/>
                <w:szCs w:val="20"/>
              </w:rPr>
              <w:t>Congelosi</w:t>
            </w:r>
            <w:proofErr w:type="spellEnd"/>
            <w:r w:rsidRPr="00B70300">
              <w:rPr>
                <w:color w:val="0000FF"/>
                <w:szCs w:val="20"/>
              </w:rPr>
              <w:t xml:space="preserve"> M, Goldstein SL. Intradialytic parenteral nutrition treatment and biochemical marker assessment for malnutrition in adolescent maintenance hemodialysis patients. J Ren Nutrition 2005 Jul</w:t>
            </w:r>
            <w:proofErr w:type="gramStart"/>
            <w:r w:rsidRPr="00B70300">
              <w:rPr>
                <w:color w:val="0000FF"/>
                <w:szCs w:val="20"/>
              </w:rPr>
              <w:t>;15</w:t>
            </w:r>
            <w:proofErr w:type="gramEnd"/>
            <w:r w:rsidRPr="00B70300">
              <w:rPr>
                <w:color w:val="0000FF"/>
                <w:szCs w:val="20"/>
              </w:rPr>
              <w:t>(3):312-7.</w:t>
            </w:r>
          </w:p>
          <w:p w14:paraId="58021586" w14:textId="1A90983C" w:rsidR="00BB3AC9" w:rsidRPr="00B70300" w:rsidRDefault="00BB3AC9" w:rsidP="00B70300">
            <w:pPr>
              <w:pStyle w:val="ListParagraph"/>
              <w:numPr>
                <w:ilvl w:val="0"/>
                <w:numId w:val="19"/>
              </w:numPr>
              <w:spacing w:after="120"/>
              <w:rPr>
                <w:color w:val="0000FF"/>
                <w:szCs w:val="20"/>
              </w:rPr>
            </w:pPr>
            <w:r w:rsidRPr="00B70300">
              <w:rPr>
                <w:color w:val="0000FF"/>
                <w:szCs w:val="20"/>
              </w:rPr>
              <w:t>Juarez-</w:t>
            </w:r>
            <w:proofErr w:type="spellStart"/>
            <w:r w:rsidRPr="00B70300">
              <w:rPr>
                <w:color w:val="0000FF"/>
                <w:szCs w:val="20"/>
              </w:rPr>
              <w:t>Congelosi</w:t>
            </w:r>
            <w:proofErr w:type="spellEnd"/>
            <w:r w:rsidRPr="00B70300">
              <w:rPr>
                <w:color w:val="0000FF"/>
                <w:szCs w:val="20"/>
              </w:rPr>
              <w:t xml:space="preserve"> M, Orellana P, </w:t>
            </w:r>
            <w:proofErr w:type="gramStart"/>
            <w:r w:rsidRPr="00B70300">
              <w:rPr>
                <w:color w:val="0000FF"/>
                <w:szCs w:val="20"/>
              </w:rPr>
              <w:t>Goldstein</w:t>
            </w:r>
            <w:proofErr w:type="gramEnd"/>
            <w:r w:rsidRPr="00B70300">
              <w:rPr>
                <w:color w:val="0000FF"/>
                <w:szCs w:val="20"/>
              </w:rPr>
              <w:t xml:space="preserve"> SL: Normalized protein catabolic rate versus serum albumin as a nutrition status marker in pediatric patients receiving hemodialysis. J Ren </w:t>
            </w:r>
            <w:proofErr w:type="spellStart"/>
            <w:r w:rsidRPr="00B70300">
              <w:rPr>
                <w:color w:val="0000FF"/>
                <w:szCs w:val="20"/>
              </w:rPr>
              <w:t>Nutr</w:t>
            </w:r>
            <w:proofErr w:type="spellEnd"/>
            <w:r w:rsidRPr="00B70300">
              <w:rPr>
                <w:color w:val="0000FF"/>
                <w:szCs w:val="20"/>
              </w:rPr>
              <w:t xml:space="preserve"> 17:269-274, 2007.</w:t>
            </w:r>
          </w:p>
          <w:p w14:paraId="63008D1F" w14:textId="0DC78EFA" w:rsidR="00BB3AC9" w:rsidRPr="00B70300" w:rsidRDefault="00BB3AC9" w:rsidP="00B70300">
            <w:pPr>
              <w:pStyle w:val="ListParagraph"/>
              <w:numPr>
                <w:ilvl w:val="0"/>
                <w:numId w:val="19"/>
              </w:numPr>
              <w:rPr>
                <w:color w:val="0000FF"/>
                <w:sz w:val="24"/>
              </w:rPr>
            </w:pPr>
            <w:proofErr w:type="spellStart"/>
            <w:r w:rsidRPr="00B70300">
              <w:rPr>
                <w:color w:val="0000FF"/>
                <w:szCs w:val="20"/>
              </w:rPr>
              <w:t>Mastrangelo</w:t>
            </w:r>
            <w:proofErr w:type="spellEnd"/>
            <w:r w:rsidRPr="00B70300">
              <w:rPr>
                <w:color w:val="0000FF"/>
                <w:szCs w:val="20"/>
              </w:rPr>
              <w:t xml:space="preserve"> A, </w:t>
            </w:r>
            <w:proofErr w:type="spellStart"/>
            <w:r w:rsidRPr="00B70300">
              <w:rPr>
                <w:color w:val="0000FF"/>
                <w:szCs w:val="20"/>
              </w:rPr>
              <w:t>Paglialonga</w:t>
            </w:r>
            <w:proofErr w:type="spellEnd"/>
            <w:r w:rsidRPr="00B70300">
              <w:rPr>
                <w:color w:val="0000FF"/>
                <w:szCs w:val="20"/>
              </w:rPr>
              <w:t xml:space="preserve"> F, </w:t>
            </w:r>
            <w:proofErr w:type="spellStart"/>
            <w:r w:rsidRPr="00B70300">
              <w:rPr>
                <w:color w:val="0000FF"/>
                <w:szCs w:val="20"/>
              </w:rPr>
              <w:t>Edefonti</w:t>
            </w:r>
            <w:proofErr w:type="spellEnd"/>
            <w:r w:rsidRPr="00B70300">
              <w:rPr>
                <w:color w:val="0000FF"/>
                <w:szCs w:val="20"/>
              </w:rPr>
              <w:t xml:space="preserve"> A. Assessment of nutritional status in children with chronic kidney disease and on dialysis. </w:t>
            </w:r>
            <w:proofErr w:type="spellStart"/>
            <w:r w:rsidRPr="00B70300">
              <w:rPr>
                <w:color w:val="0000FF"/>
                <w:szCs w:val="20"/>
              </w:rPr>
              <w:t>Pediatr</w:t>
            </w:r>
            <w:proofErr w:type="spellEnd"/>
            <w:r w:rsidRPr="00B70300">
              <w:rPr>
                <w:color w:val="0000FF"/>
                <w:szCs w:val="20"/>
              </w:rPr>
              <w:t xml:space="preserve"> </w:t>
            </w:r>
            <w:proofErr w:type="spellStart"/>
            <w:r w:rsidRPr="00B70300">
              <w:rPr>
                <w:color w:val="0000FF"/>
                <w:szCs w:val="20"/>
              </w:rPr>
              <w:t>Nephrol</w:t>
            </w:r>
            <w:proofErr w:type="spellEnd"/>
            <w:r w:rsidRPr="00B70300">
              <w:rPr>
                <w:color w:val="0000FF"/>
                <w:szCs w:val="20"/>
              </w:rPr>
              <w:t>. 2014 Aug</w:t>
            </w:r>
            <w:proofErr w:type="gramStart"/>
            <w:r w:rsidRPr="00B70300">
              <w:rPr>
                <w:color w:val="0000FF"/>
                <w:szCs w:val="20"/>
              </w:rPr>
              <w:t>;29</w:t>
            </w:r>
            <w:proofErr w:type="gramEnd"/>
            <w:r w:rsidRPr="00B70300">
              <w:rPr>
                <w:color w:val="0000FF"/>
                <w:szCs w:val="20"/>
              </w:rPr>
              <w:t xml:space="preserve">(8):1349-58. </w:t>
            </w:r>
            <w:proofErr w:type="spellStart"/>
            <w:proofErr w:type="gramStart"/>
            <w:r w:rsidRPr="00B70300">
              <w:rPr>
                <w:color w:val="0000FF"/>
                <w:szCs w:val="20"/>
              </w:rPr>
              <w:t>doi</w:t>
            </w:r>
            <w:proofErr w:type="spellEnd"/>
            <w:proofErr w:type="gramEnd"/>
            <w:r w:rsidRPr="00B70300">
              <w:rPr>
                <w:color w:val="0000FF"/>
                <w:szCs w:val="20"/>
              </w:rPr>
              <w:t xml:space="preserve">: 10.1007/s00467-013-2612-7. </w:t>
            </w:r>
            <w:proofErr w:type="spellStart"/>
            <w:r w:rsidRPr="00B70300">
              <w:rPr>
                <w:color w:val="0000FF"/>
                <w:szCs w:val="20"/>
              </w:rPr>
              <w:t>Epub</w:t>
            </w:r>
            <w:proofErr w:type="spellEnd"/>
            <w:r w:rsidRPr="00B70300">
              <w:rPr>
                <w:color w:val="0000FF"/>
                <w:szCs w:val="20"/>
              </w:rPr>
              <w:t xml:space="preserve"> 2013 Sep 5.</w:t>
            </w:r>
          </w:p>
          <w:p w14:paraId="2732B721" w14:textId="77777777" w:rsidR="00BB3AC9" w:rsidRDefault="00BB3AC9" w:rsidP="00BB3AC9">
            <w:pPr>
              <w:ind w:left="0" w:firstLine="0"/>
              <w:rPr>
                <w:color w:val="0000FF"/>
              </w:rPr>
            </w:pPr>
          </w:p>
          <w:p w14:paraId="55B8DA92" w14:textId="5361E98C" w:rsidR="00BB3AC9" w:rsidRPr="006257CC" w:rsidRDefault="00BB3AC9" w:rsidP="002E2177">
            <w:pPr>
              <w:ind w:left="0" w:firstLine="0"/>
              <w:rPr>
                <w:color w:val="0000FF"/>
              </w:rPr>
            </w:pPr>
          </w:p>
        </w:tc>
      </w:tr>
    </w:tbl>
    <w:p w14:paraId="55B8DA94" w14:textId="77777777" w:rsidR="007C1887" w:rsidRPr="003B1CC5" w:rsidRDefault="007C1887" w:rsidP="002E2177">
      <w:pPr>
        <w:ind w:left="0" w:firstLine="0"/>
      </w:pPr>
    </w:p>
    <w:p w14:paraId="27865A80" w14:textId="77777777" w:rsidR="00B70300" w:rsidRDefault="00B70300" w:rsidP="002E2177">
      <w:pPr>
        <w:ind w:left="0" w:firstLine="0"/>
        <w:rPr>
          <w:b/>
          <w:iCs/>
          <w:caps/>
        </w:rPr>
      </w:pPr>
    </w:p>
    <w:p w14:paraId="01E733B2" w14:textId="77777777" w:rsidR="00B70300" w:rsidRDefault="00B70300" w:rsidP="002E2177">
      <w:pPr>
        <w:ind w:left="0" w:firstLine="0"/>
        <w:rPr>
          <w:b/>
          <w:iCs/>
          <w:caps/>
        </w:rPr>
      </w:pPr>
    </w:p>
    <w:p w14:paraId="55B8DA95" w14:textId="6979D4D7" w:rsidR="0094689F" w:rsidRPr="003B1CC5" w:rsidRDefault="00925F11" w:rsidP="002E2177">
      <w:pPr>
        <w:ind w:left="0" w:firstLine="0"/>
        <w:rPr>
          <w:b/>
          <w:color w:val="0070C0"/>
        </w:rPr>
      </w:pPr>
      <w:bookmarkStart w:id="6" w:name="_GoBack"/>
      <w:bookmarkEnd w:id="6"/>
      <w:r w:rsidRPr="003B1CC5">
        <w:rPr>
          <w:b/>
          <w:iCs/>
          <w:caps/>
        </w:rPr>
        <w:lastRenderedPageBreak/>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49B2111D"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4F474ED0" w14:textId="0C1E1759" w:rsidR="006257CC" w:rsidRPr="006257CC" w:rsidRDefault="006257CC" w:rsidP="002E2177">
      <w:pPr>
        <w:ind w:left="0" w:firstLine="0"/>
        <w:rPr>
          <w:color w:val="0000FF"/>
        </w:rPr>
      </w:pPr>
      <w:r w:rsidRPr="006257CC">
        <w:rPr>
          <w:color w:val="0000FF"/>
        </w:rPr>
        <w:t>N/A</w:t>
      </w:r>
    </w:p>
    <w:p w14:paraId="55B8DA9A" w14:textId="77777777" w:rsidR="000E5C93" w:rsidRDefault="000E5C93" w:rsidP="002E2177">
      <w:pPr>
        <w:ind w:left="0" w:firstLine="0"/>
        <w:rPr>
          <w:b/>
        </w:rPr>
      </w:pPr>
    </w:p>
    <w:p w14:paraId="55B8DA9B" w14:textId="1CDBB65C" w:rsidR="00837121" w:rsidRDefault="000E5C93" w:rsidP="002E2177">
      <w:pPr>
        <w:ind w:left="0" w:firstLine="0"/>
        <w:rPr>
          <w:b/>
        </w:rPr>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283267F5" w14:textId="609D9336" w:rsidR="001771D0" w:rsidRPr="001771D0" w:rsidRDefault="006257CC" w:rsidP="001771D0">
      <w:pPr>
        <w:ind w:left="0" w:firstLine="0"/>
        <w:rPr>
          <w:color w:val="0000FF"/>
        </w:rPr>
      </w:pPr>
      <w:r>
        <w:rPr>
          <w:color w:val="0000FF"/>
        </w:rPr>
        <w:br/>
      </w:r>
      <w:r w:rsidR="00BB3AC9" w:rsidRPr="006257CC">
        <w:rPr>
          <w:color w:val="0000FF"/>
        </w:rPr>
        <w:t>N/A</w:t>
      </w:r>
      <w:r w:rsidR="00BB3AC9" w:rsidRPr="001771D0" w:rsidDel="00BB3AC9">
        <w:rPr>
          <w:color w:val="0000FF"/>
        </w:rPr>
        <w:t xml:space="preserve"> </w:t>
      </w:r>
    </w:p>
    <w:p w14:paraId="33EFAD08" w14:textId="5B36356D" w:rsidR="006257CC" w:rsidRPr="003B1CC5" w:rsidRDefault="006257CC" w:rsidP="002E2177">
      <w:pPr>
        <w:ind w:left="0" w:firstLine="0"/>
      </w:pPr>
    </w:p>
    <w:p w14:paraId="55B8DA9C" w14:textId="77777777" w:rsidR="00837121" w:rsidRPr="003B1CC5" w:rsidRDefault="00837121" w:rsidP="002E2177">
      <w:pPr>
        <w:ind w:left="0" w:firstLine="0"/>
      </w:pPr>
    </w:p>
    <w:p w14:paraId="55B8DA9D" w14:textId="6F59C597"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1F478909" w14:textId="7D6CB04C" w:rsidR="006257CC" w:rsidRDefault="00BB3AC9" w:rsidP="002E2177">
      <w:pPr>
        <w:ind w:left="0" w:firstLine="0"/>
        <w:rPr>
          <w:color w:val="0000FF"/>
        </w:rPr>
      </w:pPr>
      <w:r w:rsidRPr="006257CC">
        <w:rPr>
          <w:color w:val="0000FF"/>
        </w:rPr>
        <w:t>N/A</w:t>
      </w:r>
    </w:p>
    <w:sectPr w:rsidR="006257CC">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602270C7"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B70300">
      <w:rPr>
        <w:noProof/>
      </w:rPr>
      <w:t>6</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4F0A"/>
    <w:multiLevelType w:val="hybridMultilevel"/>
    <w:tmpl w:val="E722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038F4"/>
    <w:multiLevelType w:val="hybridMultilevel"/>
    <w:tmpl w:val="9B5A5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3440184"/>
    <w:multiLevelType w:val="hybridMultilevel"/>
    <w:tmpl w:val="7C4CEC2E"/>
    <w:lvl w:ilvl="0" w:tplc="4386FA6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D724B2F"/>
    <w:multiLevelType w:val="hybridMultilevel"/>
    <w:tmpl w:val="2E7EF4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19277AD"/>
    <w:multiLevelType w:val="hybridMultilevel"/>
    <w:tmpl w:val="FE56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486E58"/>
    <w:multiLevelType w:val="hybridMultilevel"/>
    <w:tmpl w:val="9552DD5A"/>
    <w:lvl w:ilvl="0" w:tplc="BA9C6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ED93B0C"/>
    <w:multiLevelType w:val="hybridMultilevel"/>
    <w:tmpl w:val="1166E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877A1F"/>
    <w:multiLevelType w:val="hybridMultilevel"/>
    <w:tmpl w:val="173471C4"/>
    <w:lvl w:ilvl="0" w:tplc="0798A3F6">
      <w:start w:val="1"/>
      <w:numFmt w:val="lowerRoman"/>
      <w:lvlText w:val="%1."/>
      <w:lvlJc w:val="left"/>
      <w:pPr>
        <w:ind w:left="1440" w:hanging="72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1"/>
  </w:num>
  <w:num w:numId="3">
    <w:abstractNumId w:val="3"/>
  </w:num>
  <w:num w:numId="4">
    <w:abstractNumId w:val="4"/>
  </w:num>
  <w:num w:numId="5">
    <w:abstractNumId w:val="6"/>
  </w:num>
  <w:num w:numId="6">
    <w:abstractNumId w:val="5"/>
  </w:num>
  <w:num w:numId="7">
    <w:abstractNumId w:val="15"/>
  </w:num>
  <w:num w:numId="8">
    <w:abstractNumId w:val="14"/>
  </w:num>
  <w:num w:numId="9">
    <w:abstractNumId w:val="17"/>
  </w:num>
  <w:num w:numId="10">
    <w:abstractNumId w:val="1"/>
  </w:num>
  <w:num w:numId="11">
    <w:abstractNumId w:val="9"/>
  </w:num>
  <w:num w:numId="12">
    <w:abstractNumId w:val="12"/>
  </w:num>
  <w:num w:numId="13">
    <w:abstractNumId w:val="13"/>
  </w:num>
  <w:num w:numId="14">
    <w:abstractNumId w:val="0"/>
  </w:num>
  <w:num w:numId="15">
    <w:abstractNumId w:val="10"/>
  </w:num>
  <w:num w:numId="16">
    <w:abstractNumId w:val="18"/>
  </w:num>
  <w:num w:numId="17">
    <w:abstractNumId w:val="2"/>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E74CD"/>
    <w:rsid w:val="000F3133"/>
    <w:rsid w:val="000F4A7F"/>
    <w:rsid w:val="00114848"/>
    <w:rsid w:val="00120934"/>
    <w:rsid w:val="00132070"/>
    <w:rsid w:val="00141875"/>
    <w:rsid w:val="0014347E"/>
    <w:rsid w:val="00154438"/>
    <w:rsid w:val="001551F6"/>
    <w:rsid w:val="0015535B"/>
    <w:rsid w:val="00162036"/>
    <w:rsid w:val="001632DD"/>
    <w:rsid w:val="00176E60"/>
    <w:rsid w:val="001771D0"/>
    <w:rsid w:val="00194913"/>
    <w:rsid w:val="00194D9A"/>
    <w:rsid w:val="001A196B"/>
    <w:rsid w:val="001A6D05"/>
    <w:rsid w:val="001B38BF"/>
    <w:rsid w:val="001B772D"/>
    <w:rsid w:val="001D5B5D"/>
    <w:rsid w:val="001E4FBA"/>
    <w:rsid w:val="001E6153"/>
    <w:rsid w:val="00201FF9"/>
    <w:rsid w:val="00205857"/>
    <w:rsid w:val="00235ADC"/>
    <w:rsid w:val="00236F87"/>
    <w:rsid w:val="00265702"/>
    <w:rsid w:val="002662B2"/>
    <w:rsid w:val="002717C7"/>
    <w:rsid w:val="002875E9"/>
    <w:rsid w:val="00287EB3"/>
    <w:rsid w:val="002A1079"/>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3588"/>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22B63"/>
    <w:rsid w:val="00537150"/>
    <w:rsid w:val="00540984"/>
    <w:rsid w:val="00543851"/>
    <w:rsid w:val="0055559D"/>
    <w:rsid w:val="005569AE"/>
    <w:rsid w:val="00563C95"/>
    <w:rsid w:val="005857F8"/>
    <w:rsid w:val="00590510"/>
    <w:rsid w:val="005B0D18"/>
    <w:rsid w:val="005B12C3"/>
    <w:rsid w:val="005B409D"/>
    <w:rsid w:val="005D0FDB"/>
    <w:rsid w:val="005D25E9"/>
    <w:rsid w:val="005D6D59"/>
    <w:rsid w:val="0061327A"/>
    <w:rsid w:val="00617390"/>
    <w:rsid w:val="00623420"/>
    <w:rsid w:val="006257CC"/>
    <w:rsid w:val="00634768"/>
    <w:rsid w:val="0063596F"/>
    <w:rsid w:val="006709EB"/>
    <w:rsid w:val="006716F8"/>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12D3"/>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39AD"/>
    <w:rsid w:val="00A44FF0"/>
    <w:rsid w:val="00A50E55"/>
    <w:rsid w:val="00A67EB1"/>
    <w:rsid w:val="00A8730E"/>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0300"/>
    <w:rsid w:val="00B74629"/>
    <w:rsid w:val="00B91F58"/>
    <w:rsid w:val="00BA579E"/>
    <w:rsid w:val="00BB3AC9"/>
    <w:rsid w:val="00BE2295"/>
    <w:rsid w:val="00BE3111"/>
    <w:rsid w:val="00BE6373"/>
    <w:rsid w:val="00BF533A"/>
    <w:rsid w:val="00C41794"/>
    <w:rsid w:val="00C46677"/>
    <w:rsid w:val="00C5180E"/>
    <w:rsid w:val="00C54E40"/>
    <w:rsid w:val="00C55F56"/>
    <w:rsid w:val="00C57BA4"/>
    <w:rsid w:val="00C613EB"/>
    <w:rsid w:val="00C71C1A"/>
    <w:rsid w:val="00C84623"/>
    <w:rsid w:val="00CA0B4B"/>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DF74B6"/>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3CC1"/>
    <w:rsid w:val="00F97327"/>
    <w:rsid w:val="00FA296F"/>
    <w:rsid w:val="00FA7323"/>
    <w:rsid w:val="00FB1299"/>
    <w:rsid w:val="00FC32D3"/>
    <w:rsid w:val="00FC5164"/>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ighlight">
    <w:name w:val="highlight"/>
    <w:basedOn w:val="DefaultParagraphFont"/>
    <w:rsid w:val="0056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61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D9EAC6077814B12A49E3A00F6B5B00E"/>
        <w:category>
          <w:name w:val="General"/>
          <w:gallery w:val="placeholder"/>
        </w:category>
        <w:types>
          <w:type w:val="bbPlcHdr"/>
        </w:types>
        <w:behaviors>
          <w:behavior w:val="content"/>
        </w:behaviors>
        <w:guid w:val="{FD0D38F7-7037-4A3D-A35C-85A715A8F532}"/>
      </w:docPartPr>
      <w:docPartBody>
        <w:p w:rsidR="00D775D8" w:rsidRDefault="007D283C" w:rsidP="007D283C">
          <w:pPr>
            <w:pStyle w:val="5D9EAC6077814B12A49E3A00F6B5B00E"/>
          </w:pPr>
          <w:r w:rsidRPr="003B1CC5">
            <w:rPr>
              <w:rStyle w:val="PlaceholderText"/>
              <w:rFonts w:cstheme="minorHAnsi"/>
              <w:color w:val="A6A6A6" w:themeColor="background1" w:themeShade="A6"/>
            </w:rPr>
            <w:t>Click here to enter measure title</w:t>
          </w:r>
        </w:p>
      </w:docPartBody>
    </w:docPart>
    <w:docPart>
      <w:docPartPr>
        <w:name w:val="322D7469ED704723BB557ACB1FD45C5C"/>
        <w:category>
          <w:name w:val="General"/>
          <w:gallery w:val="placeholder"/>
        </w:category>
        <w:types>
          <w:type w:val="bbPlcHdr"/>
        </w:types>
        <w:behaviors>
          <w:behavior w:val="content"/>
        </w:behaviors>
        <w:guid w:val="{14BE1528-2102-4633-A9CF-975FED7CA422}"/>
      </w:docPartPr>
      <w:docPartBody>
        <w:p w:rsidR="0036796B" w:rsidRDefault="00D775D8" w:rsidP="00D775D8">
          <w:pPr>
            <w:pStyle w:val="322D7469ED704723BB557ACB1FD45C5C"/>
          </w:pPr>
          <w:r w:rsidRPr="003B1CC5">
            <w:rPr>
              <w:rStyle w:val="PlaceholderText"/>
            </w:rPr>
            <w:t>Click here to enter NQF number</w:t>
          </w:r>
        </w:p>
      </w:docPartBody>
    </w:docPart>
    <w:docPart>
      <w:docPartPr>
        <w:name w:val="15E62E71A05D47D9BEEBEE9875565FF3"/>
        <w:category>
          <w:name w:val="General"/>
          <w:gallery w:val="placeholder"/>
        </w:category>
        <w:types>
          <w:type w:val="bbPlcHdr"/>
        </w:types>
        <w:behaviors>
          <w:behavior w:val="content"/>
        </w:behaviors>
        <w:guid w:val="{A61AFA2C-52AB-474B-9E32-333465D56B79}"/>
      </w:docPartPr>
      <w:docPartBody>
        <w:p w:rsidR="0036796B" w:rsidRDefault="00D775D8" w:rsidP="00D775D8">
          <w:pPr>
            <w:pStyle w:val="15E62E71A05D47D9BEEBEE9875565FF3"/>
          </w:pPr>
          <w:r w:rsidRPr="003B1CC5">
            <w:rPr>
              <w:rStyle w:val="PlaceholderText"/>
              <w:rFonts w:cstheme="minorHAnsi"/>
              <w:color w:val="A6A6A6" w:themeColor="background1" w:themeShade="A6"/>
            </w:rPr>
            <w:t>Click here to enter measure title</w:t>
          </w:r>
        </w:p>
      </w:docPartBody>
    </w:docPart>
    <w:docPart>
      <w:docPartPr>
        <w:name w:val="2486BCFB44B84D8E8AD5F597119C6AFE"/>
        <w:category>
          <w:name w:val="General"/>
          <w:gallery w:val="placeholder"/>
        </w:category>
        <w:types>
          <w:type w:val="bbPlcHdr"/>
        </w:types>
        <w:behaviors>
          <w:behavior w:val="content"/>
        </w:behaviors>
        <w:guid w:val="{1E2A83EF-6CB7-4217-87EA-7A74B48BB90F}"/>
      </w:docPartPr>
      <w:docPartBody>
        <w:p w:rsidR="003E67B2" w:rsidRDefault="00F574A4" w:rsidP="00F574A4">
          <w:pPr>
            <w:pStyle w:val="2486BCFB44B84D8E8AD5F597119C6AFE"/>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6796B"/>
    <w:rsid w:val="003A1E4B"/>
    <w:rsid w:val="003E67B2"/>
    <w:rsid w:val="00455EB5"/>
    <w:rsid w:val="00461C1C"/>
    <w:rsid w:val="004E2027"/>
    <w:rsid w:val="005F21F3"/>
    <w:rsid w:val="007D283C"/>
    <w:rsid w:val="008F6A9B"/>
    <w:rsid w:val="00A77B15"/>
    <w:rsid w:val="00BE0F2D"/>
    <w:rsid w:val="00C03643"/>
    <w:rsid w:val="00C2797F"/>
    <w:rsid w:val="00C80225"/>
    <w:rsid w:val="00D228C9"/>
    <w:rsid w:val="00D2552B"/>
    <w:rsid w:val="00D75B64"/>
    <w:rsid w:val="00D775D8"/>
    <w:rsid w:val="00DB5324"/>
    <w:rsid w:val="00E97654"/>
    <w:rsid w:val="00EA555A"/>
    <w:rsid w:val="00F574A4"/>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74A4"/>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D9EAC6077814B12A49E3A00F6B5B00E">
    <w:name w:val="5D9EAC6077814B12A49E3A00F6B5B00E"/>
    <w:rsid w:val="007D283C"/>
    <w:pPr>
      <w:spacing w:after="160" w:line="259" w:lineRule="auto"/>
    </w:pPr>
  </w:style>
  <w:style w:type="paragraph" w:customStyle="1" w:styleId="322D7469ED704723BB557ACB1FD45C5C">
    <w:name w:val="322D7469ED704723BB557ACB1FD45C5C"/>
    <w:rsid w:val="00D775D8"/>
    <w:pPr>
      <w:spacing w:after="160" w:line="259" w:lineRule="auto"/>
    </w:pPr>
  </w:style>
  <w:style w:type="paragraph" w:customStyle="1" w:styleId="15E62E71A05D47D9BEEBEE9875565FF3">
    <w:name w:val="15E62E71A05D47D9BEEBEE9875565FF3"/>
    <w:rsid w:val="00D775D8"/>
    <w:pPr>
      <w:spacing w:after="160" w:line="259" w:lineRule="auto"/>
    </w:pPr>
  </w:style>
  <w:style w:type="paragraph" w:customStyle="1" w:styleId="2486BCFB44B84D8E8AD5F597119C6AFE">
    <w:name w:val="2486BCFB44B84D8E8AD5F597119C6AFE"/>
    <w:rsid w:val="00F574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purl.org/dc/dcmitype/"/>
    <ds:schemaRef ds:uri="http://www.w3.org/XML/1998/namespace"/>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836b82f1-340d-495e-85b5-201c5296619a"/>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CE507C89-EDBD-4A8B-B059-FA42387E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1927</Words>
  <Characters>10984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Jennifer Sardone</cp:lastModifiedBy>
  <cp:revision>16</cp:revision>
  <dcterms:created xsi:type="dcterms:W3CDTF">2018-11-02T15:14:00Z</dcterms:created>
  <dcterms:modified xsi:type="dcterms:W3CDTF">2019-04-02T13:56:00Z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