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413BBD32"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F01CFC">
            <w:rPr>
              <w:rStyle w:val="Style1"/>
            </w:rPr>
            <w:t>142</w:t>
          </w:r>
          <w:r w:rsidR="00DD182C">
            <w:rPr>
              <w:rStyle w:val="Style1"/>
            </w:rPr>
            <w:t>5</w:t>
          </w:r>
        </w:sdtContent>
      </w:sdt>
    </w:p>
    <w:p w14:paraId="0CABCF56" w14:textId="1870253E"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rPr>
              <w:id w:val="-2010898808"/>
              <w:placeholder>
                <w:docPart w:val="224918BE5A9043D7A246A37E2B9A74A9"/>
              </w:placeholder>
            </w:sdtPr>
            <w:sdtEndPr>
              <w:rPr>
                <w:rStyle w:val="DefaultParagraphFont"/>
                <w:noProof/>
                <w:color w:val="auto"/>
              </w:rPr>
            </w:sdtEndPr>
            <w:sdtContent>
              <w:r w:rsidR="00DD182C" w:rsidRPr="00DD182C">
                <w:t>Measurement of nPCR for Pediatric Hemodialysis Patients</w:t>
              </w:r>
            </w:sdtContent>
          </w:sdt>
          <w:r w:rsidR="00255D0C">
            <w:rPr>
              <w:rFonts w:cstheme="minorHAnsi"/>
              <w:noProof/>
            </w:rPr>
            <w:t xml:space="preserve"> </w:t>
          </w:r>
        </w:sdtContent>
      </w:sdt>
    </w:p>
    <w:p w14:paraId="0CABCF57" w14:textId="5C850BD8"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9-01-07T00:00:00Z">
            <w:dateFormat w:val="M/d/yyyy"/>
            <w:lid w:val="en-US"/>
            <w:storeMappedDataAs w:val="dateTime"/>
            <w:calendar w:val="gregorian"/>
          </w:date>
        </w:sdtPr>
        <w:sdtEndPr>
          <w:rPr>
            <w:rStyle w:val="DefaultParagraphFont"/>
            <w:noProof/>
            <w:color w:val="auto"/>
            <w:u w:val="none"/>
          </w:rPr>
        </w:sdtEndPr>
        <w:sdtContent>
          <w:r w:rsidR="00C92C7A">
            <w:rPr>
              <w:rStyle w:val="Style2"/>
              <w:rFonts w:cstheme="minorHAnsi"/>
            </w:rPr>
            <w:t>1/7/2019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9042A4"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9042A4"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61396BE7" w:rsidR="000B7D57" w:rsidRPr="00C775CE" w:rsidRDefault="009042A4" w:rsidP="00CD364B">
            <w:pPr>
              <w:autoSpaceDE w:val="0"/>
              <w:autoSpaceDN w:val="0"/>
              <w:adjustRightInd w:val="0"/>
              <w:rPr>
                <w:rFonts w:cstheme="minorHAnsi"/>
                <w:bCs/>
                <w:color w:val="0000FF"/>
              </w:rPr>
            </w:pPr>
            <w:sdt>
              <w:sdtPr>
                <w:rPr>
                  <w:rFonts w:cstheme="minorHAnsi"/>
                  <w:bCs/>
                  <w:color w:val="0000FF"/>
                </w:rPr>
                <w:id w:val="6546530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9042A4"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9042A4"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9042A4"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9042A4"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9042A4"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9042A4"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1DD87133" w:rsidR="00A01494" w:rsidRPr="000F1B7A" w:rsidRDefault="009042A4"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110A3ECB" w:rsidR="00A01494" w:rsidRPr="000F1B7A" w:rsidRDefault="009042A4"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0B1F2088" w:rsidR="00A01494" w:rsidRPr="000F1B7A" w:rsidRDefault="009042A4"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r w:rsidR="00255D0C">
              <w:rPr>
                <w:rFonts w:eastAsia="MS Gothic" w:cstheme="minorHAnsi"/>
                <w:bCs/>
              </w:rPr>
              <w:t xml:space="preserve"> </w:t>
            </w:r>
          </w:p>
        </w:tc>
        <w:tc>
          <w:tcPr>
            <w:tcW w:w="4847" w:type="dxa"/>
          </w:tcPr>
          <w:p w14:paraId="0CABCFA2" w14:textId="36BF59D1" w:rsidR="00A01494" w:rsidRPr="000F1B7A" w:rsidRDefault="009042A4"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9042A4"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9042A4"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9042A4"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9042A4"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9042A4"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9042A4"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2C916607" w:rsidR="009E1846" w:rsidRDefault="009E1846" w:rsidP="00DB3627">
      <w:pPr>
        <w:autoSpaceDE w:val="0"/>
        <w:autoSpaceDN w:val="0"/>
        <w:adjustRightInd w:val="0"/>
        <w:spacing w:after="0" w:line="240" w:lineRule="auto"/>
        <w:rPr>
          <w:rFonts w:cstheme="minorHAnsi"/>
          <w:b/>
        </w:rPr>
      </w:pPr>
    </w:p>
    <w:p w14:paraId="4680F148" w14:textId="77777777" w:rsidR="0001066C" w:rsidRPr="00F01CFC" w:rsidRDefault="0001066C" w:rsidP="0001066C">
      <w:pPr>
        <w:autoSpaceDE w:val="0"/>
        <w:autoSpaceDN w:val="0"/>
        <w:adjustRightInd w:val="0"/>
        <w:spacing w:after="0" w:line="240" w:lineRule="auto"/>
        <w:rPr>
          <w:rFonts w:cstheme="minorHAnsi"/>
          <w:bCs/>
        </w:rPr>
      </w:pPr>
      <w:r w:rsidRPr="00F01CFC">
        <w:rPr>
          <w:rFonts w:cstheme="minorHAnsi"/>
          <w:bCs/>
        </w:rPr>
        <w:t>CROWNWeb and Medicare Claims Data from January 2013 to December 2013</w:t>
      </w:r>
    </w:p>
    <w:p w14:paraId="3A97EC29" w14:textId="77777777" w:rsidR="0001066C" w:rsidRDefault="0001066C" w:rsidP="00255D0C">
      <w:pPr>
        <w:autoSpaceDE w:val="0"/>
        <w:autoSpaceDN w:val="0"/>
        <w:adjustRightInd w:val="0"/>
        <w:spacing w:after="0" w:line="240" w:lineRule="auto"/>
        <w:rPr>
          <w:rFonts w:cstheme="minorHAnsi"/>
          <w:bCs/>
        </w:rPr>
      </w:pPr>
    </w:p>
    <w:p w14:paraId="30546C2E" w14:textId="5CEDACB3" w:rsidR="00255D0C" w:rsidRPr="0001066C" w:rsidRDefault="0001066C" w:rsidP="00255D0C">
      <w:pPr>
        <w:autoSpaceDE w:val="0"/>
        <w:autoSpaceDN w:val="0"/>
        <w:adjustRightInd w:val="0"/>
        <w:spacing w:after="0" w:line="240" w:lineRule="auto"/>
        <w:rPr>
          <w:rFonts w:cstheme="minorHAnsi"/>
          <w:bCs/>
          <w:color w:val="FF0000"/>
        </w:rPr>
      </w:pPr>
      <w:r w:rsidRPr="0001066C">
        <w:rPr>
          <w:rFonts w:cstheme="minorHAnsi"/>
          <w:bCs/>
          <w:color w:val="FF0000"/>
        </w:rPr>
        <w:t xml:space="preserve">For the Spring 2019 maintenance submission, </w:t>
      </w:r>
      <w:r w:rsidR="00F01CFC" w:rsidRPr="0001066C">
        <w:rPr>
          <w:rFonts w:cstheme="minorHAnsi"/>
          <w:bCs/>
          <w:color w:val="FF0000"/>
        </w:rPr>
        <w:t>CROWNWeb and Medicare Claims Data from January 201</w:t>
      </w:r>
      <w:r w:rsidR="0038025A" w:rsidRPr="0001066C">
        <w:rPr>
          <w:rFonts w:cstheme="minorHAnsi"/>
          <w:bCs/>
          <w:color w:val="FF0000"/>
        </w:rPr>
        <w:t>7</w:t>
      </w:r>
      <w:r w:rsidR="00F01CFC" w:rsidRPr="0001066C">
        <w:rPr>
          <w:rFonts w:cstheme="minorHAnsi"/>
          <w:bCs/>
          <w:color w:val="FF0000"/>
        </w:rPr>
        <w:t xml:space="preserve"> to December 201</w:t>
      </w:r>
      <w:r w:rsidR="0038025A" w:rsidRPr="0001066C">
        <w:rPr>
          <w:rFonts w:cstheme="minorHAnsi"/>
          <w:bCs/>
          <w:color w:val="FF0000"/>
        </w:rPr>
        <w:t>7</w:t>
      </w:r>
      <w:r w:rsidR="00DE145A" w:rsidRPr="0001066C">
        <w:rPr>
          <w:rFonts w:cstheme="minorHAnsi"/>
          <w:bCs/>
          <w:color w:val="FF0000"/>
        </w:rPr>
        <w:t>.</w:t>
      </w:r>
    </w:p>
    <w:p w14:paraId="6103EF23" w14:textId="77777777" w:rsidR="00255D0C" w:rsidRDefault="00255D0C" w:rsidP="00DB3627">
      <w:pPr>
        <w:autoSpaceDE w:val="0"/>
        <w:autoSpaceDN w:val="0"/>
        <w:adjustRightInd w:val="0"/>
        <w:spacing w:after="0" w:line="240" w:lineRule="auto"/>
        <w:rPr>
          <w:rFonts w:cstheme="minorHAnsi"/>
          <w:b/>
        </w:rPr>
      </w:pPr>
    </w:p>
    <w:p w14:paraId="0CABCFB0" w14:textId="4D469EB2"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sz w:val="20"/>
            <w:szCs w:val="20"/>
          </w:rPr>
          <w:id w:val="950514773"/>
          <w:text/>
        </w:sdtPr>
        <w:sdtEndPr/>
        <w:sdtContent>
          <w:r w:rsidR="0038025A">
            <w:rPr>
              <w:sz w:val="20"/>
              <w:szCs w:val="20"/>
            </w:rPr>
            <w:t>January 201</w:t>
          </w:r>
          <w:r w:rsidR="0001066C">
            <w:rPr>
              <w:sz w:val="20"/>
              <w:szCs w:val="20"/>
            </w:rPr>
            <w:t>3</w:t>
          </w:r>
          <w:r w:rsidR="0038025A" w:rsidRPr="00F01CFC">
            <w:rPr>
              <w:sz w:val="20"/>
              <w:szCs w:val="20"/>
            </w:rPr>
            <w:t xml:space="preserve"> to December 201</w:t>
          </w:r>
          <w:r w:rsidR="0001066C">
            <w:rPr>
              <w:sz w:val="20"/>
              <w:szCs w:val="20"/>
            </w:rPr>
            <w:t>3</w:t>
          </w:r>
        </w:sdtContent>
      </w:sdt>
    </w:p>
    <w:p w14:paraId="0CABCFB1" w14:textId="1A7339B8" w:rsidR="000574AB" w:rsidRDefault="000574AB" w:rsidP="00DB3627">
      <w:pPr>
        <w:autoSpaceDE w:val="0"/>
        <w:autoSpaceDN w:val="0"/>
        <w:adjustRightInd w:val="0"/>
        <w:spacing w:after="0" w:line="240" w:lineRule="auto"/>
        <w:rPr>
          <w:rFonts w:cstheme="minorHAnsi"/>
          <w:bCs/>
        </w:rPr>
      </w:pPr>
    </w:p>
    <w:p w14:paraId="5179FE8A" w14:textId="34051C8D" w:rsidR="0001066C" w:rsidRDefault="0001066C" w:rsidP="0001066C">
      <w:pPr>
        <w:autoSpaceDE w:val="0"/>
        <w:autoSpaceDN w:val="0"/>
        <w:adjustRightInd w:val="0"/>
        <w:spacing w:after="0" w:line="240" w:lineRule="auto"/>
        <w:rPr>
          <w:rFonts w:cstheme="minorHAnsi"/>
          <w:bCs/>
          <w:color w:val="FF0000"/>
        </w:rPr>
      </w:pPr>
      <w:r w:rsidRPr="0001066C">
        <w:rPr>
          <w:rFonts w:cstheme="minorHAnsi"/>
          <w:bCs/>
          <w:color w:val="FF0000"/>
        </w:rPr>
        <w:t>For the Spring 2019 maintenance submission,</w:t>
      </w:r>
      <w:r w:rsidRPr="0001066C">
        <w:t xml:space="preserve"> </w:t>
      </w:r>
      <w:r w:rsidRPr="0001066C">
        <w:rPr>
          <w:rFonts w:cstheme="minorHAnsi"/>
          <w:bCs/>
          <w:color w:val="FF0000"/>
        </w:rPr>
        <w:t>January 2017 to December 2017</w:t>
      </w:r>
    </w:p>
    <w:p w14:paraId="43251FCC" w14:textId="77777777" w:rsidR="0001066C" w:rsidRDefault="0001066C" w:rsidP="0001066C">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9042A4"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9042A4"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9042A4"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9042A4"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604531EC" w:rsidR="000414E8" w:rsidRPr="00A01494" w:rsidRDefault="009042A4"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63FCEF81" w:rsidR="000414E8" w:rsidRPr="00A01494" w:rsidRDefault="009042A4"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9042A4"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9042A4"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9042A4"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9042A4"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3093E69D" w14:textId="77777777" w:rsidR="00C92C7A" w:rsidRDefault="00C92C7A">
      <w:pPr>
        <w:rPr>
          <w:rFonts w:cstheme="minorHAnsi"/>
          <w:b/>
          <w:bCs/>
        </w:rPr>
      </w:pPr>
      <w:r>
        <w:rPr>
          <w:rFonts w:cstheme="minorHAnsi"/>
          <w:b/>
          <w:bCs/>
        </w:rPr>
        <w:br w:type="page"/>
      </w:r>
    </w:p>
    <w:p w14:paraId="0CABCFC7" w14:textId="2AAC570A" w:rsidR="002E78A0"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CABCFC8" w14:textId="29E86418" w:rsidR="002B5016" w:rsidRDefault="002B5016" w:rsidP="00DB3627">
      <w:pPr>
        <w:autoSpaceDE w:val="0"/>
        <w:autoSpaceDN w:val="0"/>
        <w:adjustRightInd w:val="0"/>
        <w:spacing w:after="0" w:line="240" w:lineRule="auto"/>
        <w:rPr>
          <w:rFonts w:cstheme="minorHAnsi"/>
          <w:bCs/>
        </w:rPr>
      </w:pPr>
    </w:p>
    <w:p w14:paraId="134E56B0" w14:textId="77777777" w:rsidR="00CB58A9" w:rsidRDefault="00CB58A9" w:rsidP="00CB58A9">
      <w:pPr>
        <w:autoSpaceDE w:val="0"/>
        <w:autoSpaceDN w:val="0"/>
        <w:adjustRightInd w:val="0"/>
        <w:spacing w:after="0" w:line="240" w:lineRule="auto"/>
        <w:rPr>
          <w:rFonts w:cstheme="minorHAnsi"/>
          <w:bCs/>
        </w:rPr>
      </w:pPr>
    </w:p>
    <w:p w14:paraId="210DA975" w14:textId="77777777" w:rsidR="0001066C" w:rsidRDefault="0001066C" w:rsidP="0001066C">
      <w:pPr>
        <w:autoSpaceDE w:val="0"/>
        <w:autoSpaceDN w:val="0"/>
        <w:adjustRightInd w:val="0"/>
        <w:spacing w:after="0" w:line="240" w:lineRule="auto"/>
      </w:pPr>
      <w:r w:rsidRPr="00840AE5">
        <w:t xml:space="preserve">The measured entities used in testing and analysis include reported nPCR and the necessary data elements needed for calculating nPCR for 455 in-center hemodialysis (ICH) pediatric patients from 30 dialysis facilities with at least 11 eligible pediatric patients across all regions of the United States. </w:t>
      </w:r>
    </w:p>
    <w:p w14:paraId="242ABF67" w14:textId="77777777" w:rsidR="0001066C" w:rsidRDefault="0001066C" w:rsidP="0001066C">
      <w:pPr>
        <w:autoSpaceDE w:val="0"/>
        <w:autoSpaceDN w:val="0"/>
        <w:adjustRightInd w:val="0"/>
        <w:spacing w:after="0" w:line="240" w:lineRule="auto"/>
      </w:pPr>
    </w:p>
    <w:p w14:paraId="16FD9A5A" w14:textId="77777777" w:rsidR="0001066C" w:rsidRDefault="0001066C" w:rsidP="0001066C">
      <w:pPr>
        <w:autoSpaceDE w:val="0"/>
        <w:autoSpaceDN w:val="0"/>
        <w:adjustRightInd w:val="0"/>
        <w:spacing w:after="0" w:line="240" w:lineRule="auto"/>
      </w:pPr>
      <w:r w:rsidRPr="00987454">
        <w:t>Public reporting of this measure on DFC or in the ESRD QIP would be restricted to facilities with at least 11 eligible patients for the measure. We have applied this restriction to all the reliability and validity testing reported here.</w:t>
      </w:r>
    </w:p>
    <w:p w14:paraId="1A17308F" w14:textId="77777777" w:rsidR="0001066C" w:rsidRDefault="0001066C" w:rsidP="0001066C">
      <w:pPr>
        <w:autoSpaceDE w:val="0"/>
        <w:autoSpaceDN w:val="0"/>
        <w:adjustRightInd w:val="0"/>
        <w:spacing w:after="0" w:line="240" w:lineRule="auto"/>
      </w:pPr>
    </w:p>
    <w:p w14:paraId="06AEAAD4" w14:textId="77777777" w:rsidR="0001066C" w:rsidRPr="00840AE5" w:rsidRDefault="0001066C" w:rsidP="0001066C">
      <w:pPr>
        <w:autoSpaceDE w:val="0"/>
        <w:autoSpaceDN w:val="0"/>
        <w:adjustRightInd w:val="0"/>
        <w:spacing w:after="0" w:line="240" w:lineRule="auto"/>
        <w:rPr>
          <w:rFonts w:cstheme="minorHAnsi"/>
          <w:bCs/>
          <w:sz w:val="24"/>
        </w:rPr>
      </w:pPr>
      <w:r w:rsidRPr="00840AE5">
        <w:t>Facilities vary in size, and include anywhere from 11 to 28 eligible ICH pediatric patients. The data elements include “nPCR” or the combination of “Kt/V hemodialysis collection date”, “BUN pre-dialysis”, “BUN post-dialysis”, “pre-dialysis weight”, “pre-dialysis weight unit of measure”, “post-dialysis weight”, “post-dialysis weight unit of measure”, “delivered minutes of BUN hemodialysis session”, and “interdialytic time.”</w:t>
      </w:r>
    </w:p>
    <w:p w14:paraId="43B3C73B" w14:textId="77777777" w:rsidR="0001066C" w:rsidRDefault="0001066C" w:rsidP="00CB58A9">
      <w:pPr>
        <w:autoSpaceDE w:val="0"/>
        <w:autoSpaceDN w:val="0"/>
        <w:adjustRightInd w:val="0"/>
        <w:spacing w:after="0" w:line="240" w:lineRule="auto"/>
      </w:pPr>
    </w:p>
    <w:p w14:paraId="28EB17A3" w14:textId="77777777" w:rsidR="0001066C" w:rsidRDefault="0001066C" w:rsidP="00CB58A9">
      <w:pPr>
        <w:autoSpaceDE w:val="0"/>
        <w:autoSpaceDN w:val="0"/>
        <w:adjustRightInd w:val="0"/>
        <w:spacing w:after="0" w:line="240" w:lineRule="auto"/>
      </w:pPr>
    </w:p>
    <w:p w14:paraId="3F60632C" w14:textId="35E1096D" w:rsidR="00CB58A9" w:rsidRPr="0001066C" w:rsidRDefault="0001066C" w:rsidP="00CB58A9">
      <w:pPr>
        <w:autoSpaceDE w:val="0"/>
        <w:autoSpaceDN w:val="0"/>
        <w:adjustRightInd w:val="0"/>
        <w:spacing w:after="0" w:line="240" w:lineRule="auto"/>
        <w:rPr>
          <w:color w:val="FF0000"/>
        </w:rPr>
      </w:pPr>
      <w:r w:rsidRPr="0001066C">
        <w:rPr>
          <w:rFonts w:cstheme="minorHAnsi"/>
          <w:bCs/>
          <w:color w:val="FF0000"/>
        </w:rPr>
        <w:t>For the Spring 2019 maintenance submission,</w:t>
      </w:r>
      <w:r w:rsidRPr="0001066C">
        <w:rPr>
          <w:color w:val="FF0000"/>
        </w:rPr>
        <w:t xml:space="preserve"> the</w:t>
      </w:r>
      <w:r w:rsidR="00CB58A9" w:rsidRPr="0001066C">
        <w:rPr>
          <w:color w:val="FF0000"/>
        </w:rPr>
        <w:t xml:space="preserve"> measured entities used in testing and analysis include reported nPCR and the necessary data elements needed for calculati</w:t>
      </w:r>
      <w:r w:rsidR="00381E54">
        <w:rPr>
          <w:color w:val="FF0000"/>
        </w:rPr>
        <w:t xml:space="preserve">on of </w:t>
      </w:r>
      <w:r w:rsidR="00CB58A9" w:rsidRPr="0001066C">
        <w:rPr>
          <w:color w:val="FF0000"/>
        </w:rPr>
        <w:t xml:space="preserve"> nPCR</w:t>
      </w:r>
      <w:r w:rsidR="00381E54">
        <w:rPr>
          <w:color w:val="FF0000"/>
        </w:rPr>
        <w:t xml:space="preserve">.  There are </w:t>
      </w:r>
      <w:r w:rsidR="001B6E78" w:rsidRPr="0001066C">
        <w:rPr>
          <w:color w:val="FF0000"/>
        </w:rPr>
        <w:t>511</w:t>
      </w:r>
      <w:r w:rsidR="00CB58A9" w:rsidRPr="0001066C">
        <w:rPr>
          <w:color w:val="FF0000"/>
        </w:rPr>
        <w:t xml:space="preserve"> in-center hemodialysis (ICH) pediatric patients from </w:t>
      </w:r>
      <w:r w:rsidR="001B6E78" w:rsidRPr="0001066C">
        <w:rPr>
          <w:color w:val="FF0000"/>
        </w:rPr>
        <w:t>29</w:t>
      </w:r>
      <w:r w:rsidR="00CB58A9" w:rsidRPr="0001066C">
        <w:rPr>
          <w:color w:val="FF0000"/>
        </w:rPr>
        <w:t xml:space="preserve"> dialysis facilities </w:t>
      </w:r>
      <w:r w:rsidR="00381E54">
        <w:rPr>
          <w:color w:val="FF0000"/>
        </w:rPr>
        <w:t xml:space="preserve">that have had </w:t>
      </w:r>
      <w:r w:rsidR="00CB58A9" w:rsidRPr="0001066C">
        <w:rPr>
          <w:color w:val="FF0000"/>
        </w:rPr>
        <w:t xml:space="preserve">at least 11 eligible pediatric patients across all regions of the United States. </w:t>
      </w:r>
    </w:p>
    <w:p w14:paraId="6FC96287" w14:textId="77777777" w:rsidR="00CB58A9" w:rsidRPr="0001066C" w:rsidRDefault="00CB58A9" w:rsidP="00CB58A9">
      <w:pPr>
        <w:autoSpaceDE w:val="0"/>
        <w:autoSpaceDN w:val="0"/>
        <w:adjustRightInd w:val="0"/>
        <w:spacing w:after="0" w:line="240" w:lineRule="auto"/>
        <w:rPr>
          <w:color w:val="FF0000"/>
        </w:rPr>
      </w:pPr>
    </w:p>
    <w:p w14:paraId="72ADE2E0" w14:textId="42A6F92A" w:rsidR="00CB58A9" w:rsidRDefault="004F2338" w:rsidP="00CB58A9">
      <w:pPr>
        <w:autoSpaceDE w:val="0"/>
        <w:autoSpaceDN w:val="0"/>
        <w:adjustRightInd w:val="0"/>
        <w:spacing w:after="0" w:line="240" w:lineRule="auto"/>
        <w:rPr>
          <w:color w:val="FF0000"/>
        </w:rPr>
      </w:pPr>
      <w:r w:rsidRPr="004F2338">
        <w:rPr>
          <w:color w:val="FF0000"/>
        </w:rPr>
        <w:t xml:space="preserve">Public reporting of this measure on DFC or in the ESRD QIP would be restricted to facilities with at least 11 eligible patients </w:t>
      </w:r>
      <w:r w:rsidR="00381E54">
        <w:rPr>
          <w:color w:val="FF0000"/>
        </w:rPr>
        <w:t xml:space="preserve">in order </w:t>
      </w:r>
      <w:r w:rsidRPr="004F2338">
        <w:rPr>
          <w:color w:val="FF0000"/>
        </w:rPr>
        <w:t xml:space="preserve">for the </w:t>
      </w:r>
      <w:r w:rsidR="009042A4" w:rsidRPr="004F2338">
        <w:rPr>
          <w:color w:val="FF0000"/>
        </w:rPr>
        <w:t>measure to</w:t>
      </w:r>
      <w:r w:rsidRPr="004F2338">
        <w:rPr>
          <w:color w:val="FF0000"/>
        </w:rPr>
        <w:t xml:space="preserve"> comply with restrictions on reporting of potentially patient identifiable information related to small cell size. We have applied this restriction to all the reliability and validity testing reported here.</w:t>
      </w:r>
    </w:p>
    <w:p w14:paraId="7B662AC7" w14:textId="77777777" w:rsidR="004F2338" w:rsidRDefault="004F2338" w:rsidP="00CB58A9">
      <w:pPr>
        <w:autoSpaceDE w:val="0"/>
        <w:autoSpaceDN w:val="0"/>
        <w:adjustRightInd w:val="0"/>
        <w:spacing w:after="0" w:line="240" w:lineRule="auto"/>
      </w:pPr>
    </w:p>
    <w:p w14:paraId="13E58E6F" w14:textId="426A9550" w:rsidR="00CB58A9" w:rsidRPr="0001066C" w:rsidRDefault="00CB58A9" w:rsidP="00CB58A9">
      <w:pPr>
        <w:autoSpaceDE w:val="0"/>
        <w:autoSpaceDN w:val="0"/>
        <w:adjustRightInd w:val="0"/>
        <w:spacing w:after="0" w:line="240" w:lineRule="auto"/>
        <w:rPr>
          <w:rFonts w:cstheme="minorHAnsi"/>
          <w:bCs/>
          <w:color w:val="FF0000"/>
          <w:sz w:val="24"/>
        </w:rPr>
      </w:pPr>
      <w:r w:rsidRPr="0001066C">
        <w:rPr>
          <w:color w:val="FF0000"/>
        </w:rPr>
        <w:t xml:space="preserve">Facilities vary in size, and include anywhere from 11 to </w:t>
      </w:r>
      <w:r w:rsidR="001B6E78" w:rsidRPr="0001066C">
        <w:rPr>
          <w:color w:val="FF0000"/>
        </w:rPr>
        <w:t>42</w:t>
      </w:r>
      <w:r w:rsidRPr="0001066C">
        <w:rPr>
          <w:color w:val="FF0000"/>
        </w:rPr>
        <w:t xml:space="preserve"> eligible ICH pediatric patients. </w:t>
      </w:r>
    </w:p>
    <w:p w14:paraId="6895F0E5" w14:textId="77777777" w:rsidR="00CB58A9" w:rsidRPr="0001066C" w:rsidRDefault="00CB58A9" w:rsidP="00CB58A9">
      <w:pPr>
        <w:autoSpaceDE w:val="0"/>
        <w:autoSpaceDN w:val="0"/>
        <w:adjustRightInd w:val="0"/>
        <w:spacing w:after="0" w:line="240" w:lineRule="auto"/>
        <w:rPr>
          <w:rFonts w:cstheme="minorHAnsi"/>
          <w:bCs/>
          <w:color w:val="FF0000"/>
        </w:rPr>
      </w:pPr>
    </w:p>
    <w:p w14:paraId="757CD838" w14:textId="77777777" w:rsidR="00F01CFC" w:rsidRPr="00A25024" w:rsidRDefault="00F01CFC" w:rsidP="00F01CFC">
      <w:pPr>
        <w:autoSpaceDE w:val="0"/>
        <w:autoSpaceDN w:val="0"/>
        <w:adjustRightInd w:val="0"/>
        <w:spacing w:after="0" w:line="240" w:lineRule="auto"/>
        <w:rPr>
          <w:rFonts w:cstheme="minorHAnsi"/>
          <w:bCs/>
        </w:rPr>
      </w:pPr>
    </w:p>
    <w:p w14:paraId="5354C642" w14:textId="77777777" w:rsidR="00255D0C" w:rsidRPr="00A25024" w:rsidRDefault="00255D0C" w:rsidP="00DB3627">
      <w:pPr>
        <w:autoSpaceDE w:val="0"/>
        <w:autoSpaceDN w:val="0"/>
        <w:adjustRightInd w:val="0"/>
        <w:spacing w:after="0" w:line="240" w:lineRule="auto"/>
        <w:rPr>
          <w:rFonts w:cstheme="minorHAnsi"/>
          <w:bCs/>
        </w:rPr>
      </w:pPr>
    </w:p>
    <w:p w14:paraId="76EE978D" w14:textId="77777777" w:rsidR="00255D0C"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CF8864B" w14:textId="77777777" w:rsidR="00255D0C" w:rsidRDefault="00255D0C" w:rsidP="00DB3627">
      <w:pPr>
        <w:autoSpaceDE w:val="0"/>
        <w:autoSpaceDN w:val="0"/>
        <w:adjustRightInd w:val="0"/>
        <w:spacing w:after="0" w:line="240" w:lineRule="auto"/>
        <w:rPr>
          <w:rFonts w:cstheme="minorHAnsi"/>
          <w:bCs/>
        </w:rPr>
      </w:pPr>
    </w:p>
    <w:p w14:paraId="39A9D096" w14:textId="77777777" w:rsidR="0001066C" w:rsidRPr="00C52E65" w:rsidRDefault="0001066C" w:rsidP="0001066C">
      <w:pPr>
        <w:spacing w:after="120"/>
      </w:pPr>
      <w:r w:rsidRPr="00C52E65">
        <w:t xml:space="preserve">Testing was performed on all Medicare and non-Medicare pediatric, ICH patients available in CROWNWeb from 2013. The sample included 455 patients from 225 facilities. The table below shows the number and percent of pediatric ICH patients by race, sex, and Hispanic ethnicity. </w:t>
      </w:r>
    </w:p>
    <w:tbl>
      <w:tblPr>
        <w:tblW w:w="4860" w:type="dxa"/>
        <w:tblLook w:val="04A0" w:firstRow="1" w:lastRow="0" w:firstColumn="1" w:lastColumn="0" w:noHBand="0" w:noVBand="1"/>
      </w:tblPr>
      <w:tblGrid>
        <w:gridCol w:w="2340"/>
        <w:gridCol w:w="1168"/>
        <w:gridCol w:w="1352"/>
      </w:tblGrid>
      <w:tr w:rsidR="0001066C" w:rsidRPr="00840AE5" w14:paraId="606512B2" w14:textId="77777777" w:rsidTr="00D75ED2">
        <w:trPr>
          <w:trHeight w:val="300"/>
        </w:trPr>
        <w:tc>
          <w:tcPr>
            <w:tcW w:w="2340" w:type="dxa"/>
            <w:tcBorders>
              <w:top w:val="nil"/>
              <w:left w:val="nil"/>
              <w:bottom w:val="nil"/>
              <w:right w:val="nil"/>
            </w:tcBorders>
            <w:shd w:val="clear" w:color="auto" w:fill="auto"/>
            <w:noWrap/>
            <w:vAlign w:val="bottom"/>
            <w:hideMark/>
          </w:tcPr>
          <w:p w14:paraId="42B3CA42" w14:textId="77777777" w:rsidR="0001066C" w:rsidRPr="00840AE5" w:rsidRDefault="0001066C" w:rsidP="00D75ED2">
            <w:pPr>
              <w:spacing w:after="0"/>
              <w:rPr>
                <w:rFonts w:eastAsia="Times New Roman"/>
                <w:b/>
                <w:bCs/>
              </w:rPr>
            </w:pPr>
            <w:bookmarkStart w:id="11" w:name="RANGE!A1:C17"/>
            <w:r w:rsidRPr="00840AE5">
              <w:rPr>
                <w:rFonts w:eastAsia="Times New Roman"/>
                <w:b/>
                <w:bCs/>
              </w:rPr>
              <w:t>Race</w:t>
            </w:r>
            <w:bookmarkEnd w:id="11"/>
          </w:p>
        </w:tc>
        <w:tc>
          <w:tcPr>
            <w:tcW w:w="1168" w:type="dxa"/>
            <w:tcBorders>
              <w:top w:val="nil"/>
              <w:left w:val="nil"/>
              <w:bottom w:val="nil"/>
              <w:right w:val="nil"/>
            </w:tcBorders>
            <w:shd w:val="clear" w:color="auto" w:fill="auto"/>
            <w:noWrap/>
            <w:vAlign w:val="bottom"/>
            <w:hideMark/>
          </w:tcPr>
          <w:p w14:paraId="06630F8F" w14:textId="77777777" w:rsidR="0001066C" w:rsidRPr="00840AE5" w:rsidRDefault="0001066C" w:rsidP="00D75ED2">
            <w:pPr>
              <w:spacing w:after="0"/>
              <w:rPr>
                <w:rFonts w:eastAsia="Times New Roman"/>
                <w:b/>
                <w:bCs/>
              </w:rPr>
            </w:pPr>
            <w:r w:rsidRPr="00840AE5">
              <w:rPr>
                <w:rFonts w:eastAsia="Times New Roman"/>
                <w:b/>
                <w:bCs/>
              </w:rPr>
              <w:t>Frequency</w:t>
            </w:r>
          </w:p>
        </w:tc>
        <w:tc>
          <w:tcPr>
            <w:tcW w:w="1352" w:type="dxa"/>
            <w:tcBorders>
              <w:top w:val="nil"/>
              <w:left w:val="nil"/>
              <w:bottom w:val="nil"/>
              <w:right w:val="nil"/>
            </w:tcBorders>
            <w:shd w:val="clear" w:color="auto" w:fill="auto"/>
            <w:noWrap/>
            <w:vAlign w:val="bottom"/>
            <w:hideMark/>
          </w:tcPr>
          <w:p w14:paraId="2158A2AA" w14:textId="77777777" w:rsidR="0001066C" w:rsidRPr="00840AE5" w:rsidRDefault="0001066C" w:rsidP="00D75ED2">
            <w:pPr>
              <w:spacing w:after="0"/>
              <w:rPr>
                <w:rFonts w:eastAsia="Times New Roman"/>
                <w:b/>
                <w:bCs/>
              </w:rPr>
            </w:pPr>
            <w:r w:rsidRPr="00840AE5">
              <w:rPr>
                <w:rFonts w:eastAsia="Times New Roman"/>
                <w:b/>
                <w:bCs/>
              </w:rPr>
              <w:t>Percent</w:t>
            </w:r>
          </w:p>
        </w:tc>
      </w:tr>
      <w:tr w:rsidR="0001066C" w:rsidRPr="00840AE5" w14:paraId="14591224" w14:textId="77777777" w:rsidTr="00D75ED2">
        <w:trPr>
          <w:trHeight w:val="180"/>
        </w:trPr>
        <w:tc>
          <w:tcPr>
            <w:tcW w:w="2340" w:type="dxa"/>
            <w:tcBorders>
              <w:top w:val="nil"/>
              <w:left w:val="nil"/>
              <w:bottom w:val="nil"/>
              <w:right w:val="nil"/>
            </w:tcBorders>
            <w:shd w:val="clear" w:color="auto" w:fill="auto"/>
            <w:noWrap/>
            <w:vAlign w:val="bottom"/>
            <w:hideMark/>
          </w:tcPr>
          <w:p w14:paraId="208B26AF" w14:textId="77777777" w:rsidR="0001066C" w:rsidRPr="00840AE5" w:rsidRDefault="0001066C" w:rsidP="00D75ED2">
            <w:pPr>
              <w:spacing w:after="0"/>
              <w:rPr>
                <w:rFonts w:eastAsia="Times New Roman"/>
              </w:rPr>
            </w:pPr>
          </w:p>
        </w:tc>
        <w:tc>
          <w:tcPr>
            <w:tcW w:w="1168" w:type="dxa"/>
            <w:tcBorders>
              <w:top w:val="nil"/>
              <w:left w:val="nil"/>
              <w:bottom w:val="nil"/>
              <w:right w:val="nil"/>
            </w:tcBorders>
            <w:shd w:val="clear" w:color="auto" w:fill="auto"/>
            <w:noWrap/>
            <w:vAlign w:val="bottom"/>
            <w:hideMark/>
          </w:tcPr>
          <w:p w14:paraId="1557D042" w14:textId="77777777" w:rsidR="0001066C" w:rsidRPr="00840AE5" w:rsidRDefault="0001066C" w:rsidP="00D75ED2">
            <w:pPr>
              <w:spacing w:after="0"/>
              <w:rPr>
                <w:rFonts w:eastAsia="Times New Roman"/>
              </w:rPr>
            </w:pPr>
          </w:p>
        </w:tc>
        <w:tc>
          <w:tcPr>
            <w:tcW w:w="1352" w:type="dxa"/>
            <w:tcBorders>
              <w:top w:val="nil"/>
              <w:left w:val="nil"/>
              <w:bottom w:val="nil"/>
              <w:right w:val="nil"/>
            </w:tcBorders>
            <w:shd w:val="clear" w:color="auto" w:fill="auto"/>
            <w:noWrap/>
            <w:vAlign w:val="bottom"/>
            <w:hideMark/>
          </w:tcPr>
          <w:p w14:paraId="64DD2ECB" w14:textId="77777777" w:rsidR="0001066C" w:rsidRPr="00840AE5" w:rsidRDefault="0001066C" w:rsidP="00D75ED2">
            <w:pPr>
              <w:spacing w:after="0"/>
              <w:rPr>
                <w:rFonts w:eastAsia="Times New Roman"/>
              </w:rPr>
            </w:pPr>
          </w:p>
        </w:tc>
      </w:tr>
      <w:tr w:rsidR="0001066C" w:rsidRPr="00840AE5" w14:paraId="2310483B" w14:textId="77777777" w:rsidTr="00D75ED2">
        <w:trPr>
          <w:trHeight w:val="300"/>
        </w:trPr>
        <w:tc>
          <w:tcPr>
            <w:tcW w:w="2340" w:type="dxa"/>
            <w:tcBorders>
              <w:top w:val="nil"/>
              <w:left w:val="nil"/>
              <w:bottom w:val="nil"/>
              <w:right w:val="nil"/>
            </w:tcBorders>
            <w:shd w:val="clear" w:color="auto" w:fill="auto"/>
            <w:noWrap/>
            <w:vAlign w:val="bottom"/>
            <w:hideMark/>
          </w:tcPr>
          <w:p w14:paraId="3819B43D" w14:textId="77777777" w:rsidR="0001066C" w:rsidRPr="00840AE5" w:rsidRDefault="0001066C" w:rsidP="00D75ED2">
            <w:pPr>
              <w:spacing w:after="0"/>
              <w:rPr>
                <w:rFonts w:eastAsia="Times New Roman"/>
              </w:rPr>
            </w:pPr>
            <w:r w:rsidRPr="00840AE5">
              <w:rPr>
                <w:rFonts w:eastAsia="Times New Roman"/>
              </w:rPr>
              <w:t>Asian</w:t>
            </w:r>
          </w:p>
        </w:tc>
        <w:tc>
          <w:tcPr>
            <w:tcW w:w="1168" w:type="dxa"/>
            <w:tcBorders>
              <w:top w:val="nil"/>
              <w:left w:val="nil"/>
              <w:bottom w:val="nil"/>
              <w:right w:val="nil"/>
            </w:tcBorders>
            <w:shd w:val="clear" w:color="auto" w:fill="auto"/>
            <w:noWrap/>
            <w:vAlign w:val="bottom"/>
            <w:hideMark/>
          </w:tcPr>
          <w:p w14:paraId="4D2454BD" w14:textId="77777777" w:rsidR="0001066C" w:rsidRPr="00840AE5" w:rsidRDefault="0001066C" w:rsidP="00D75ED2">
            <w:pPr>
              <w:spacing w:after="0"/>
              <w:jc w:val="right"/>
              <w:rPr>
                <w:rFonts w:eastAsia="Times New Roman"/>
              </w:rPr>
            </w:pPr>
            <w:r w:rsidRPr="00840AE5">
              <w:rPr>
                <w:rFonts w:eastAsia="Times New Roman"/>
              </w:rPr>
              <w:t>23</w:t>
            </w:r>
          </w:p>
        </w:tc>
        <w:tc>
          <w:tcPr>
            <w:tcW w:w="1352" w:type="dxa"/>
            <w:tcBorders>
              <w:top w:val="nil"/>
              <w:left w:val="nil"/>
              <w:bottom w:val="nil"/>
              <w:right w:val="nil"/>
            </w:tcBorders>
            <w:shd w:val="clear" w:color="auto" w:fill="auto"/>
            <w:noWrap/>
            <w:vAlign w:val="bottom"/>
            <w:hideMark/>
          </w:tcPr>
          <w:p w14:paraId="05D3A291" w14:textId="77777777" w:rsidR="0001066C" w:rsidRPr="00840AE5" w:rsidRDefault="0001066C" w:rsidP="00D75ED2">
            <w:pPr>
              <w:spacing w:after="0"/>
              <w:jc w:val="right"/>
              <w:rPr>
                <w:rFonts w:eastAsia="Times New Roman"/>
              </w:rPr>
            </w:pPr>
            <w:r w:rsidRPr="00840AE5">
              <w:rPr>
                <w:rFonts w:eastAsia="Times New Roman"/>
              </w:rPr>
              <w:t>5.05%</w:t>
            </w:r>
          </w:p>
        </w:tc>
      </w:tr>
      <w:tr w:rsidR="0001066C" w:rsidRPr="00840AE5" w14:paraId="14A7BEE9" w14:textId="77777777" w:rsidTr="00D75ED2">
        <w:trPr>
          <w:trHeight w:val="300"/>
        </w:trPr>
        <w:tc>
          <w:tcPr>
            <w:tcW w:w="2340" w:type="dxa"/>
            <w:tcBorders>
              <w:top w:val="nil"/>
              <w:left w:val="nil"/>
              <w:bottom w:val="nil"/>
              <w:right w:val="nil"/>
            </w:tcBorders>
            <w:shd w:val="clear" w:color="auto" w:fill="auto"/>
            <w:noWrap/>
            <w:vAlign w:val="bottom"/>
            <w:hideMark/>
          </w:tcPr>
          <w:p w14:paraId="42AFB1B6" w14:textId="77777777" w:rsidR="0001066C" w:rsidRPr="00840AE5" w:rsidRDefault="0001066C" w:rsidP="00D75ED2">
            <w:pPr>
              <w:spacing w:after="0"/>
              <w:rPr>
                <w:rFonts w:eastAsia="Times New Roman"/>
              </w:rPr>
            </w:pPr>
            <w:r w:rsidRPr="00840AE5">
              <w:rPr>
                <w:rFonts w:eastAsia="Times New Roman"/>
              </w:rPr>
              <w:t>Black</w:t>
            </w:r>
          </w:p>
        </w:tc>
        <w:tc>
          <w:tcPr>
            <w:tcW w:w="1168" w:type="dxa"/>
            <w:tcBorders>
              <w:top w:val="nil"/>
              <w:left w:val="nil"/>
              <w:bottom w:val="nil"/>
              <w:right w:val="nil"/>
            </w:tcBorders>
            <w:shd w:val="clear" w:color="auto" w:fill="auto"/>
            <w:noWrap/>
            <w:vAlign w:val="bottom"/>
            <w:hideMark/>
          </w:tcPr>
          <w:p w14:paraId="69416862" w14:textId="77777777" w:rsidR="0001066C" w:rsidRPr="00840AE5" w:rsidRDefault="0001066C" w:rsidP="00D75ED2">
            <w:pPr>
              <w:spacing w:after="0"/>
              <w:jc w:val="right"/>
              <w:rPr>
                <w:rFonts w:eastAsia="Times New Roman"/>
              </w:rPr>
            </w:pPr>
            <w:r w:rsidRPr="00840AE5">
              <w:rPr>
                <w:rFonts w:eastAsia="Times New Roman"/>
              </w:rPr>
              <w:t>147</w:t>
            </w:r>
          </w:p>
        </w:tc>
        <w:tc>
          <w:tcPr>
            <w:tcW w:w="1352" w:type="dxa"/>
            <w:tcBorders>
              <w:top w:val="nil"/>
              <w:left w:val="nil"/>
              <w:bottom w:val="nil"/>
              <w:right w:val="nil"/>
            </w:tcBorders>
            <w:shd w:val="clear" w:color="auto" w:fill="auto"/>
            <w:noWrap/>
            <w:vAlign w:val="bottom"/>
            <w:hideMark/>
          </w:tcPr>
          <w:p w14:paraId="0D4E6C91" w14:textId="77777777" w:rsidR="0001066C" w:rsidRPr="00840AE5" w:rsidRDefault="0001066C" w:rsidP="00D75ED2">
            <w:pPr>
              <w:spacing w:after="0"/>
              <w:jc w:val="right"/>
              <w:rPr>
                <w:rFonts w:eastAsia="Times New Roman"/>
              </w:rPr>
            </w:pPr>
            <w:r w:rsidRPr="00840AE5">
              <w:rPr>
                <w:rFonts w:eastAsia="Times New Roman"/>
              </w:rPr>
              <w:t>32.31%</w:t>
            </w:r>
          </w:p>
        </w:tc>
      </w:tr>
      <w:tr w:rsidR="0001066C" w:rsidRPr="00840AE5" w14:paraId="1F1509C1" w14:textId="77777777" w:rsidTr="00D75ED2">
        <w:trPr>
          <w:trHeight w:val="300"/>
        </w:trPr>
        <w:tc>
          <w:tcPr>
            <w:tcW w:w="2340" w:type="dxa"/>
            <w:tcBorders>
              <w:top w:val="nil"/>
              <w:left w:val="nil"/>
              <w:bottom w:val="nil"/>
              <w:right w:val="nil"/>
            </w:tcBorders>
            <w:shd w:val="clear" w:color="auto" w:fill="auto"/>
            <w:noWrap/>
            <w:vAlign w:val="bottom"/>
            <w:hideMark/>
          </w:tcPr>
          <w:p w14:paraId="0253A805" w14:textId="77777777" w:rsidR="0001066C" w:rsidRPr="00840AE5" w:rsidRDefault="0001066C" w:rsidP="00D75ED2">
            <w:pPr>
              <w:spacing w:after="0"/>
              <w:rPr>
                <w:rFonts w:eastAsia="Times New Roman"/>
              </w:rPr>
            </w:pPr>
            <w:r w:rsidRPr="00840AE5">
              <w:rPr>
                <w:rFonts w:eastAsia="Times New Roman"/>
              </w:rPr>
              <w:lastRenderedPageBreak/>
              <w:t>White</w:t>
            </w:r>
          </w:p>
        </w:tc>
        <w:tc>
          <w:tcPr>
            <w:tcW w:w="1168" w:type="dxa"/>
            <w:tcBorders>
              <w:top w:val="nil"/>
              <w:left w:val="nil"/>
              <w:bottom w:val="nil"/>
              <w:right w:val="nil"/>
            </w:tcBorders>
            <w:shd w:val="clear" w:color="auto" w:fill="auto"/>
            <w:noWrap/>
            <w:vAlign w:val="bottom"/>
            <w:hideMark/>
          </w:tcPr>
          <w:p w14:paraId="5E618435" w14:textId="77777777" w:rsidR="0001066C" w:rsidRPr="00840AE5" w:rsidRDefault="0001066C" w:rsidP="00D75ED2">
            <w:pPr>
              <w:spacing w:after="0"/>
              <w:jc w:val="right"/>
              <w:rPr>
                <w:rFonts w:eastAsia="Times New Roman"/>
              </w:rPr>
            </w:pPr>
            <w:r w:rsidRPr="00840AE5">
              <w:rPr>
                <w:rFonts w:eastAsia="Times New Roman"/>
              </w:rPr>
              <w:t>274</w:t>
            </w:r>
          </w:p>
        </w:tc>
        <w:tc>
          <w:tcPr>
            <w:tcW w:w="1352" w:type="dxa"/>
            <w:tcBorders>
              <w:top w:val="nil"/>
              <w:left w:val="nil"/>
              <w:bottom w:val="nil"/>
              <w:right w:val="nil"/>
            </w:tcBorders>
            <w:shd w:val="clear" w:color="auto" w:fill="auto"/>
            <w:noWrap/>
            <w:vAlign w:val="bottom"/>
            <w:hideMark/>
          </w:tcPr>
          <w:p w14:paraId="5E19CE87" w14:textId="77777777" w:rsidR="0001066C" w:rsidRPr="00840AE5" w:rsidRDefault="0001066C" w:rsidP="00D75ED2">
            <w:pPr>
              <w:spacing w:after="0"/>
              <w:jc w:val="right"/>
              <w:rPr>
                <w:rFonts w:eastAsia="Times New Roman"/>
              </w:rPr>
            </w:pPr>
            <w:r w:rsidRPr="00840AE5">
              <w:rPr>
                <w:rFonts w:eastAsia="Times New Roman"/>
              </w:rPr>
              <w:t>60.22%</w:t>
            </w:r>
          </w:p>
        </w:tc>
      </w:tr>
      <w:tr w:rsidR="0001066C" w:rsidRPr="00840AE5" w14:paraId="13039B3C" w14:textId="77777777" w:rsidTr="00D75ED2">
        <w:trPr>
          <w:trHeight w:val="300"/>
        </w:trPr>
        <w:tc>
          <w:tcPr>
            <w:tcW w:w="2340" w:type="dxa"/>
            <w:tcBorders>
              <w:top w:val="nil"/>
              <w:left w:val="nil"/>
              <w:bottom w:val="nil"/>
              <w:right w:val="nil"/>
            </w:tcBorders>
            <w:shd w:val="clear" w:color="auto" w:fill="auto"/>
            <w:noWrap/>
            <w:vAlign w:val="bottom"/>
            <w:hideMark/>
          </w:tcPr>
          <w:p w14:paraId="0523FC7F" w14:textId="77777777" w:rsidR="0001066C" w:rsidRPr="00840AE5" w:rsidRDefault="0001066C" w:rsidP="00D75ED2">
            <w:pPr>
              <w:spacing w:after="0"/>
              <w:rPr>
                <w:rFonts w:eastAsia="Times New Roman"/>
              </w:rPr>
            </w:pPr>
            <w:r w:rsidRPr="00840AE5">
              <w:rPr>
                <w:rFonts w:eastAsia="Times New Roman"/>
              </w:rPr>
              <w:t>Native American</w:t>
            </w:r>
          </w:p>
        </w:tc>
        <w:tc>
          <w:tcPr>
            <w:tcW w:w="1168" w:type="dxa"/>
            <w:tcBorders>
              <w:top w:val="nil"/>
              <w:left w:val="nil"/>
              <w:bottom w:val="nil"/>
              <w:right w:val="nil"/>
            </w:tcBorders>
            <w:shd w:val="clear" w:color="auto" w:fill="auto"/>
            <w:noWrap/>
            <w:vAlign w:val="bottom"/>
            <w:hideMark/>
          </w:tcPr>
          <w:p w14:paraId="509A3D46" w14:textId="77777777" w:rsidR="0001066C" w:rsidRPr="00840AE5" w:rsidRDefault="0001066C" w:rsidP="00D75ED2">
            <w:pPr>
              <w:spacing w:after="0"/>
              <w:jc w:val="right"/>
              <w:rPr>
                <w:rFonts w:eastAsia="Times New Roman"/>
              </w:rPr>
            </w:pPr>
            <w:r w:rsidRPr="00840AE5">
              <w:rPr>
                <w:rFonts w:eastAsia="Times New Roman"/>
              </w:rPr>
              <w:t>5</w:t>
            </w:r>
          </w:p>
        </w:tc>
        <w:tc>
          <w:tcPr>
            <w:tcW w:w="1352" w:type="dxa"/>
            <w:tcBorders>
              <w:top w:val="nil"/>
              <w:left w:val="nil"/>
              <w:bottom w:val="nil"/>
              <w:right w:val="nil"/>
            </w:tcBorders>
            <w:shd w:val="clear" w:color="auto" w:fill="auto"/>
            <w:noWrap/>
            <w:vAlign w:val="bottom"/>
            <w:hideMark/>
          </w:tcPr>
          <w:p w14:paraId="482D758E" w14:textId="77777777" w:rsidR="0001066C" w:rsidRPr="00840AE5" w:rsidRDefault="0001066C" w:rsidP="00D75ED2">
            <w:pPr>
              <w:spacing w:after="0"/>
              <w:jc w:val="right"/>
              <w:rPr>
                <w:rFonts w:eastAsia="Times New Roman"/>
              </w:rPr>
            </w:pPr>
            <w:r w:rsidRPr="00840AE5">
              <w:rPr>
                <w:rFonts w:eastAsia="Times New Roman"/>
              </w:rPr>
              <w:t>1.10%</w:t>
            </w:r>
          </w:p>
        </w:tc>
      </w:tr>
      <w:tr w:rsidR="0001066C" w:rsidRPr="00840AE5" w14:paraId="5C750143" w14:textId="77777777" w:rsidTr="00D75ED2">
        <w:trPr>
          <w:trHeight w:val="300"/>
        </w:trPr>
        <w:tc>
          <w:tcPr>
            <w:tcW w:w="2340" w:type="dxa"/>
            <w:tcBorders>
              <w:top w:val="nil"/>
              <w:left w:val="nil"/>
              <w:bottom w:val="nil"/>
              <w:right w:val="nil"/>
            </w:tcBorders>
            <w:shd w:val="clear" w:color="auto" w:fill="auto"/>
            <w:noWrap/>
            <w:vAlign w:val="bottom"/>
            <w:hideMark/>
          </w:tcPr>
          <w:p w14:paraId="0C670DB0" w14:textId="77777777" w:rsidR="0001066C" w:rsidRPr="00840AE5" w:rsidRDefault="0001066C" w:rsidP="00D75ED2">
            <w:pPr>
              <w:spacing w:after="0"/>
              <w:rPr>
                <w:rFonts w:eastAsia="Times New Roman"/>
              </w:rPr>
            </w:pPr>
            <w:r w:rsidRPr="00840AE5">
              <w:rPr>
                <w:rFonts w:eastAsia="Times New Roman"/>
              </w:rPr>
              <w:t>Pacific Islander</w:t>
            </w:r>
          </w:p>
        </w:tc>
        <w:tc>
          <w:tcPr>
            <w:tcW w:w="1168" w:type="dxa"/>
            <w:tcBorders>
              <w:top w:val="nil"/>
              <w:left w:val="nil"/>
              <w:bottom w:val="nil"/>
              <w:right w:val="nil"/>
            </w:tcBorders>
            <w:shd w:val="clear" w:color="auto" w:fill="auto"/>
            <w:noWrap/>
            <w:vAlign w:val="bottom"/>
            <w:hideMark/>
          </w:tcPr>
          <w:p w14:paraId="6884D7F3" w14:textId="77777777" w:rsidR="0001066C" w:rsidRPr="00840AE5" w:rsidRDefault="0001066C" w:rsidP="00D75ED2">
            <w:pPr>
              <w:spacing w:after="0"/>
              <w:jc w:val="right"/>
              <w:rPr>
                <w:rFonts w:eastAsia="Times New Roman"/>
              </w:rPr>
            </w:pPr>
            <w:r w:rsidRPr="00840AE5">
              <w:rPr>
                <w:rFonts w:eastAsia="Times New Roman"/>
              </w:rPr>
              <w:t>4</w:t>
            </w:r>
          </w:p>
        </w:tc>
        <w:tc>
          <w:tcPr>
            <w:tcW w:w="1352" w:type="dxa"/>
            <w:tcBorders>
              <w:top w:val="nil"/>
              <w:left w:val="nil"/>
              <w:bottom w:val="nil"/>
              <w:right w:val="nil"/>
            </w:tcBorders>
            <w:shd w:val="clear" w:color="auto" w:fill="auto"/>
            <w:noWrap/>
            <w:vAlign w:val="bottom"/>
            <w:hideMark/>
          </w:tcPr>
          <w:p w14:paraId="4B5D7C43" w14:textId="77777777" w:rsidR="0001066C" w:rsidRPr="00840AE5" w:rsidRDefault="0001066C" w:rsidP="00D75ED2">
            <w:pPr>
              <w:spacing w:after="0"/>
              <w:jc w:val="right"/>
              <w:rPr>
                <w:rFonts w:eastAsia="Times New Roman"/>
              </w:rPr>
            </w:pPr>
            <w:r w:rsidRPr="00840AE5">
              <w:rPr>
                <w:rFonts w:eastAsia="Times New Roman"/>
              </w:rPr>
              <w:t>0.88%</w:t>
            </w:r>
          </w:p>
        </w:tc>
      </w:tr>
      <w:tr w:rsidR="0001066C" w:rsidRPr="00840AE5" w14:paraId="7C6EB661" w14:textId="77777777" w:rsidTr="00D75ED2">
        <w:trPr>
          <w:trHeight w:val="300"/>
        </w:trPr>
        <w:tc>
          <w:tcPr>
            <w:tcW w:w="2340" w:type="dxa"/>
            <w:tcBorders>
              <w:top w:val="nil"/>
              <w:left w:val="nil"/>
              <w:bottom w:val="nil"/>
              <w:right w:val="nil"/>
            </w:tcBorders>
            <w:shd w:val="clear" w:color="auto" w:fill="auto"/>
            <w:noWrap/>
            <w:vAlign w:val="bottom"/>
            <w:hideMark/>
          </w:tcPr>
          <w:p w14:paraId="0FBE48E6" w14:textId="77777777" w:rsidR="0001066C" w:rsidRPr="00840AE5" w:rsidRDefault="0001066C" w:rsidP="00D75ED2">
            <w:pPr>
              <w:spacing w:after="0"/>
              <w:rPr>
                <w:rFonts w:eastAsia="Times New Roman"/>
              </w:rPr>
            </w:pPr>
            <w:r w:rsidRPr="00840AE5">
              <w:rPr>
                <w:rFonts w:eastAsia="Times New Roman"/>
              </w:rPr>
              <w:t>Mid East Arabian</w:t>
            </w:r>
          </w:p>
        </w:tc>
        <w:tc>
          <w:tcPr>
            <w:tcW w:w="1168" w:type="dxa"/>
            <w:tcBorders>
              <w:top w:val="nil"/>
              <w:left w:val="nil"/>
              <w:bottom w:val="nil"/>
              <w:right w:val="nil"/>
            </w:tcBorders>
            <w:shd w:val="clear" w:color="auto" w:fill="auto"/>
            <w:noWrap/>
            <w:vAlign w:val="bottom"/>
            <w:hideMark/>
          </w:tcPr>
          <w:p w14:paraId="11FF6611" w14:textId="77777777" w:rsidR="0001066C" w:rsidRPr="00840AE5" w:rsidRDefault="0001066C" w:rsidP="00D75ED2">
            <w:pPr>
              <w:spacing w:after="0"/>
              <w:jc w:val="right"/>
              <w:rPr>
                <w:rFonts w:eastAsia="Times New Roman"/>
              </w:rPr>
            </w:pPr>
            <w:r w:rsidRPr="00840AE5">
              <w:rPr>
                <w:rFonts w:eastAsia="Times New Roman"/>
              </w:rPr>
              <w:t>1</w:t>
            </w:r>
          </w:p>
        </w:tc>
        <w:tc>
          <w:tcPr>
            <w:tcW w:w="1352" w:type="dxa"/>
            <w:tcBorders>
              <w:top w:val="nil"/>
              <w:left w:val="nil"/>
              <w:bottom w:val="nil"/>
              <w:right w:val="nil"/>
            </w:tcBorders>
            <w:shd w:val="clear" w:color="auto" w:fill="auto"/>
            <w:noWrap/>
            <w:vAlign w:val="bottom"/>
            <w:hideMark/>
          </w:tcPr>
          <w:p w14:paraId="0DFB4ABC" w14:textId="77777777" w:rsidR="0001066C" w:rsidRPr="00840AE5" w:rsidRDefault="0001066C" w:rsidP="00D75ED2">
            <w:pPr>
              <w:spacing w:after="0"/>
              <w:jc w:val="right"/>
              <w:rPr>
                <w:rFonts w:eastAsia="Times New Roman"/>
              </w:rPr>
            </w:pPr>
            <w:r w:rsidRPr="00840AE5">
              <w:rPr>
                <w:rFonts w:eastAsia="Times New Roman"/>
              </w:rPr>
              <w:t>0.22%</w:t>
            </w:r>
          </w:p>
        </w:tc>
      </w:tr>
      <w:tr w:rsidR="0001066C" w:rsidRPr="00840AE5" w14:paraId="5F841F0A" w14:textId="77777777" w:rsidTr="00D75ED2">
        <w:trPr>
          <w:trHeight w:val="300"/>
        </w:trPr>
        <w:tc>
          <w:tcPr>
            <w:tcW w:w="2340" w:type="dxa"/>
            <w:tcBorders>
              <w:top w:val="nil"/>
              <w:left w:val="nil"/>
              <w:bottom w:val="nil"/>
              <w:right w:val="nil"/>
            </w:tcBorders>
            <w:shd w:val="clear" w:color="auto" w:fill="auto"/>
            <w:noWrap/>
            <w:vAlign w:val="bottom"/>
            <w:hideMark/>
          </w:tcPr>
          <w:p w14:paraId="3E57AE42" w14:textId="77777777" w:rsidR="0001066C" w:rsidRPr="00840AE5" w:rsidRDefault="0001066C" w:rsidP="00D75ED2">
            <w:pPr>
              <w:spacing w:after="0"/>
              <w:rPr>
                <w:rFonts w:eastAsia="Times New Roman"/>
              </w:rPr>
            </w:pPr>
            <w:r w:rsidRPr="00840AE5">
              <w:rPr>
                <w:rFonts w:eastAsia="Times New Roman"/>
              </w:rPr>
              <w:t>Other/Multi-racial</w:t>
            </w:r>
          </w:p>
        </w:tc>
        <w:tc>
          <w:tcPr>
            <w:tcW w:w="1168" w:type="dxa"/>
            <w:tcBorders>
              <w:top w:val="nil"/>
              <w:left w:val="nil"/>
              <w:bottom w:val="nil"/>
              <w:right w:val="nil"/>
            </w:tcBorders>
            <w:shd w:val="clear" w:color="auto" w:fill="auto"/>
            <w:noWrap/>
            <w:vAlign w:val="bottom"/>
            <w:hideMark/>
          </w:tcPr>
          <w:p w14:paraId="44C5001B" w14:textId="77777777" w:rsidR="0001066C" w:rsidRPr="00840AE5" w:rsidRDefault="0001066C" w:rsidP="00D75ED2">
            <w:pPr>
              <w:spacing w:after="0"/>
              <w:jc w:val="right"/>
              <w:rPr>
                <w:rFonts w:eastAsia="Times New Roman"/>
              </w:rPr>
            </w:pPr>
            <w:r w:rsidRPr="00840AE5">
              <w:rPr>
                <w:rFonts w:eastAsia="Times New Roman"/>
              </w:rPr>
              <w:t>1</w:t>
            </w:r>
          </w:p>
        </w:tc>
        <w:tc>
          <w:tcPr>
            <w:tcW w:w="1352" w:type="dxa"/>
            <w:tcBorders>
              <w:top w:val="nil"/>
              <w:left w:val="nil"/>
              <w:bottom w:val="nil"/>
              <w:right w:val="nil"/>
            </w:tcBorders>
            <w:shd w:val="clear" w:color="auto" w:fill="auto"/>
            <w:noWrap/>
            <w:vAlign w:val="bottom"/>
            <w:hideMark/>
          </w:tcPr>
          <w:p w14:paraId="54A1D563" w14:textId="77777777" w:rsidR="0001066C" w:rsidRPr="00840AE5" w:rsidRDefault="0001066C" w:rsidP="00D75ED2">
            <w:pPr>
              <w:spacing w:after="0"/>
              <w:jc w:val="right"/>
              <w:rPr>
                <w:rFonts w:eastAsia="Times New Roman"/>
              </w:rPr>
            </w:pPr>
            <w:r w:rsidRPr="00840AE5">
              <w:rPr>
                <w:rFonts w:eastAsia="Times New Roman"/>
              </w:rPr>
              <w:t>0.22%</w:t>
            </w:r>
          </w:p>
        </w:tc>
      </w:tr>
      <w:tr w:rsidR="0001066C" w:rsidRPr="00840AE5" w14:paraId="7A08C0FC" w14:textId="77777777" w:rsidTr="00D75ED2">
        <w:trPr>
          <w:trHeight w:val="300"/>
        </w:trPr>
        <w:tc>
          <w:tcPr>
            <w:tcW w:w="2340" w:type="dxa"/>
            <w:tcBorders>
              <w:top w:val="nil"/>
              <w:left w:val="nil"/>
              <w:bottom w:val="nil"/>
              <w:right w:val="nil"/>
            </w:tcBorders>
            <w:shd w:val="clear" w:color="auto" w:fill="auto"/>
            <w:noWrap/>
            <w:vAlign w:val="bottom"/>
            <w:hideMark/>
          </w:tcPr>
          <w:p w14:paraId="6AA7A7EF" w14:textId="77777777" w:rsidR="0001066C" w:rsidRPr="00840AE5" w:rsidRDefault="0001066C" w:rsidP="00D75ED2">
            <w:pPr>
              <w:spacing w:after="0"/>
              <w:rPr>
                <w:rFonts w:eastAsia="Times New Roman"/>
              </w:rPr>
            </w:pPr>
          </w:p>
        </w:tc>
        <w:tc>
          <w:tcPr>
            <w:tcW w:w="1168" w:type="dxa"/>
            <w:tcBorders>
              <w:top w:val="nil"/>
              <w:left w:val="nil"/>
              <w:bottom w:val="nil"/>
              <w:right w:val="nil"/>
            </w:tcBorders>
            <w:shd w:val="clear" w:color="auto" w:fill="auto"/>
            <w:noWrap/>
            <w:vAlign w:val="bottom"/>
            <w:hideMark/>
          </w:tcPr>
          <w:p w14:paraId="3CE26BD8" w14:textId="77777777" w:rsidR="0001066C" w:rsidRPr="00840AE5" w:rsidRDefault="0001066C" w:rsidP="00D75ED2">
            <w:pPr>
              <w:spacing w:after="0"/>
              <w:rPr>
                <w:rFonts w:eastAsia="Times New Roman"/>
              </w:rPr>
            </w:pPr>
          </w:p>
        </w:tc>
        <w:tc>
          <w:tcPr>
            <w:tcW w:w="1352" w:type="dxa"/>
            <w:tcBorders>
              <w:top w:val="nil"/>
              <w:left w:val="nil"/>
              <w:bottom w:val="nil"/>
              <w:right w:val="nil"/>
            </w:tcBorders>
            <w:shd w:val="clear" w:color="auto" w:fill="auto"/>
            <w:noWrap/>
            <w:vAlign w:val="bottom"/>
            <w:hideMark/>
          </w:tcPr>
          <w:p w14:paraId="55500626" w14:textId="77777777" w:rsidR="0001066C" w:rsidRPr="00840AE5" w:rsidRDefault="0001066C" w:rsidP="00D75ED2">
            <w:pPr>
              <w:spacing w:after="0"/>
              <w:rPr>
                <w:rFonts w:eastAsia="Times New Roman"/>
              </w:rPr>
            </w:pPr>
          </w:p>
        </w:tc>
      </w:tr>
      <w:tr w:rsidR="0001066C" w:rsidRPr="00840AE5" w14:paraId="4CD7B391" w14:textId="77777777" w:rsidTr="00D75ED2">
        <w:trPr>
          <w:trHeight w:val="300"/>
        </w:trPr>
        <w:tc>
          <w:tcPr>
            <w:tcW w:w="2340" w:type="dxa"/>
            <w:tcBorders>
              <w:top w:val="nil"/>
              <w:left w:val="nil"/>
              <w:bottom w:val="nil"/>
              <w:right w:val="nil"/>
            </w:tcBorders>
            <w:shd w:val="clear" w:color="auto" w:fill="auto"/>
            <w:noWrap/>
            <w:vAlign w:val="bottom"/>
            <w:hideMark/>
          </w:tcPr>
          <w:p w14:paraId="3CE073F1" w14:textId="77777777" w:rsidR="0001066C" w:rsidRPr="00840AE5" w:rsidRDefault="0001066C" w:rsidP="00D75ED2">
            <w:pPr>
              <w:spacing w:after="0"/>
              <w:rPr>
                <w:rFonts w:eastAsia="Times New Roman"/>
                <w:b/>
                <w:bCs/>
              </w:rPr>
            </w:pPr>
            <w:r w:rsidRPr="00840AE5">
              <w:rPr>
                <w:rFonts w:eastAsia="Times New Roman"/>
                <w:b/>
                <w:bCs/>
              </w:rPr>
              <w:t>Sex</w:t>
            </w:r>
          </w:p>
        </w:tc>
        <w:tc>
          <w:tcPr>
            <w:tcW w:w="1168" w:type="dxa"/>
            <w:tcBorders>
              <w:top w:val="nil"/>
              <w:left w:val="nil"/>
              <w:bottom w:val="nil"/>
              <w:right w:val="nil"/>
            </w:tcBorders>
            <w:shd w:val="clear" w:color="auto" w:fill="auto"/>
            <w:noWrap/>
            <w:vAlign w:val="bottom"/>
            <w:hideMark/>
          </w:tcPr>
          <w:p w14:paraId="09CCA9B7" w14:textId="77777777" w:rsidR="0001066C" w:rsidRPr="00840AE5" w:rsidRDefault="0001066C" w:rsidP="00D75ED2">
            <w:pPr>
              <w:spacing w:after="0"/>
              <w:rPr>
                <w:rFonts w:eastAsia="Times New Roman"/>
              </w:rPr>
            </w:pPr>
          </w:p>
        </w:tc>
        <w:tc>
          <w:tcPr>
            <w:tcW w:w="1352" w:type="dxa"/>
            <w:tcBorders>
              <w:top w:val="nil"/>
              <w:left w:val="nil"/>
              <w:bottom w:val="nil"/>
              <w:right w:val="nil"/>
            </w:tcBorders>
            <w:shd w:val="clear" w:color="auto" w:fill="auto"/>
            <w:noWrap/>
            <w:vAlign w:val="bottom"/>
            <w:hideMark/>
          </w:tcPr>
          <w:p w14:paraId="0B9777B3" w14:textId="77777777" w:rsidR="0001066C" w:rsidRPr="00840AE5" w:rsidRDefault="0001066C" w:rsidP="00D75ED2">
            <w:pPr>
              <w:spacing w:after="0"/>
              <w:rPr>
                <w:rFonts w:eastAsia="Times New Roman"/>
              </w:rPr>
            </w:pPr>
          </w:p>
        </w:tc>
      </w:tr>
      <w:tr w:rsidR="0001066C" w:rsidRPr="00840AE5" w14:paraId="6317B561" w14:textId="77777777" w:rsidTr="00D75ED2">
        <w:trPr>
          <w:trHeight w:val="300"/>
        </w:trPr>
        <w:tc>
          <w:tcPr>
            <w:tcW w:w="2340" w:type="dxa"/>
            <w:tcBorders>
              <w:top w:val="nil"/>
              <w:left w:val="nil"/>
              <w:bottom w:val="nil"/>
              <w:right w:val="nil"/>
            </w:tcBorders>
            <w:shd w:val="clear" w:color="auto" w:fill="auto"/>
            <w:noWrap/>
            <w:vAlign w:val="bottom"/>
            <w:hideMark/>
          </w:tcPr>
          <w:p w14:paraId="0A109B98" w14:textId="77777777" w:rsidR="0001066C" w:rsidRPr="00840AE5" w:rsidRDefault="0001066C" w:rsidP="00D75ED2">
            <w:pPr>
              <w:spacing w:after="0"/>
              <w:rPr>
                <w:rFonts w:eastAsia="Times New Roman"/>
              </w:rPr>
            </w:pPr>
            <w:r w:rsidRPr="00840AE5">
              <w:rPr>
                <w:rFonts w:eastAsia="Times New Roman"/>
              </w:rPr>
              <w:t>Female</w:t>
            </w:r>
          </w:p>
        </w:tc>
        <w:tc>
          <w:tcPr>
            <w:tcW w:w="1168" w:type="dxa"/>
            <w:tcBorders>
              <w:top w:val="nil"/>
              <w:left w:val="nil"/>
              <w:bottom w:val="nil"/>
              <w:right w:val="nil"/>
            </w:tcBorders>
            <w:shd w:val="clear" w:color="auto" w:fill="auto"/>
            <w:noWrap/>
            <w:vAlign w:val="bottom"/>
            <w:hideMark/>
          </w:tcPr>
          <w:p w14:paraId="3A2DC87F" w14:textId="77777777" w:rsidR="0001066C" w:rsidRPr="00840AE5" w:rsidRDefault="0001066C" w:rsidP="00D75ED2">
            <w:pPr>
              <w:spacing w:after="0"/>
              <w:jc w:val="right"/>
              <w:rPr>
                <w:rFonts w:eastAsia="Times New Roman"/>
              </w:rPr>
            </w:pPr>
            <w:r w:rsidRPr="00840AE5">
              <w:rPr>
                <w:rFonts w:eastAsia="Times New Roman"/>
              </w:rPr>
              <w:t>202</w:t>
            </w:r>
          </w:p>
        </w:tc>
        <w:tc>
          <w:tcPr>
            <w:tcW w:w="1352" w:type="dxa"/>
            <w:tcBorders>
              <w:top w:val="nil"/>
              <w:left w:val="nil"/>
              <w:bottom w:val="nil"/>
              <w:right w:val="nil"/>
            </w:tcBorders>
            <w:shd w:val="clear" w:color="auto" w:fill="auto"/>
            <w:noWrap/>
            <w:vAlign w:val="bottom"/>
            <w:hideMark/>
          </w:tcPr>
          <w:p w14:paraId="09718569" w14:textId="77777777" w:rsidR="0001066C" w:rsidRPr="00840AE5" w:rsidRDefault="0001066C" w:rsidP="00D75ED2">
            <w:pPr>
              <w:spacing w:after="0"/>
              <w:jc w:val="right"/>
              <w:rPr>
                <w:rFonts w:eastAsia="Times New Roman"/>
              </w:rPr>
            </w:pPr>
            <w:r w:rsidRPr="00840AE5">
              <w:rPr>
                <w:rFonts w:eastAsia="Times New Roman"/>
              </w:rPr>
              <w:t>44.40%</w:t>
            </w:r>
          </w:p>
        </w:tc>
      </w:tr>
      <w:tr w:rsidR="0001066C" w:rsidRPr="00840AE5" w14:paraId="7E5A5827" w14:textId="77777777" w:rsidTr="00D75ED2">
        <w:trPr>
          <w:trHeight w:val="300"/>
        </w:trPr>
        <w:tc>
          <w:tcPr>
            <w:tcW w:w="2340" w:type="dxa"/>
            <w:tcBorders>
              <w:top w:val="nil"/>
              <w:left w:val="nil"/>
              <w:bottom w:val="nil"/>
              <w:right w:val="nil"/>
            </w:tcBorders>
            <w:shd w:val="clear" w:color="auto" w:fill="auto"/>
            <w:noWrap/>
            <w:vAlign w:val="bottom"/>
            <w:hideMark/>
          </w:tcPr>
          <w:p w14:paraId="1F9638D6" w14:textId="77777777" w:rsidR="0001066C" w:rsidRPr="00840AE5" w:rsidRDefault="0001066C" w:rsidP="00D75ED2">
            <w:pPr>
              <w:spacing w:after="0"/>
              <w:rPr>
                <w:rFonts w:eastAsia="Times New Roman"/>
              </w:rPr>
            </w:pPr>
            <w:r w:rsidRPr="00840AE5">
              <w:rPr>
                <w:rFonts w:eastAsia="Times New Roman"/>
              </w:rPr>
              <w:t>Male</w:t>
            </w:r>
          </w:p>
        </w:tc>
        <w:tc>
          <w:tcPr>
            <w:tcW w:w="1168" w:type="dxa"/>
            <w:tcBorders>
              <w:top w:val="nil"/>
              <w:left w:val="nil"/>
              <w:bottom w:val="nil"/>
              <w:right w:val="nil"/>
            </w:tcBorders>
            <w:shd w:val="clear" w:color="auto" w:fill="auto"/>
            <w:noWrap/>
            <w:vAlign w:val="bottom"/>
            <w:hideMark/>
          </w:tcPr>
          <w:p w14:paraId="610F211D" w14:textId="77777777" w:rsidR="0001066C" w:rsidRPr="00840AE5" w:rsidRDefault="0001066C" w:rsidP="00D75ED2">
            <w:pPr>
              <w:spacing w:after="0"/>
              <w:jc w:val="right"/>
              <w:rPr>
                <w:rFonts w:eastAsia="Times New Roman"/>
              </w:rPr>
            </w:pPr>
            <w:r w:rsidRPr="00840AE5">
              <w:rPr>
                <w:rFonts w:eastAsia="Times New Roman"/>
              </w:rPr>
              <w:t>253</w:t>
            </w:r>
          </w:p>
        </w:tc>
        <w:tc>
          <w:tcPr>
            <w:tcW w:w="1352" w:type="dxa"/>
            <w:tcBorders>
              <w:top w:val="nil"/>
              <w:left w:val="nil"/>
              <w:bottom w:val="nil"/>
              <w:right w:val="nil"/>
            </w:tcBorders>
            <w:shd w:val="clear" w:color="auto" w:fill="auto"/>
            <w:noWrap/>
            <w:vAlign w:val="bottom"/>
            <w:hideMark/>
          </w:tcPr>
          <w:p w14:paraId="1C76384B" w14:textId="77777777" w:rsidR="0001066C" w:rsidRPr="00840AE5" w:rsidRDefault="0001066C" w:rsidP="00D75ED2">
            <w:pPr>
              <w:spacing w:after="0"/>
              <w:jc w:val="right"/>
              <w:rPr>
                <w:rFonts w:eastAsia="Times New Roman"/>
              </w:rPr>
            </w:pPr>
            <w:r w:rsidRPr="00840AE5">
              <w:rPr>
                <w:rFonts w:eastAsia="Times New Roman"/>
              </w:rPr>
              <w:t>55.60%</w:t>
            </w:r>
          </w:p>
        </w:tc>
      </w:tr>
      <w:tr w:rsidR="0001066C" w:rsidRPr="00840AE5" w14:paraId="3C5C4A9E" w14:textId="77777777" w:rsidTr="00D75ED2">
        <w:trPr>
          <w:trHeight w:val="300"/>
        </w:trPr>
        <w:tc>
          <w:tcPr>
            <w:tcW w:w="2340" w:type="dxa"/>
            <w:tcBorders>
              <w:top w:val="nil"/>
              <w:left w:val="nil"/>
              <w:bottom w:val="nil"/>
              <w:right w:val="nil"/>
            </w:tcBorders>
            <w:shd w:val="clear" w:color="auto" w:fill="auto"/>
            <w:noWrap/>
            <w:vAlign w:val="bottom"/>
            <w:hideMark/>
          </w:tcPr>
          <w:p w14:paraId="6AF4D83C" w14:textId="77777777" w:rsidR="0001066C" w:rsidRPr="00840AE5" w:rsidRDefault="0001066C" w:rsidP="00D75ED2">
            <w:pPr>
              <w:spacing w:after="0"/>
              <w:rPr>
                <w:rFonts w:eastAsia="Times New Roman"/>
              </w:rPr>
            </w:pPr>
          </w:p>
        </w:tc>
        <w:tc>
          <w:tcPr>
            <w:tcW w:w="1168" w:type="dxa"/>
            <w:tcBorders>
              <w:top w:val="nil"/>
              <w:left w:val="nil"/>
              <w:bottom w:val="nil"/>
              <w:right w:val="nil"/>
            </w:tcBorders>
            <w:shd w:val="clear" w:color="auto" w:fill="auto"/>
            <w:noWrap/>
            <w:vAlign w:val="bottom"/>
            <w:hideMark/>
          </w:tcPr>
          <w:p w14:paraId="4E18709B" w14:textId="77777777" w:rsidR="0001066C" w:rsidRPr="00840AE5" w:rsidRDefault="0001066C" w:rsidP="00D75ED2">
            <w:pPr>
              <w:spacing w:after="0"/>
              <w:rPr>
                <w:rFonts w:eastAsia="Times New Roman"/>
              </w:rPr>
            </w:pPr>
          </w:p>
        </w:tc>
        <w:tc>
          <w:tcPr>
            <w:tcW w:w="1352" w:type="dxa"/>
            <w:tcBorders>
              <w:top w:val="nil"/>
              <w:left w:val="nil"/>
              <w:bottom w:val="nil"/>
              <w:right w:val="nil"/>
            </w:tcBorders>
            <w:shd w:val="clear" w:color="auto" w:fill="auto"/>
            <w:noWrap/>
            <w:vAlign w:val="bottom"/>
            <w:hideMark/>
          </w:tcPr>
          <w:p w14:paraId="1AA4B910" w14:textId="77777777" w:rsidR="0001066C" w:rsidRPr="00840AE5" w:rsidRDefault="0001066C" w:rsidP="00D75ED2">
            <w:pPr>
              <w:spacing w:after="0"/>
              <w:rPr>
                <w:rFonts w:eastAsia="Times New Roman"/>
              </w:rPr>
            </w:pPr>
          </w:p>
        </w:tc>
      </w:tr>
      <w:tr w:rsidR="0001066C" w:rsidRPr="00840AE5" w14:paraId="24A6C608" w14:textId="77777777" w:rsidTr="00D75ED2">
        <w:trPr>
          <w:trHeight w:val="300"/>
        </w:trPr>
        <w:tc>
          <w:tcPr>
            <w:tcW w:w="2340" w:type="dxa"/>
            <w:tcBorders>
              <w:top w:val="nil"/>
              <w:left w:val="nil"/>
              <w:bottom w:val="nil"/>
              <w:right w:val="nil"/>
            </w:tcBorders>
            <w:shd w:val="clear" w:color="auto" w:fill="auto"/>
            <w:noWrap/>
            <w:vAlign w:val="bottom"/>
            <w:hideMark/>
          </w:tcPr>
          <w:p w14:paraId="3BA764E4" w14:textId="77777777" w:rsidR="0001066C" w:rsidRPr="00840AE5" w:rsidRDefault="0001066C" w:rsidP="00D75ED2">
            <w:pPr>
              <w:spacing w:after="0"/>
              <w:rPr>
                <w:rFonts w:eastAsia="Times New Roman"/>
                <w:b/>
                <w:bCs/>
              </w:rPr>
            </w:pPr>
            <w:r w:rsidRPr="00840AE5">
              <w:rPr>
                <w:rFonts w:eastAsia="Times New Roman"/>
                <w:b/>
                <w:bCs/>
              </w:rPr>
              <w:t>Ethnicity</w:t>
            </w:r>
          </w:p>
        </w:tc>
        <w:tc>
          <w:tcPr>
            <w:tcW w:w="1168" w:type="dxa"/>
            <w:tcBorders>
              <w:top w:val="nil"/>
              <w:left w:val="nil"/>
              <w:bottom w:val="nil"/>
              <w:right w:val="nil"/>
            </w:tcBorders>
            <w:shd w:val="clear" w:color="auto" w:fill="auto"/>
            <w:noWrap/>
            <w:vAlign w:val="bottom"/>
            <w:hideMark/>
          </w:tcPr>
          <w:p w14:paraId="1FD66256" w14:textId="77777777" w:rsidR="0001066C" w:rsidRPr="00840AE5" w:rsidRDefault="0001066C" w:rsidP="00D75ED2">
            <w:pPr>
              <w:spacing w:after="0"/>
              <w:rPr>
                <w:rFonts w:eastAsia="Times New Roman"/>
              </w:rPr>
            </w:pPr>
          </w:p>
        </w:tc>
        <w:tc>
          <w:tcPr>
            <w:tcW w:w="1352" w:type="dxa"/>
            <w:tcBorders>
              <w:top w:val="nil"/>
              <w:left w:val="nil"/>
              <w:bottom w:val="nil"/>
              <w:right w:val="nil"/>
            </w:tcBorders>
            <w:shd w:val="clear" w:color="auto" w:fill="auto"/>
            <w:noWrap/>
            <w:vAlign w:val="bottom"/>
            <w:hideMark/>
          </w:tcPr>
          <w:p w14:paraId="7E87391B" w14:textId="77777777" w:rsidR="0001066C" w:rsidRPr="00840AE5" w:rsidRDefault="0001066C" w:rsidP="00D75ED2">
            <w:pPr>
              <w:spacing w:after="0"/>
              <w:rPr>
                <w:rFonts w:eastAsia="Times New Roman"/>
              </w:rPr>
            </w:pPr>
          </w:p>
        </w:tc>
      </w:tr>
      <w:tr w:rsidR="0001066C" w:rsidRPr="00840AE5" w14:paraId="50B11546" w14:textId="77777777" w:rsidTr="00D75ED2">
        <w:trPr>
          <w:trHeight w:val="300"/>
        </w:trPr>
        <w:tc>
          <w:tcPr>
            <w:tcW w:w="2340" w:type="dxa"/>
            <w:tcBorders>
              <w:top w:val="nil"/>
              <w:left w:val="nil"/>
              <w:bottom w:val="nil"/>
              <w:right w:val="nil"/>
            </w:tcBorders>
            <w:shd w:val="clear" w:color="auto" w:fill="auto"/>
            <w:noWrap/>
            <w:vAlign w:val="bottom"/>
            <w:hideMark/>
          </w:tcPr>
          <w:p w14:paraId="2D07F940" w14:textId="77777777" w:rsidR="0001066C" w:rsidRPr="00840AE5" w:rsidRDefault="0001066C" w:rsidP="00D75ED2">
            <w:pPr>
              <w:spacing w:after="0"/>
              <w:rPr>
                <w:rFonts w:eastAsia="Times New Roman"/>
              </w:rPr>
            </w:pPr>
            <w:r w:rsidRPr="00840AE5">
              <w:rPr>
                <w:rFonts w:eastAsia="Times New Roman"/>
              </w:rPr>
              <w:t>Hispanic</w:t>
            </w:r>
          </w:p>
        </w:tc>
        <w:tc>
          <w:tcPr>
            <w:tcW w:w="1168" w:type="dxa"/>
            <w:tcBorders>
              <w:top w:val="nil"/>
              <w:left w:val="nil"/>
              <w:bottom w:val="nil"/>
              <w:right w:val="nil"/>
            </w:tcBorders>
            <w:shd w:val="clear" w:color="auto" w:fill="auto"/>
            <w:noWrap/>
            <w:vAlign w:val="bottom"/>
            <w:hideMark/>
          </w:tcPr>
          <w:p w14:paraId="25F1C5A6" w14:textId="77777777" w:rsidR="0001066C" w:rsidRPr="00840AE5" w:rsidRDefault="0001066C" w:rsidP="00D75ED2">
            <w:pPr>
              <w:spacing w:after="0"/>
              <w:jc w:val="right"/>
              <w:rPr>
                <w:rFonts w:eastAsia="Times New Roman"/>
              </w:rPr>
            </w:pPr>
            <w:r w:rsidRPr="00840AE5">
              <w:rPr>
                <w:rFonts w:eastAsia="Times New Roman"/>
              </w:rPr>
              <w:t>163</w:t>
            </w:r>
          </w:p>
        </w:tc>
        <w:tc>
          <w:tcPr>
            <w:tcW w:w="1352" w:type="dxa"/>
            <w:tcBorders>
              <w:top w:val="nil"/>
              <w:left w:val="nil"/>
              <w:bottom w:val="nil"/>
              <w:right w:val="nil"/>
            </w:tcBorders>
            <w:shd w:val="clear" w:color="auto" w:fill="auto"/>
            <w:noWrap/>
            <w:vAlign w:val="bottom"/>
            <w:hideMark/>
          </w:tcPr>
          <w:p w14:paraId="47382A06" w14:textId="77777777" w:rsidR="0001066C" w:rsidRPr="00840AE5" w:rsidRDefault="0001066C" w:rsidP="00D75ED2">
            <w:pPr>
              <w:spacing w:after="0"/>
              <w:jc w:val="right"/>
              <w:rPr>
                <w:rFonts w:eastAsia="Times New Roman"/>
              </w:rPr>
            </w:pPr>
            <w:r w:rsidRPr="00840AE5">
              <w:rPr>
                <w:rFonts w:eastAsia="Times New Roman"/>
              </w:rPr>
              <w:t>35.82%</w:t>
            </w:r>
          </w:p>
        </w:tc>
      </w:tr>
      <w:tr w:rsidR="0001066C" w:rsidRPr="00840AE5" w14:paraId="1B3F2D9D" w14:textId="77777777" w:rsidTr="00D75ED2">
        <w:trPr>
          <w:trHeight w:val="300"/>
        </w:trPr>
        <w:tc>
          <w:tcPr>
            <w:tcW w:w="2340" w:type="dxa"/>
            <w:tcBorders>
              <w:top w:val="nil"/>
              <w:left w:val="nil"/>
              <w:bottom w:val="nil"/>
              <w:right w:val="nil"/>
            </w:tcBorders>
            <w:shd w:val="clear" w:color="auto" w:fill="auto"/>
            <w:noWrap/>
            <w:vAlign w:val="bottom"/>
            <w:hideMark/>
          </w:tcPr>
          <w:p w14:paraId="348A0A41" w14:textId="77777777" w:rsidR="0001066C" w:rsidRPr="00840AE5" w:rsidRDefault="0001066C" w:rsidP="00D75ED2">
            <w:pPr>
              <w:spacing w:after="0"/>
              <w:rPr>
                <w:rFonts w:eastAsia="Times New Roman"/>
              </w:rPr>
            </w:pPr>
            <w:r w:rsidRPr="00840AE5">
              <w:rPr>
                <w:rFonts w:eastAsia="Times New Roman"/>
              </w:rPr>
              <w:t>Non-Hispanic</w:t>
            </w:r>
          </w:p>
        </w:tc>
        <w:tc>
          <w:tcPr>
            <w:tcW w:w="1168" w:type="dxa"/>
            <w:tcBorders>
              <w:top w:val="nil"/>
              <w:left w:val="nil"/>
              <w:bottom w:val="nil"/>
              <w:right w:val="nil"/>
            </w:tcBorders>
            <w:shd w:val="clear" w:color="auto" w:fill="auto"/>
            <w:noWrap/>
            <w:vAlign w:val="bottom"/>
            <w:hideMark/>
          </w:tcPr>
          <w:p w14:paraId="2EB821B4" w14:textId="77777777" w:rsidR="0001066C" w:rsidRPr="00840AE5" w:rsidRDefault="0001066C" w:rsidP="00D75ED2">
            <w:pPr>
              <w:spacing w:after="0"/>
              <w:jc w:val="right"/>
              <w:rPr>
                <w:rFonts w:eastAsia="Times New Roman"/>
              </w:rPr>
            </w:pPr>
            <w:r w:rsidRPr="00840AE5">
              <w:rPr>
                <w:rFonts w:eastAsia="Times New Roman"/>
              </w:rPr>
              <w:t>292</w:t>
            </w:r>
          </w:p>
        </w:tc>
        <w:tc>
          <w:tcPr>
            <w:tcW w:w="1352" w:type="dxa"/>
            <w:tcBorders>
              <w:top w:val="nil"/>
              <w:left w:val="nil"/>
              <w:bottom w:val="nil"/>
              <w:right w:val="nil"/>
            </w:tcBorders>
            <w:shd w:val="clear" w:color="auto" w:fill="auto"/>
            <w:noWrap/>
            <w:vAlign w:val="bottom"/>
            <w:hideMark/>
          </w:tcPr>
          <w:p w14:paraId="68F1B1CE" w14:textId="77777777" w:rsidR="0001066C" w:rsidRPr="00840AE5" w:rsidRDefault="0001066C" w:rsidP="00D75ED2">
            <w:pPr>
              <w:spacing w:after="0"/>
              <w:jc w:val="right"/>
              <w:rPr>
                <w:rFonts w:eastAsia="Times New Roman"/>
              </w:rPr>
            </w:pPr>
            <w:r w:rsidRPr="00840AE5">
              <w:rPr>
                <w:rFonts w:eastAsia="Times New Roman"/>
              </w:rPr>
              <w:t>64.18%</w:t>
            </w:r>
          </w:p>
        </w:tc>
      </w:tr>
    </w:tbl>
    <w:p w14:paraId="61C5AA96" w14:textId="77777777" w:rsidR="0001066C" w:rsidRDefault="0001066C" w:rsidP="0001066C">
      <w:pPr>
        <w:autoSpaceDE w:val="0"/>
        <w:autoSpaceDN w:val="0"/>
        <w:adjustRightInd w:val="0"/>
        <w:spacing w:after="0" w:line="240" w:lineRule="auto"/>
        <w:rPr>
          <w:rFonts w:cstheme="minorHAnsi"/>
          <w:bCs/>
        </w:rPr>
      </w:pPr>
      <w:r w:rsidRPr="00A25024">
        <w:rPr>
          <w:rFonts w:cstheme="minorHAnsi"/>
          <w:bCs/>
        </w:rPr>
        <w:br/>
      </w:r>
      <w:r w:rsidRPr="00A25024">
        <w:rPr>
          <w:rFonts w:cstheme="minorHAnsi"/>
          <w:bCs/>
        </w:rPr>
        <w:br/>
      </w:r>
    </w:p>
    <w:p w14:paraId="3523BB81" w14:textId="22ACD802" w:rsidR="00CB58A9" w:rsidRPr="0001066C" w:rsidRDefault="0001066C" w:rsidP="00CB58A9">
      <w:pPr>
        <w:spacing w:after="120"/>
        <w:rPr>
          <w:color w:val="FF0000"/>
        </w:rPr>
      </w:pPr>
      <w:r w:rsidRPr="0001066C">
        <w:rPr>
          <w:rFonts w:cstheme="minorHAnsi"/>
          <w:bCs/>
          <w:color w:val="FF0000"/>
        </w:rPr>
        <w:t>For the Spring 2019 maintenance submission,</w:t>
      </w:r>
      <w:r w:rsidRPr="0001066C">
        <w:rPr>
          <w:color w:val="FF0000"/>
        </w:rPr>
        <w:t xml:space="preserve"> t</w:t>
      </w:r>
      <w:r w:rsidR="00CB58A9" w:rsidRPr="0001066C">
        <w:rPr>
          <w:color w:val="FF0000"/>
        </w:rPr>
        <w:t>esting was performed on all Medicare and non-Medicare pediatric, ICH patients available in CROWNWeb from 201</w:t>
      </w:r>
      <w:r w:rsidR="00C03561" w:rsidRPr="0001066C">
        <w:rPr>
          <w:color w:val="FF0000"/>
        </w:rPr>
        <w:t>7</w:t>
      </w:r>
      <w:r w:rsidR="00CB58A9" w:rsidRPr="0001066C">
        <w:rPr>
          <w:color w:val="FF0000"/>
        </w:rPr>
        <w:t xml:space="preserve">. The sample included </w:t>
      </w:r>
      <w:r w:rsidR="00C03561" w:rsidRPr="0001066C">
        <w:rPr>
          <w:color w:val="FF0000"/>
        </w:rPr>
        <w:t>511</w:t>
      </w:r>
      <w:r w:rsidR="00CB58A9" w:rsidRPr="0001066C">
        <w:rPr>
          <w:color w:val="FF0000"/>
        </w:rPr>
        <w:t xml:space="preserve"> patients from </w:t>
      </w:r>
      <w:r w:rsidR="00C03561" w:rsidRPr="0001066C">
        <w:rPr>
          <w:color w:val="FF0000"/>
        </w:rPr>
        <w:t>29</w:t>
      </w:r>
      <w:r w:rsidR="00CB58A9" w:rsidRPr="0001066C">
        <w:rPr>
          <w:color w:val="FF0000"/>
        </w:rPr>
        <w:t xml:space="preserve"> facilities. The table below shows the number and percent of pediatric ICH patients by race, sex, and Hispanic ethnicity. </w:t>
      </w:r>
    </w:p>
    <w:tbl>
      <w:tblPr>
        <w:tblW w:w="4860" w:type="dxa"/>
        <w:tblLook w:val="04A0" w:firstRow="1" w:lastRow="0" w:firstColumn="1" w:lastColumn="0" w:noHBand="0" w:noVBand="1"/>
      </w:tblPr>
      <w:tblGrid>
        <w:gridCol w:w="2340"/>
        <w:gridCol w:w="1168"/>
        <w:gridCol w:w="1352"/>
      </w:tblGrid>
      <w:tr w:rsidR="0001066C" w:rsidRPr="0001066C" w14:paraId="40B1DC2E" w14:textId="77777777" w:rsidTr="00E547E6">
        <w:trPr>
          <w:trHeight w:val="300"/>
        </w:trPr>
        <w:tc>
          <w:tcPr>
            <w:tcW w:w="2340" w:type="dxa"/>
            <w:tcBorders>
              <w:top w:val="nil"/>
              <w:left w:val="nil"/>
              <w:bottom w:val="nil"/>
              <w:right w:val="nil"/>
            </w:tcBorders>
            <w:shd w:val="clear" w:color="auto" w:fill="auto"/>
            <w:noWrap/>
            <w:vAlign w:val="bottom"/>
            <w:hideMark/>
          </w:tcPr>
          <w:p w14:paraId="3970FC23" w14:textId="77777777" w:rsidR="00E547E6" w:rsidRPr="0001066C" w:rsidRDefault="00E547E6" w:rsidP="00D75ED2">
            <w:pPr>
              <w:spacing w:after="0"/>
              <w:rPr>
                <w:rFonts w:eastAsia="Times New Roman"/>
                <w:b/>
                <w:bCs/>
                <w:color w:val="FF0000"/>
              </w:rPr>
            </w:pPr>
            <w:r w:rsidRPr="0001066C">
              <w:rPr>
                <w:rFonts w:eastAsia="Times New Roman"/>
                <w:b/>
                <w:bCs/>
                <w:color w:val="FF0000"/>
              </w:rPr>
              <w:t>Race</w:t>
            </w:r>
          </w:p>
        </w:tc>
        <w:tc>
          <w:tcPr>
            <w:tcW w:w="1168" w:type="dxa"/>
            <w:tcBorders>
              <w:top w:val="nil"/>
              <w:left w:val="nil"/>
              <w:bottom w:val="nil"/>
              <w:right w:val="nil"/>
            </w:tcBorders>
            <w:shd w:val="clear" w:color="auto" w:fill="auto"/>
            <w:noWrap/>
            <w:vAlign w:val="bottom"/>
            <w:hideMark/>
          </w:tcPr>
          <w:p w14:paraId="3E85A60E" w14:textId="77777777" w:rsidR="00E547E6" w:rsidRPr="0001066C" w:rsidRDefault="00E547E6" w:rsidP="00D75ED2">
            <w:pPr>
              <w:spacing w:after="0"/>
              <w:rPr>
                <w:rFonts w:eastAsia="Times New Roman"/>
                <w:b/>
                <w:bCs/>
                <w:color w:val="FF0000"/>
              </w:rPr>
            </w:pPr>
            <w:r w:rsidRPr="0001066C">
              <w:rPr>
                <w:rFonts w:eastAsia="Times New Roman"/>
                <w:b/>
                <w:bCs/>
                <w:color w:val="FF0000"/>
              </w:rPr>
              <w:t>Frequency</w:t>
            </w:r>
          </w:p>
        </w:tc>
        <w:tc>
          <w:tcPr>
            <w:tcW w:w="1352" w:type="dxa"/>
            <w:tcBorders>
              <w:top w:val="nil"/>
              <w:left w:val="nil"/>
              <w:bottom w:val="nil"/>
              <w:right w:val="nil"/>
            </w:tcBorders>
            <w:shd w:val="clear" w:color="auto" w:fill="auto"/>
            <w:noWrap/>
            <w:vAlign w:val="bottom"/>
            <w:hideMark/>
          </w:tcPr>
          <w:p w14:paraId="28402AAC" w14:textId="77777777" w:rsidR="00E547E6" w:rsidRPr="0001066C" w:rsidRDefault="00E547E6" w:rsidP="00D75ED2">
            <w:pPr>
              <w:spacing w:after="0"/>
              <w:rPr>
                <w:rFonts w:eastAsia="Times New Roman"/>
                <w:b/>
                <w:bCs/>
                <w:color w:val="FF0000"/>
              </w:rPr>
            </w:pPr>
            <w:r w:rsidRPr="0001066C">
              <w:rPr>
                <w:rFonts w:eastAsia="Times New Roman"/>
                <w:b/>
                <w:bCs/>
                <w:color w:val="FF0000"/>
              </w:rPr>
              <w:t>Percent</w:t>
            </w:r>
          </w:p>
        </w:tc>
      </w:tr>
      <w:tr w:rsidR="0001066C" w:rsidRPr="0001066C" w14:paraId="1FF89435" w14:textId="77777777" w:rsidTr="00E547E6">
        <w:trPr>
          <w:trHeight w:val="180"/>
        </w:trPr>
        <w:tc>
          <w:tcPr>
            <w:tcW w:w="2340" w:type="dxa"/>
            <w:tcBorders>
              <w:top w:val="nil"/>
              <w:left w:val="nil"/>
              <w:bottom w:val="nil"/>
              <w:right w:val="nil"/>
            </w:tcBorders>
            <w:shd w:val="clear" w:color="auto" w:fill="auto"/>
            <w:noWrap/>
            <w:vAlign w:val="bottom"/>
            <w:hideMark/>
          </w:tcPr>
          <w:p w14:paraId="0258A66F" w14:textId="77777777" w:rsidR="00E547E6" w:rsidRPr="0001066C" w:rsidRDefault="00E547E6" w:rsidP="00D75ED2">
            <w:pPr>
              <w:spacing w:after="0"/>
              <w:rPr>
                <w:rFonts w:eastAsia="Times New Roman"/>
                <w:color w:val="FF0000"/>
              </w:rPr>
            </w:pPr>
          </w:p>
        </w:tc>
        <w:tc>
          <w:tcPr>
            <w:tcW w:w="1168" w:type="dxa"/>
            <w:tcBorders>
              <w:top w:val="nil"/>
              <w:left w:val="nil"/>
              <w:bottom w:val="nil"/>
              <w:right w:val="nil"/>
            </w:tcBorders>
            <w:shd w:val="clear" w:color="auto" w:fill="auto"/>
            <w:noWrap/>
            <w:vAlign w:val="bottom"/>
            <w:hideMark/>
          </w:tcPr>
          <w:p w14:paraId="1DF59C03" w14:textId="77777777" w:rsidR="00E547E6" w:rsidRPr="0001066C" w:rsidRDefault="00E547E6" w:rsidP="00D75ED2">
            <w:pPr>
              <w:spacing w:after="0"/>
              <w:rPr>
                <w:rFonts w:eastAsia="Times New Roman"/>
                <w:color w:val="FF0000"/>
              </w:rPr>
            </w:pPr>
          </w:p>
        </w:tc>
        <w:tc>
          <w:tcPr>
            <w:tcW w:w="1352" w:type="dxa"/>
            <w:tcBorders>
              <w:top w:val="nil"/>
              <w:left w:val="nil"/>
              <w:bottom w:val="nil"/>
              <w:right w:val="nil"/>
            </w:tcBorders>
            <w:shd w:val="clear" w:color="auto" w:fill="auto"/>
            <w:noWrap/>
            <w:vAlign w:val="bottom"/>
            <w:hideMark/>
          </w:tcPr>
          <w:p w14:paraId="726ECE98" w14:textId="77777777" w:rsidR="00E547E6" w:rsidRPr="0001066C" w:rsidRDefault="00E547E6" w:rsidP="00D75ED2">
            <w:pPr>
              <w:spacing w:after="0"/>
              <w:rPr>
                <w:rFonts w:eastAsia="Times New Roman"/>
                <w:color w:val="FF0000"/>
              </w:rPr>
            </w:pPr>
          </w:p>
        </w:tc>
      </w:tr>
      <w:tr w:rsidR="0001066C" w:rsidRPr="0001066C" w14:paraId="15DBCD7C" w14:textId="77777777" w:rsidTr="00E547E6">
        <w:trPr>
          <w:trHeight w:val="300"/>
        </w:trPr>
        <w:tc>
          <w:tcPr>
            <w:tcW w:w="2340" w:type="dxa"/>
            <w:tcBorders>
              <w:top w:val="nil"/>
              <w:left w:val="nil"/>
              <w:bottom w:val="nil"/>
              <w:right w:val="nil"/>
            </w:tcBorders>
            <w:shd w:val="clear" w:color="auto" w:fill="auto"/>
            <w:noWrap/>
            <w:vAlign w:val="bottom"/>
            <w:hideMark/>
          </w:tcPr>
          <w:p w14:paraId="1E5A79D1" w14:textId="77777777" w:rsidR="00E547E6" w:rsidRPr="0001066C" w:rsidRDefault="00E547E6" w:rsidP="00D75ED2">
            <w:pPr>
              <w:spacing w:after="0"/>
              <w:rPr>
                <w:rFonts w:eastAsia="Times New Roman"/>
                <w:color w:val="FF0000"/>
              </w:rPr>
            </w:pPr>
            <w:r w:rsidRPr="0001066C">
              <w:rPr>
                <w:rFonts w:eastAsia="Times New Roman"/>
                <w:color w:val="FF0000"/>
              </w:rPr>
              <w:t>Asian/Pacific Islander</w:t>
            </w:r>
          </w:p>
        </w:tc>
        <w:tc>
          <w:tcPr>
            <w:tcW w:w="1168" w:type="dxa"/>
            <w:tcBorders>
              <w:top w:val="nil"/>
              <w:left w:val="nil"/>
              <w:bottom w:val="nil"/>
              <w:right w:val="nil"/>
            </w:tcBorders>
            <w:shd w:val="clear" w:color="auto" w:fill="auto"/>
            <w:noWrap/>
            <w:vAlign w:val="bottom"/>
            <w:hideMark/>
          </w:tcPr>
          <w:p w14:paraId="1000021F" w14:textId="77777777" w:rsidR="00E547E6" w:rsidRPr="0001066C" w:rsidRDefault="00E547E6" w:rsidP="00D75ED2">
            <w:pPr>
              <w:spacing w:after="0"/>
              <w:jc w:val="right"/>
              <w:rPr>
                <w:rFonts w:eastAsia="Times New Roman"/>
                <w:color w:val="FF0000"/>
              </w:rPr>
            </w:pPr>
            <w:r w:rsidRPr="0001066C">
              <w:rPr>
                <w:rFonts w:eastAsia="Times New Roman"/>
                <w:color w:val="FF0000"/>
              </w:rPr>
              <w:t>37</w:t>
            </w:r>
          </w:p>
        </w:tc>
        <w:tc>
          <w:tcPr>
            <w:tcW w:w="1352" w:type="dxa"/>
            <w:tcBorders>
              <w:top w:val="nil"/>
              <w:left w:val="nil"/>
              <w:bottom w:val="nil"/>
              <w:right w:val="nil"/>
            </w:tcBorders>
            <w:shd w:val="clear" w:color="auto" w:fill="auto"/>
            <w:noWrap/>
            <w:vAlign w:val="bottom"/>
            <w:hideMark/>
          </w:tcPr>
          <w:p w14:paraId="6B5E25C4" w14:textId="77777777" w:rsidR="00E547E6" w:rsidRPr="0001066C" w:rsidRDefault="00E547E6" w:rsidP="00D75ED2">
            <w:pPr>
              <w:spacing w:after="0"/>
              <w:jc w:val="right"/>
              <w:rPr>
                <w:rFonts w:eastAsia="Times New Roman"/>
                <w:color w:val="FF0000"/>
              </w:rPr>
            </w:pPr>
            <w:r w:rsidRPr="0001066C">
              <w:rPr>
                <w:rFonts w:eastAsia="Times New Roman"/>
                <w:color w:val="FF0000"/>
              </w:rPr>
              <w:t>7.24%</w:t>
            </w:r>
          </w:p>
        </w:tc>
      </w:tr>
      <w:tr w:rsidR="0001066C" w:rsidRPr="0001066C" w14:paraId="68227C36" w14:textId="77777777" w:rsidTr="00E547E6">
        <w:trPr>
          <w:trHeight w:val="300"/>
        </w:trPr>
        <w:tc>
          <w:tcPr>
            <w:tcW w:w="2340" w:type="dxa"/>
            <w:tcBorders>
              <w:top w:val="nil"/>
              <w:left w:val="nil"/>
              <w:bottom w:val="nil"/>
              <w:right w:val="nil"/>
            </w:tcBorders>
            <w:shd w:val="clear" w:color="auto" w:fill="auto"/>
            <w:noWrap/>
            <w:vAlign w:val="bottom"/>
            <w:hideMark/>
          </w:tcPr>
          <w:p w14:paraId="2C66DC80" w14:textId="77777777" w:rsidR="00E547E6" w:rsidRPr="0001066C" w:rsidRDefault="00E547E6" w:rsidP="00D75ED2">
            <w:pPr>
              <w:spacing w:after="0"/>
              <w:rPr>
                <w:rFonts w:eastAsia="Times New Roman"/>
                <w:color w:val="FF0000"/>
              </w:rPr>
            </w:pPr>
            <w:r w:rsidRPr="0001066C">
              <w:rPr>
                <w:rFonts w:eastAsia="Times New Roman"/>
                <w:color w:val="FF0000"/>
              </w:rPr>
              <w:t>Black</w:t>
            </w:r>
          </w:p>
        </w:tc>
        <w:tc>
          <w:tcPr>
            <w:tcW w:w="1168" w:type="dxa"/>
            <w:tcBorders>
              <w:top w:val="nil"/>
              <w:left w:val="nil"/>
              <w:bottom w:val="nil"/>
              <w:right w:val="nil"/>
            </w:tcBorders>
            <w:shd w:val="clear" w:color="auto" w:fill="auto"/>
            <w:noWrap/>
            <w:vAlign w:val="bottom"/>
            <w:hideMark/>
          </w:tcPr>
          <w:p w14:paraId="0125D4CC" w14:textId="77777777" w:rsidR="00E547E6" w:rsidRPr="0001066C" w:rsidRDefault="00E547E6" w:rsidP="00D75ED2">
            <w:pPr>
              <w:spacing w:after="0"/>
              <w:jc w:val="right"/>
              <w:rPr>
                <w:rFonts w:eastAsia="Times New Roman"/>
                <w:color w:val="FF0000"/>
              </w:rPr>
            </w:pPr>
            <w:r w:rsidRPr="0001066C">
              <w:rPr>
                <w:rFonts w:eastAsia="Times New Roman"/>
                <w:color w:val="FF0000"/>
              </w:rPr>
              <w:t>146</w:t>
            </w:r>
          </w:p>
        </w:tc>
        <w:tc>
          <w:tcPr>
            <w:tcW w:w="1352" w:type="dxa"/>
            <w:tcBorders>
              <w:top w:val="nil"/>
              <w:left w:val="nil"/>
              <w:bottom w:val="nil"/>
              <w:right w:val="nil"/>
            </w:tcBorders>
            <w:shd w:val="clear" w:color="auto" w:fill="auto"/>
            <w:noWrap/>
            <w:vAlign w:val="bottom"/>
            <w:hideMark/>
          </w:tcPr>
          <w:p w14:paraId="236155BA" w14:textId="77777777" w:rsidR="00E547E6" w:rsidRPr="0001066C" w:rsidRDefault="00E547E6" w:rsidP="00D75ED2">
            <w:pPr>
              <w:spacing w:after="0"/>
              <w:jc w:val="right"/>
              <w:rPr>
                <w:rFonts w:eastAsia="Times New Roman"/>
                <w:color w:val="FF0000"/>
              </w:rPr>
            </w:pPr>
            <w:r w:rsidRPr="0001066C">
              <w:rPr>
                <w:rFonts w:eastAsia="Times New Roman"/>
                <w:color w:val="FF0000"/>
              </w:rPr>
              <w:t>28.57%</w:t>
            </w:r>
          </w:p>
        </w:tc>
      </w:tr>
      <w:tr w:rsidR="0001066C" w:rsidRPr="0001066C" w14:paraId="6C86DFC8" w14:textId="77777777" w:rsidTr="00E547E6">
        <w:trPr>
          <w:trHeight w:val="300"/>
        </w:trPr>
        <w:tc>
          <w:tcPr>
            <w:tcW w:w="2340" w:type="dxa"/>
            <w:tcBorders>
              <w:top w:val="nil"/>
              <w:left w:val="nil"/>
              <w:bottom w:val="nil"/>
              <w:right w:val="nil"/>
            </w:tcBorders>
            <w:shd w:val="clear" w:color="auto" w:fill="auto"/>
            <w:noWrap/>
            <w:vAlign w:val="bottom"/>
            <w:hideMark/>
          </w:tcPr>
          <w:p w14:paraId="0E041F71" w14:textId="77777777" w:rsidR="00E547E6" w:rsidRPr="0001066C" w:rsidRDefault="00E547E6" w:rsidP="00D75ED2">
            <w:pPr>
              <w:spacing w:after="0"/>
              <w:rPr>
                <w:rFonts w:eastAsia="Times New Roman"/>
                <w:color w:val="FF0000"/>
              </w:rPr>
            </w:pPr>
            <w:r w:rsidRPr="0001066C">
              <w:rPr>
                <w:rFonts w:eastAsia="Times New Roman"/>
                <w:color w:val="FF0000"/>
              </w:rPr>
              <w:t>White</w:t>
            </w:r>
          </w:p>
        </w:tc>
        <w:tc>
          <w:tcPr>
            <w:tcW w:w="1168" w:type="dxa"/>
            <w:tcBorders>
              <w:top w:val="nil"/>
              <w:left w:val="nil"/>
              <w:bottom w:val="nil"/>
              <w:right w:val="nil"/>
            </w:tcBorders>
            <w:shd w:val="clear" w:color="auto" w:fill="auto"/>
            <w:noWrap/>
            <w:vAlign w:val="bottom"/>
            <w:hideMark/>
          </w:tcPr>
          <w:p w14:paraId="4F36D890" w14:textId="77777777" w:rsidR="00E547E6" w:rsidRPr="0001066C" w:rsidRDefault="00E547E6" w:rsidP="00D75ED2">
            <w:pPr>
              <w:spacing w:after="0"/>
              <w:jc w:val="right"/>
              <w:rPr>
                <w:rFonts w:eastAsia="Times New Roman"/>
                <w:color w:val="FF0000"/>
              </w:rPr>
            </w:pPr>
            <w:r w:rsidRPr="0001066C">
              <w:rPr>
                <w:rFonts w:eastAsia="Times New Roman"/>
                <w:color w:val="FF0000"/>
              </w:rPr>
              <w:t>317</w:t>
            </w:r>
          </w:p>
        </w:tc>
        <w:tc>
          <w:tcPr>
            <w:tcW w:w="1352" w:type="dxa"/>
            <w:tcBorders>
              <w:top w:val="nil"/>
              <w:left w:val="nil"/>
              <w:bottom w:val="nil"/>
              <w:right w:val="nil"/>
            </w:tcBorders>
            <w:shd w:val="clear" w:color="auto" w:fill="auto"/>
            <w:noWrap/>
            <w:vAlign w:val="bottom"/>
            <w:hideMark/>
          </w:tcPr>
          <w:p w14:paraId="061EF418" w14:textId="77777777" w:rsidR="00E547E6" w:rsidRPr="0001066C" w:rsidRDefault="00E547E6" w:rsidP="00D75ED2">
            <w:pPr>
              <w:spacing w:after="0"/>
              <w:jc w:val="right"/>
              <w:rPr>
                <w:rFonts w:eastAsia="Times New Roman"/>
                <w:color w:val="FF0000"/>
              </w:rPr>
            </w:pPr>
            <w:r w:rsidRPr="0001066C">
              <w:rPr>
                <w:rFonts w:eastAsia="Times New Roman"/>
                <w:color w:val="FF0000"/>
              </w:rPr>
              <w:t>62.04%</w:t>
            </w:r>
          </w:p>
        </w:tc>
      </w:tr>
      <w:tr w:rsidR="0001066C" w:rsidRPr="0001066C" w14:paraId="1710B19A" w14:textId="77777777" w:rsidTr="00E547E6">
        <w:trPr>
          <w:trHeight w:val="300"/>
        </w:trPr>
        <w:tc>
          <w:tcPr>
            <w:tcW w:w="2340" w:type="dxa"/>
            <w:tcBorders>
              <w:top w:val="nil"/>
              <w:left w:val="nil"/>
              <w:bottom w:val="nil"/>
              <w:right w:val="nil"/>
            </w:tcBorders>
            <w:shd w:val="clear" w:color="auto" w:fill="auto"/>
            <w:noWrap/>
            <w:vAlign w:val="bottom"/>
            <w:hideMark/>
          </w:tcPr>
          <w:p w14:paraId="0D43FC29" w14:textId="77777777" w:rsidR="00E547E6" w:rsidRPr="0001066C" w:rsidRDefault="00E547E6" w:rsidP="00D75ED2">
            <w:pPr>
              <w:spacing w:after="0"/>
              <w:rPr>
                <w:rFonts w:eastAsia="Times New Roman"/>
                <w:color w:val="FF0000"/>
              </w:rPr>
            </w:pPr>
            <w:r w:rsidRPr="0001066C">
              <w:rPr>
                <w:bCs/>
                <w:color w:val="FF0000"/>
              </w:rPr>
              <w:t>American Indian/Alaskan Native</w:t>
            </w:r>
          </w:p>
        </w:tc>
        <w:tc>
          <w:tcPr>
            <w:tcW w:w="1168" w:type="dxa"/>
            <w:tcBorders>
              <w:top w:val="nil"/>
              <w:left w:val="nil"/>
              <w:bottom w:val="nil"/>
              <w:right w:val="nil"/>
            </w:tcBorders>
            <w:shd w:val="clear" w:color="auto" w:fill="auto"/>
            <w:noWrap/>
            <w:vAlign w:val="bottom"/>
            <w:hideMark/>
          </w:tcPr>
          <w:p w14:paraId="042D7828" w14:textId="77777777" w:rsidR="00E547E6" w:rsidRPr="0001066C" w:rsidRDefault="00E547E6" w:rsidP="00D75ED2">
            <w:pPr>
              <w:spacing w:after="0"/>
              <w:jc w:val="right"/>
              <w:rPr>
                <w:rFonts w:eastAsia="Times New Roman"/>
                <w:color w:val="FF0000"/>
              </w:rPr>
            </w:pPr>
            <w:r w:rsidRPr="0001066C">
              <w:rPr>
                <w:rFonts w:eastAsia="Times New Roman"/>
                <w:color w:val="FF0000"/>
              </w:rPr>
              <w:t>3</w:t>
            </w:r>
          </w:p>
        </w:tc>
        <w:tc>
          <w:tcPr>
            <w:tcW w:w="1352" w:type="dxa"/>
            <w:tcBorders>
              <w:top w:val="nil"/>
              <w:left w:val="nil"/>
              <w:bottom w:val="nil"/>
              <w:right w:val="nil"/>
            </w:tcBorders>
            <w:shd w:val="clear" w:color="auto" w:fill="auto"/>
            <w:noWrap/>
            <w:vAlign w:val="bottom"/>
            <w:hideMark/>
          </w:tcPr>
          <w:p w14:paraId="5F67400A" w14:textId="77777777" w:rsidR="00E547E6" w:rsidRPr="0001066C" w:rsidRDefault="00E547E6" w:rsidP="00D75ED2">
            <w:pPr>
              <w:spacing w:after="0"/>
              <w:jc w:val="right"/>
              <w:rPr>
                <w:rFonts w:eastAsia="Times New Roman"/>
                <w:color w:val="FF0000"/>
              </w:rPr>
            </w:pPr>
            <w:r w:rsidRPr="0001066C">
              <w:rPr>
                <w:rFonts w:eastAsia="Times New Roman"/>
                <w:color w:val="FF0000"/>
              </w:rPr>
              <w:t>0.59%</w:t>
            </w:r>
          </w:p>
        </w:tc>
      </w:tr>
      <w:tr w:rsidR="0001066C" w:rsidRPr="0001066C" w14:paraId="3C930E2C" w14:textId="77777777" w:rsidTr="00E547E6">
        <w:trPr>
          <w:trHeight w:val="300"/>
        </w:trPr>
        <w:tc>
          <w:tcPr>
            <w:tcW w:w="2340" w:type="dxa"/>
            <w:tcBorders>
              <w:top w:val="nil"/>
              <w:left w:val="nil"/>
              <w:bottom w:val="nil"/>
              <w:right w:val="nil"/>
            </w:tcBorders>
            <w:shd w:val="clear" w:color="auto" w:fill="auto"/>
            <w:noWrap/>
            <w:vAlign w:val="bottom"/>
            <w:hideMark/>
          </w:tcPr>
          <w:p w14:paraId="767A1EFC" w14:textId="77777777" w:rsidR="00E547E6" w:rsidRPr="0001066C" w:rsidRDefault="00E547E6" w:rsidP="00D75ED2">
            <w:pPr>
              <w:spacing w:after="0"/>
              <w:rPr>
                <w:rFonts w:eastAsia="Times New Roman"/>
                <w:color w:val="FF0000"/>
              </w:rPr>
            </w:pPr>
            <w:r w:rsidRPr="0001066C">
              <w:rPr>
                <w:rFonts w:eastAsia="Times New Roman"/>
                <w:color w:val="FF0000"/>
              </w:rPr>
              <w:t>Other/Multi-racial</w:t>
            </w:r>
          </w:p>
        </w:tc>
        <w:tc>
          <w:tcPr>
            <w:tcW w:w="1168" w:type="dxa"/>
            <w:tcBorders>
              <w:top w:val="nil"/>
              <w:left w:val="nil"/>
              <w:bottom w:val="nil"/>
              <w:right w:val="nil"/>
            </w:tcBorders>
            <w:shd w:val="clear" w:color="auto" w:fill="auto"/>
            <w:noWrap/>
            <w:vAlign w:val="bottom"/>
            <w:hideMark/>
          </w:tcPr>
          <w:p w14:paraId="460392AC" w14:textId="77777777" w:rsidR="00E547E6" w:rsidRPr="0001066C" w:rsidRDefault="00E547E6" w:rsidP="00D75ED2">
            <w:pPr>
              <w:spacing w:after="0"/>
              <w:jc w:val="right"/>
              <w:rPr>
                <w:rFonts w:eastAsia="Times New Roman"/>
                <w:color w:val="FF0000"/>
              </w:rPr>
            </w:pPr>
            <w:r w:rsidRPr="0001066C">
              <w:rPr>
                <w:rFonts w:eastAsia="Times New Roman"/>
                <w:color w:val="FF0000"/>
              </w:rPr>
              <w:t>8</w:t>
            </w:r>
          </w:p>
        </w:tc>
        <w:tc>
          <w:tcPr>
            <w:tcW w:w="1352" w:type="dxa"/>
            <w:tcBorders>
              <w:top w:val="nil"/>
              <w:left w:val="nil"/>
              <w:bottom w:val="nil"/>
              <w:right w:val="nil"/>
            </w:tcBorders>
            <w:shd w:val="clear" w:color="auto" w:fill="auto"/>
            <w:noWrap/>
            <w:vAlign w:val="bottom"/>
            <w:hideMark/>
          </w:tcPr>
          <w:p w14:paraId="121EA455" w14:textId="77777777" w:rsidR="00E547E6" w:rsidRPr="0001066C" w:rsidRDefault="00E547E6" w:rsidP="00D75ED2">
            <w:pPr>
              <w:spacing w:after="0"/>
              <w:jc w:val="right"/>
              <w:rPr>
                <w:rFonts w:eastAsia="Times New Roman"/>
                <w:color w:val="FF0000"/>
              </w:rPr>
            </w:pPr>
            <w:r w:rsidRPr="0001066C">
              <w:rPr>
                <w:rFonts w:eastAsia="Times New Roman"/>
                <w:color w:val="FF0000"/>
              </w:rPr>
              <w:t>1.57%</w:t>
            </w:r>
          </w:p>
        </w:tc>
      </w:tr>
      <w:tr w:rsidR="0001066C" w:rsidRPr="0001066C" w14:paraId="6049AF54" w14:textId="77777777" w:rsidTr="00E547E6">
        <w:trPr>
          <w:trHeight w:val="300"/>
        </w:trPr>
        <w:tc>
          <w:tcPr>
            <w:tcW w:w="2340" w:type="dxa"/>
            <w:tcBorders>
              <w:top w:val="nil"/>
              <w:left w:val="nil"/>
              <w:bottom w:val="nil"/>
              <w:right w:val="nil"/>
            </w:tcBorders>
            <w:shd w:val="clear" w:color="auto" w:fill="auto"/>
            <w:noWrap/>
            <w:vAlign w:val="bottom"/>
            <w:hideMark/>
          </w:tcPr>
          <w:p w14:paraId="709377C9" w14:textId="77777777" w:rsidR="00E547E6" w:rsidRPr="0001066C" w:rsidRDefault="00E547E6" w:rsidP="00D75ED2">
            <w:pPr>
              <w:spacing w:after="0"/>
              <w:rPr>
                <w:rFonts w:eastAsia="Times New Roman"/>
                <w:color w:val="FF0000"/>
              </w:rPr>
            </w:pPr>
          </w:p>
        </w:tc>
        <w:tc>
          <w:tcPr>
            <w:tcW w:w="1168" w:type="dxa"/>
            <w:tcBorders>
              <w:top w:val="nil"/>
              <w:left w:val="nil"/>
              <w:bottom w:val="nil"/>
              <w:right w:val="nil"/>
            </w:tcBorders>
            <w:shd w:val="clear" w:color="auto" w:fill="auto"/>
            <w:noWrap/>
            <w:vAlign w:val="bottom"/>
            <w:hideMark/>
          </w:tcPr>
          <w:p w14:paraId="646756FF" w14:textId="77777777" w:rsidR="00E547E6" w:rsidRPr="0001066C" w:rsidRDefault="00E547E6" w:rsidP="00D75ED2">
            <w:pPr>
              <w:spacing w:after="0"/>
              <w:rPr>
                <w:rFonts w:eastAsia="Times New Roman"/>
                <w:color w:val="FF0000"/>
              </w:rPr>
            </w:pPr>
          </w:p>
        </w:tc>
        <w:tc>
          <w:tcPr>
            <w:tcW w:w="1352" w:type="dxa"/>
            <w:tcBorders>
              <w:top w:val="nil"/>
              <w:left w:val="nil"/>
              <w:bottom w:val="nil"/>
              <w:right w:val="nil"/>
            </w:tcBorders>
            <w:shd w:val="clear" w:color="auto" w:fill="auto"/>
            <w:noWrap/>
            <w:vAlign w:val="bottom"/>
            <w:hideMark/>
          </w:tcPr>
          <w:p w14:paraId="6B8173F0" w14:textId="77777777" w:rsidR="00E547E6" w:rsidRPr="0001066C" w:rsidRDefault="00E547E6" w:rsidP="00D75ED2">
            <w:pPr>
              <w:spacing w:after="0"/>
              <w:rPr>
                <w:rFonts w:eastAsia="Times New Roman"/>
                <w:color w:val="FF0000"/>
              </w:rPr>
            </w:pPr>
          </w:p>
        </w:tc>
      </w:tr>
      <w:tr w:rsidR="0001066C" w:rsidRPr="0001066C" w14:paraId="18F28194" w14:textId="77777777" w:rsidTr="00E547E6">
        <w:trPr>
          <w:trHeight w:val="300"/>
        </w:trPr>
        <w:tc>
          <w:tcPr>
            <w:tcW w:w="2340" w:type="dxa"/>
            <w:tcBorders>
              <w:top w:val="nil"/>
              <w:left w:val="nil"/>
              <w:bottom w:val="nil"/>
              <w:right w:val="nil"/>
            </w:tcBorders>
            <w:shd w:val="clear" w:color="auto" w:fill="auto"/>
            <w:noWrap/>
            <w:vAlign w:val="bottom"/>
            <w:hideMark/>
          </w:tcPr>
          <w:p w14:paraId="05D80E26" w14:textId="77777777" w:rsidR="00E547E6" w:rsidRPr="0001066C" w:rsidRDefault="00E547E6" w:rsidP="00D75ED2">
            <w:pPr>
              <w:spacing w:after="0"/>
              <w:rPr>
                <w:rFonts w:eastAsia="Times New Roman"/>
                <w:b/>
                <w:bCs/>
                <w:color w:val="FF0000"/>
              </w:rPr>
            </w:pPr>
            <w:r w:rsidRPr="0001066C">
              <w:rPr>
                <w:rFonts w:eastAsia="Times New Roman"/>
                <w:b/>
                <w:bCs/>
                <w:color w:val="FF0000"/>
              </w:rPr>
              <w:t>Sex</w:t>
            </w:r>
          </w:p>
        </w:tc>
        <w:tc>
          <w:tcPr>
            <w:tcW w:w="1168" w:type="dxa"/>
            <w:tcBorders>
              <w:top w:val="nil"/>
              <w:left w:val="nil"/>
              <w:bottom w:val="nil"/>
              <w:right w:val="nil"/>
            </w:tcBorders>
            <w:shd w:val="clear" w:color="auto" w:fill="auto"/>
            <w:noWrap/>
            <w:vAlign w:val="bottom"/>
            <w:hideMark/>
          </w:tcPr>
          <w:p w14:paraId="4CA3791B" w14:textId="77777777" w:rsidR="00E547E6" w:rsidRPr="0001066C" w:rsidRDefault="00E547E6" w:rsidP="00D75ED2">
            <w:pPr>
              <w:spacing w:after="0"/>
              <w:rPr>
                <w:rFonts w:eastAsia="Times New Roman"/>
                <w:color w:val="FF0000"/>
              </w:rPr>
            </w:pPr>
          </w:p>
        </w:tc>
        <w:tc>
          <w:tcPr>
            <w:tcW w:w="1352" w:type="dxa"/>
            <w:tcBorders>
              <w:top w:val="nil"/>
              <w:left w:val="nil"/>
              <w:bottom w:val="nil"/>
              <w:right w:val="nil"/>
            </w:tcBorders>
            <w:shd w:val="clear" w:color="auto" w:fill="auto"/>
            <w:noWrap/>
            <w:vAlign w:val="bottom"/>
            <w:hideMark/>
          </w:tcPr>
          <w:p w14:paraId="3669EE94" w14:textId="77777777" w:rsidR="00E547E6" w:rsidRPr="0001066C" w:rsidRDefault="00E547E6" w:rsidP="00D75ED2">
            <w:pPr>
              <w:spacing w:after="0"/>
              <w:rPr>
                <w:rFonts w:eastAsia="Times New Roman"/>
                <w:color w:val="FF0000"/>
              </w:rPr>
            </w:pPr>
          </w:p>
        </w:tc>
      </w:tr>
      <w:tr w:rsidR="0001066C" w:rsidRPr="0001066C" w14:paraId="7702CDCB" w14:textId="77777777" w:rsidTr="00E547E6">
        <w:trPr>
          <w:trHeight w:val="300"/>
        </w:trPr>
        <w:tc>
          <w:tcPr>
            <w:tcW w:w="2340" w:type="dxa"/>
            <w:tcBorders>
              <w:top w:val="nil"/>
              <w:left w:val="nil"/>
              <w:bottom w:val="nil"/>
              <w:right w:val="nil"/>
            </w:tcBorders>
            <w:shd w:val="clear" w:color="auto" w:fill="auto"/>
            <w:noWrap/>
            <w:vAlign w:val="bottom"/>
            <w:hideMark/>
          </w:tcPr>
          <w:p w14:paraId="2A61CE21" w14:textId="77777777" w:rsidR="00E547E6" w:rsidRPr="0001066C" w:rsidRDefault="00E547E6" w:rsidP="00D75ED2">
            <w:pPr>
              <w:spacing w:after="0"/>
              <w:rPr>
                <w:rFonts w:eastAsia="Times New Roman"/>
                <w:color w:val="FF0000"/>
              </w:rPr>
            </w:pPr>
            <w:r w:rsidRPr="0001066C">
              <w:rPr>
                <w:rFonts w:eastAsia="Times New Roman"/>
                <w:color w:val="FF0000"/>
              </w:rPr>
              <w:t>Female</w:t>
            </w:r>
          </w:p>
        </w:tc>
        <w:tc>
          <w:tcPr>
            <w:tcW w:w="1168" w:type="dxa"/>
            <w:tcBorders>
              <w:top w:val="nil"/>
              <w:left w:val="nil"/>
              <w:bottom w:val="nil"/>
              <w:right w:val="nil"/>
            </w:tcBorders>
            <w:shd w:val="clear" w:color="auto" w:fill="auto"/>
            <w:noWrap/>
            <w:vAlign w:val="bottom"/>
            <w:hideMark/>
          </w:tcPr>
          <w:p w14:paraId="052D86C8" w14:textId="77777777" w:rsidR="00E547E6" w:rsidRPr="0001066C" w:rsidRDefault="00E547E6" w:rsidP="00D75ED2">
            <w:pPr>
              <w:spacing w:after="0"/>
              <w:jc w:val="right"/>
              <w:rPr>
                <w:rFonts w:eastAsia="Times New Roman"/>
                <w:color w:val="FF0000"/>
              </w:rPr>
            </w:pPr>
            <w:r w:rsidRPr="0001066C">
              <w:rPr>
                <w:rFonts w:eastAsia="Times New Roman"/>
                <w:color w:val="FF0000"/>
              </w:rPr>
              <w:t>237</w:t>
            </w:r>
          </w:p>
        </w:tc>
        <w:tc>
          <w:tcPr>
            <w:tcW w:w="1352" w:type="dxa"/>
            <w:tcBorders>
              <w:top w:val="nil"/>
              <w:left w:val="nil"/>
              <w:bottom w:val="nil"/>
              <w:right w:val="nil"/>
            </w:tcBorders>
            <w:shd w:val="clear" w:color="auto" w:fill="auto"/>
            <w:noWrap/>
            <w:vAlign w:val="bottom"/>
            <w:hideMark/>
          </w:tcPr>
          <w:p w14:paraId="3E986260" w14:textId="77777777" w:rsidR="00E547E6" w:rsidRPr="0001066C" w:rsidRDefault="00E547E6" w:rsidP="00D75ED2">
            <w:pPr>
              <w:spacing w:after="0"/>
              <w:jc w:val="right"/>
              <w:rPr>
                <w:rFonts w:eastAsia="Times New Roman"/>
                <w:color w:val="FF0000"/>
              </w:rPr>
            </w:pPr>
            <w:r w:rsidRPr="0001066C">
              <w:rPr>
                <w:rFonts w:eastAsia="Times New Roman"/>
                <w:color w:val="FF0000"/>
              </w:rPr>
              <w:t>46.38%</w:t>
            </w:r>
          </w:p>
        </w:tc>
      </w:tr>
      <w:tr w:rsidR="0001066C" w:rsidRPr="0001066C" w14:paraId="21EB8815" w14:textId="77777777" w:rsidTr="00E547E6">
        <w:trPr>
          <w:trHeight w:val="300"/>
        </w:trPr>
        <w:tc>
          <w:tcPr>
            <w:tcW w:w="2340" w:type="dxa"/>
            <w:tcBorders>
              <w:top w:val="nil"/>
              <w:left w:val="nil"/>
              <w:bottom w:val="nil"/>
              <w:right w:val="nil"/>
            </w:tcBorders>
            <w:shd w:val="clear" w:color="auto" w:fill="auto"/>
            <w:noWrap/>
            <w:vAlign w:val="bottom"/>
            <w:hideMark/>
          </w:tcPr>
          <w:p w14:paraId="419DEB8B" w14:textId="77777777" w:rsidR="00E547E6" w:rsidRPr="0001066C" w:rsidRDefault="00E547E6" w:rsidP="00D75ED2">
            <w:pPr>
              <w:spacing w:after="0"/>
              <w:rPr>
                <w:rFonts w:eastAsia="Times New Roman"/>
                <w:color w:val="FF0000"/>
              </w:rPr>
            </w:pPr>
            <w:r w:rsidRPr="0001066C">
              <w:rPr>
                <w:rFonts w:eastAsia="Times New Roman"/>
                <w:color w:val="FF0000"/>
              </w:rPr>
              <w:t>Male</w:t>
            </w:r>
          </w:p>
        </w:tc>
        <w:tc>
          <w:tcPr>
            <w:tcW w:w="1168" w:type="dxa"/>
            <w:tcBorders>
              <w:top w:val="nil"/>
              <w:left w:val="nil"/>
              <w:bottom w:val="nil"/>
              <w:right w:val="nil"/>
            </w:tcBorders>
            <w:shd w:val="clear" w:color="auto" w:fill="auto"/>
            <w:noWrap/>
            <w:vAlign w:val="bottom"/>
            <w:hideMark/>
          </w:tcPr>
          <w:p w14:paraId="626204A4" w14:textId="77777777" w:rsidR="00E547E6" w:rsidRPr="0001066C" w:rsidRDefault="00E547E6" w:rsidP="00D75ED2">
            <w:pPr>
              <w:spacing w:after="0"/>
              <w:jc w:val="right"/>
              <w:rPr>
                <w:rFonts w:eastAsia="Times New Roman"/>
                <w:color w:val="FF0000"/>
              </w:rPr>
            </w:pPr>
            <w:r w:rsidRPr="0001066C">
              <w:rPr>
                <w:rFonts w:eastAsia="Times New Roman"/>
                <w:color w:val="FF0000"/>
              </w:rPr>
              <w:t>274</w:t>
            </w:r>
          </w:p>
        </w:tc>
        <w:tc>
          <w:tcPr>
            <w:tcW w:w="1352" w:type="dxa"/>
            <w:tcBorders>
              <w:top w:val="nil"/>
              <w:left w:val="nil"/>
              <w:bottom w:val="nil"/>
              <w:right w:val="nil"/>
            </w:tcBorders>
            <w:shd w:val="clear" w:color="auto" w:fill="auto"/>
            <w:noWrap/>
            <w:vAlign w:val="bottom"/>
            <w:hideMark/>
          </w:tcPr>
          <w:p w14:paraId="6558FCEA" w14:textId="77777777" w:rsidR="00E547E6" w:rsidRPr="0001066C" w:rsidRDefault="00E547E6" w:rsidP="00D75ED2">
            <w:pPr>
              <w:spacing w:after="0"/>
              <w:jc w:val="right"/>
              <w:rPr>
                <w:rFonts w:eastAsia="Times New Roman"/>
                <w:color w:val="FF0000"/>
              </w:rPr>
            </w:pPr>
            <w:r w:rsidRPr="0001066C">
              <w:rPr>
                <w:rFonts w:eastAsia="Times New Roman"/>
                <w:color w:val="FF0000"/>
              </w:rPr>
              <w:t>53.62%</w:t>
            </w:r>
          </w:p>
        </w:tc>
      </w:tr>
      <w:tr w:rsidR="0001066C" w:rsidRPr="0001066C" w14:paraId="228323BB" w14:textId="77777777" w:rsidTr="00E547E6">
        <w:trPr>
          <w:trHeight w:val="300"/>
        </w:trPr>
        <w:tc>
          <w:tcPr>
            <w:tcW w:w="2340" w:type="dxa"/>
            <w:tcBorders>
              <w:top w:val="nil"/>
              <w:left w:val="nil"/>
              <w:bottom w:val="nil"/>
              <w:right w:val="nil"/>
            </w:tcBorders>
            <w:shd w:val="clear" w:color="auto" w:fill="auto"/>
            <w:noWrap/>
            <w:vAlign w:val="bottom"/>
            <w:hideMark/>
          </w:tcPr>
          <w:p w14:paraId="63D056C2" w14:textId="77777777" w:rsidR="00E547E6" w:rsidRPr="0001066C" w:rsidRDefault="00E547E6" w:rsidP="00D75ED2">
            <w:pPr>
              <w:spacing w:after="0"/>
              <w:rPr>
                <w:rFonts w:eastAsia="Times New Roman"/>
                <w:color w:val="FF0000"/>
              </w:rPr>
            </w:pPr>
          </w:p>
        </w:tc>
        <w:tc>
          <w:tcPr>
            <w:tcW w:w="1168" w:type="dxa"/>
            <w:tcBorders>
              <w:top w:val="nil"/>
              <w:left w:val="nil"/>
              <w:bottom w:val="nil"/>
              <w:right w:val="nil"/>
            </w:tcBorders>
            <w:shd w:val="clear" w:color="auto" w:fill="auto"/>
            <w:noWrap/>
            <w:vAlign w:val="bottom"/>
            <w:hideMark/>
          </w:tcPr>
          <w:p w14:paraId="4A9D351B" w14:textId="77777777" w:rsidR="00E547E6" w:rsidRPr="0001066C" w:rsidRDefault="00E547E6" w:rsidP="00D75ED2">
            <w:pPr>
              <w:spacing w:after="0"/>
              <w:rPr>
                <w:rFonts w:eastAsia="Times New Roman"/>
                <w:color w:val="FF0000"/>
              </w:rPr>
            </w:pPr>
          </w:p>
        </w:tc>
        <w:tc>
          <w:tcPr>
            <w:tcW w:w="1352" w:type="dxa"/>
            <w:tcBorders>
              <w:top w:val="nil"/>
              <w:left w:val="nil"/>
              <w:bottom w:val="nil"/>
              <w:right w:val="nil"/>
            </w:tcBorders>
            <w:shd w:val="clear" w:color="auto" w:fill="auto"/>
            <w:noWrap/>
            <w:vAlign w:val="bottom"/>
            <w:hideMark/>
          </w:tcPr>
          <w:p w14:paraId="0C0B247A" w14:textId="77777777" w:rsidR="00E547E6" w:rsidRPr="0001066C" w:rsidRDefault="00E547E6" w:rsidP="00D75ED2">
            <w:pPr>
              <w:spacing w:after="0"/>
              <w:rPr>
                <w:rFonts w:eastAsia="Times New Roman"/>
                <w:color w:val="FF0000"/>
              </w:rPr>
            </w:pPr>
          </w:p>
        </w:tc>
      </w:tr>
      <w:tr w:rsidR="0001066C" w:rsidRPr="0001066C" w14:paraId="6B4F1065" w14:textId="77777777" w:rsidTr="00E547E6">
        <w:trPr>
          <w:trHeight w:val="300"/>
        </w:trPr>
        <w:tc>
          <w:tcPr>
            <w:tcW w:w="2340" w:type="dxa"/>
            <w:tcBorders>
              <w:top w:val="nil"/>
              <w:left w:val="nil"/>
              <w:bottom w:val="nil"/>
              <w:right w:val="nil"/>
            </w:tcBorders>
            <w:shd w:val="clear" w:color="auto" w:fill="auto"/>
            <w:noWrap/>
            <w:vAlign w:val="bottom"/>
            <w:hideMark/>
          </w:tcPr>
          <w:p w14:paraId="1BFE7462" w14:textId="77777777" w:rsidR="00E547E6" w:rsidRPr="0001066C" w:rsidRDefault="00E547E6" w:rsidP="00D75ED2">
            <w:pPr>
              <w:spacing w:after="0"/>
              <w:rPr>
                <w:rFonts w:eastAsia="Times New Roman"/>
                <w:b/>
                <w:bCs/>
                <w:color w:val="FF0000"/>
              </w:rPr>
            </w:pPr>
            <w:r w:rsidRPr="0001066C">
              <w:rPr>
                <w:rFonts w:eastAsia="Times New Roman"/>
                <w:b/>
                <w:bCs/>
                <w:color w:val="FF0000"/>
              </w:rPr>
              <w:t>Ethnicity</w:t>
            </w:r>
          </w:p>
        </w:tc>
        <w:tc>
          <w:tcPr>
            <w:tcW w:w="1168" w:type="dxa"/>
            <w:tcBorders>
              <w:top w:val="nil"/>
              <w:left w:val="nil"/>
              <w:bottom w:val="nil"/>
              <w:right w:val="nil"/>
            </w:tcBorders>
            <w:shd w:val="clear" w:color="auto" w:fill="auto"/>
            <w:noWrap/>
            <w:vAlign w:val="bottom"/>
            <w:hideMark/>
          </w:tcPr>
          <w:p w14:paraId="0BC396F7" w14:textId="77777777" w:rsidR="00E547E6" w:rsidRPr="0001066C" w:rsidRDefault="00E547E6" w:rsidP="00D75ED2">
            <w:pPr>
              <w:spacing w:after="0"/>
              <w:rPr>
                <w:rFonts w:eastAsia="Times New Roman"/>
                <w:color w:val="FF0000"/>
              </w:rPr>
            </w:pPr>
          </w:p>
        </w:tc>
        <w:tc>
          <w:tcPr>
            <w:tcW w:w="1352" w:type="dxa"/>
            <w:tcBorders>
              <w:top w:val="nil"/>
              <w:left w:val="nil"/>
              <w:bottom w:val="nil"/>
              <w:right w:val="nil"/>
            </w:tcBorders>
            <w:shd w:val="clear" w:color="auto" w:fill="auto"/>
            <w:noWrap/>
            <w:vAlign w:val="bottom"/>
            <w:hideMark/>
          </w:tcPr>
          <w:p w14:paraId="69834085" w14:textId="77777777" w:rsidR="00E547E6" w:rsidRPr="0001066C" w:rsidRDefault="00E547E6" w:rsidP="00D75ED2">
            <w:pPr>
              <w:spacing w:after="0"/>
              <w:rPr>
                <w:rFonts w:eastAsia="Times New Roman"/>
                <w:color w:val="FF0000"/>
              </w:rPr>
            </w:pPr>
          </w:p>
        </w:tc>
      </w:tr>
      <w:tr w:rsidR="0001066C" w:rsidRPr="0001066C" w14:paraId="3A3E99F2" w14:textId="77777777" w:rsidTr="00E547E6">
        <w:trPr>
          <w:trHeight w:val="300"/>
        </w:trPr>
        <w:tc>
          <w:tcPr>
            <w:tcW w:w="2340" w:type="dxa"/>
            <w:tcBorders>
              <w:top w:val="nil"/>
              <w:left w:val="nil"/>
              <w:bottom w:val="nil"/>
              <w:right w:val="nil"/>
            </w:tcBorders>
            <w:shd w:val="clear" w:color="auto" w:fill="auto"/>
            <w:noWrap/>
            <w:vAlign w:val="bottom"/>
            <w:hideMark/>
          </w:tcPr>
          <w:p w14:paraId="5334E9FA" w14:textId="77777777" w:rsidR="00E547E6" w:rsidRPr="0001066C" w:rsidRDefault="00E547E6" w:rsidP="00D75ED2">
            <w:pPr>
              <w:spacing w:after="0"/>
              <w:rPr>
                <w:rFonts w:eastAsia="Times New Roman"/>
                <w:color w:val="FF0000"/>
              </w:rPr>
            </w:pPr>
            <w:r w:rsidRPr="0001066C">
              <w:rPr>
                <w:rFonts w:eastAsia="Times New Roman"/>
                <w:color w:val="FF0000"/>
              </w:rPr>
              <w:t>Hispanic</w:t>
            </w:r>
          </w:p>
        </w:tc>
        <w:tc>
          <w:tcPr>
            <w:tcW w:w="1168" w:type="dxa"/>
            <w:tcBorders>
              <w:top w:val="nil"/>
              <w:left w:val="nil"/>
              <w:bottom w:val="nil"/>
              <w:right w:val="nil"/>
            </w:tcBorders>
            <w:shd w:val="clear" w:color="auto" w:fill="auto"/>
            <w:noWrap/>
            <w:vAlign w:val="bottom"/>
            <w:hideMark/>
          </w:tcPr>
          <w:p w14:paraId="3000FC41" w14:textId="77777777" w:rsidR="00E547E6" w:rsidRPr="0001066C" w:rsidRDefault="00E547E6" w:rsidP="00D75ED2">
            <w:pPr>
              <w:spacing w:after="0"/>
              <w:jc w:val="right"/>
              <w:rPr>
                <w:rFonts w:eastAsia="Times New Roman"/>
                <w:color w:val="FF0000"/>
              </w:rPr>
            </w:pPr>
            <w:r w:rsidRPr="0001066C">
              <w:rPr>
                <w:rFonts w:eastAsia="Times New Roman"/>
                <w:color w:val="FF0000"/>
              </w:rPr>
              <w:t>169</w:t>
            </w:r>
          </w:p>
        </w:tc>
        <w:tc>
          <w:tcPr>
            <w:tcW w:w="1352" w:type="dxa"/>
            <w:tcBorders>
              <w:top w:val="nil"/>
              <w:left w:val="nil"/>
              <w:bottom w:val="nil"/>
              <w:right w:val="nil"/>
            </w:tcBorders>
            <w:shd w:val="clear" w:color="auto" w:fill="auto"/>
            <w:noWrap/>
            <w:vAlign w:val="bottom"/>
            <w:hideMark/>
          </w:tcPr>
          <w:p w14:paraId="30DA1AB0" w14:textId="77777777" w:rsidR="00E547E6" w:rsidRPr="0001066C" w:rsidRDefault="00E547E6" w:rsidP="00D75ED2">
            <w:pPr>
              <w:spacing w:after="0"/>
              <w:jc w:val="right"/>
              <w:rPr>
                <w:rFonts w:eastAsia="Times New Roman"/>
                <w:color w:val="FF0000"/>
              </w:rPr>
            </w:pPr>
            <w:r w:rsidRPr="0001066C">
              <w:rPr>
                <w:rFonts w:eastAsia="Times New Roman"/>
                <w:color w:val="FF0000"/>
              </w:rPr>
              <w:t>33.07%</w:t>
            </w:r>
          </w:p>
        </w:tc>
      </w:tr>
      <w:tr w:rsidR="0001066C" w:rsidRPr="0001066C" w14:paraId="3F736358" w14:textId="77777777" w:rsidTr="00E547E6">
        <w:trPr>
          <w:trHeight w:val="300"/>
        </w:trPr>
        <w:tc>
          <w:tcPr>
            <w:tcW w:w="2340" w:type="dxa"/>
            <w:tcBorders>
              <w:top w:val="nil"/>
              <w:left w:val="nil"/>
              <w:bottom w:val="nil"/>
              <w:right w:val="nil"/>
            </w:tcBorders>
            <w:shd w:val="clear" w:color="auto" w:fill="auto"/>
            <w:noWrap/>
            <w:vAlign w:val="bottom"/>
            <w:hideMark/>
          </w:tcPr>
          <w:p w14:paraId="0EA4A1BF" w14:textId="77777777" w:rsidR="00E547E6" w:rsidRPr="0001066C" w:rsidRDefault="00E547E6" w:rsidP="00D75ED2">
            <w:pPr>
              <w:spacing w:after="0"/>
              <w:rPr>
                <w:rFonts w:eastAsia="Times New Roman"/>
                <w:color w:val="FF0000"/>
              </w:rPr>
            </w:pPr>
            <w:r w:rsidRPr="0001066C">
              <w:rPr>
                <w:rFonts w:eastAsia="Times New Roman"/>
                <w:color w:val="FF0000"/>
              </w:rPr>
              <w:t>Non-Hispanic</w:t>
            </w:r>
          </w:p>
        </w:tc>
        <w:tc>
          <w:tcPr>
            <w:tcW w:w="1168" w:type="dxa"/>
            <w:tcBorders>
              <w:top w:val="nil"/>
              <w:left w:val="nil"/>
              <w:bottom w:val="nil"/>
              <w:right w:val="nil"/>
            </w:tcBorders>
            <w:shd w:val="clear" w:color="auto" w:fill="auto"/>
            <w:noWrap/>
            <w:vAlign w:val="bottom"/>
            <w:hideMark/>
          </w:tcPr>
          <w:p w14:paraId="5CDDE524" w14:textId="77777777" w:rsidR="00E547E6" w:rsidRPr="0001066C" w:rsidRDefault="00E547E6" w:rsidP="00D75ED2">
            <w:pPr>
              <w:spacing w:after="0"/>
              <w:jc w:val="right"/>
              <w:rPr>
                <w:rFonts w:eastAsia="Times New Roman"/>
                <w:color w:val="FF0000"/>
              </w:rPr>
            </w:pPr>
            <w:r w:rsidRPr="0001066C">
              <w:rPr>
                <w:rFonts w:eastAsia="Times New Roman"/>
                <w:color w:val="FF0000"/>
              </w:rPr>
              <w:t>339</w:t>
            </w:r>
          </w:p>
        </w:tc>
        <w:tc>
          <w:tcPr>
            <w:tcW w:w="1352" w:type="dxa"/>
            <w:tcBorders>
              <w:top w:val="nil"/>
              <w:left w:val="nil"/>
              <w:bottom w:val="nil"/>
              <w:right w:val="nil"/>
            </w:tcBorders>
            <w:shd w:val="clear" w:color="auto" w:fill="auto"/>
            <w:noWrap/>
            <w:vAlign w:val="bottom"/>
            <w:hideMark/>
          </w:tcPr>
          <w:p w14:paraId="47AC7E3A" w14:textId="77777777" w:rsidR="00E547E6" w:rsidRPr="0001066C" w:rsidRDefault="00E547E6" w:rsidP="00D75ED2">
            <w:pPr>
              <w:spacing w:after="0"/>
              <w:jc w:val="right"/>
              <w:rPr>
                <w:rFonts w:eastAsia="Times New Roman"/>
                <w:color w:val="FF0000"/>
              </w:rPr>
            </w:pPr>
            <w:r w:rsidRPr="0001066C">
              <w:rPr>
                <w:rFonts w:eastAsia="Times New Roman"/>
                <w:color w:val="FF0000"/>
              </w:rPr>
              <w:t>66.34%</w:t>
            </w:r>
          </w:p>
        </w:tc>
      </w:tr>
      <w:tr w:rsidR="0001066C" w:rsidRPr="0001066C" w14:paraId="1B3610B2" w14:textId="77777777" w:rsidTr="00E547E6">
        <w:trPr>
          <w:trHeight w:val="300"/>
        </w:trPr>
        <w:tc>
          <w:tcPr>
            <w:tcW w:w="2340" w:type="dxa"/>
            <w:tcBorders>
              <w:top w:val="nil"/>
              <w:left w:val="nil"/>
              <w:bottom w:val="nil"/>
              <w:right w:val="nil"/>
            </w:tcBorders>
            <w:shd w:val="clear" w:color="auto" w:fill="auto"/>
            <w:noWrap/>
            <w:vAlign w:val="bottom"/>
          </w:tcPr>
          <w:p w14:paraId="48B6EC81" w14:textId="77777777" w:rsidR="00E547E6" w:rsidRPr="0001066C" w:rsidRDefault="00E547E6" w:rsidP="00D75ED2">
            <w:pPr>
              <w:spacing w:after="0"/>
              <w:rPr>
                <w:rFonts w:eastAsia="Times New Roman"/>
                <w:color w:val="FF0000"/>
              </w:rPr>
            </w:pPr>
            <w:r w:rsidRPr="0001066C">
              <w:rPr>
                <w:rFonts w:eastAsia="Times New Roman"/>
                <w:color w:val="FF0000"/>
              </w:rPr>
              <w:t>**3 missing</w:t>
            </w:r>
          </w:p>
        </w:tc>
        <w:tc>
          <w:tcPr>
            <w:tcW w:w="1168" w:type="dxa"/>
            <w:tcBorders>
              <w:top w:val="nil"/>
              <w:left w:val="nil"/>
              <w:bottom w:val="nil"/>
              <w:right w:val="nil"/>
            </w:tcBorders>
            <w:shd w:val="clear" w:color="auto" w:fill="auto"/>
            <w:noWrap/>
            <w:vAlign w:val="bottom"/>
          </w:tcPr>
          <w:p w14:paraId="2C9BD9EB" w14:textId="77777777" w:rsidR="00E547E6" w:rsidRPr="0001066C" w:rsidRDefault="00E547E6" w:rsidP="00D75ED2">
            <w:pPr>
              <w:spacing w:after="0"/>
              <w:jc w:val="right"/>
              <w:rPr>
                <w:rFonts w:eastAsia="Times New Roman"/>
                <w:color w:val="FF0000"/>
              </w:rPr>
            </w:pPr>
          </w:p>
        </w:tc>
        <w:tc>
          <w:tcPr>
            <w:tcW w:w="1352" w:type="dxa"/>
            <w:tcBorders>
              <w:top w:val="nil"/>
              <w:left w:val="nil"/>
              <w:bottom w:val="nil"/>
              <w:right w:val="nil"/>
            </w:tcBorders>
            <w:shd w:val="clear" w:color="auto" w:fill="auto"/>
            <w:noWrap/>
            <w:vAlign w:val="bottom"/>
          </w:tcPr>
          <w:p w14:paraId="7203EA07" w14:textId="77777777" w:rsidR="00E547E6" w:rsidRPr="0001066C" w:rsidRDefault="00E547E6" w:rsidP="00D75ED2">
            <w:pPr>
              <w:spacing w:after="0"/>
              <w:jc w:val="right"/>
              <w:rPr>
                <w:rFonts w:eastAsia="Times New Roman"/>
                <w:color w:val="FF0000"/>
              </w:rPr>
            </w:pPr>
          </w:p>
        </w:tc>
      </w:tr>
    </w:tbl>
    <w:p w14:paraId="0CABCFC9" w14:textId="6AAD5404" w:rsidR="007422FD" w:rsidRPr="0001066C" w:rsidRDefault="00CB58A9" w:rsidP="00DB3627">
      <w:pPr>
        <w:autoSpaceDE w:val="0"/>
        <w:autoSpaceDN w:val="0"/>
        <w:adjustRightInd w:val="0"/>
        <w:spacing w:after="0" w:line="240" w:lineRule="auto"/>
        <w:rPr>
          <w:rFonts w:cstheme="minorHAnsi"/>
          <w:bCs/>
          <w:color w:val="FF0000"/>
        </w:rPr>
      </w:pPr>
      <w:r w:rsidRPr="0001066C">
        <w:rPr>
          <w:rFonts w:cstheme="minorHAnsi"/>
          <w:bCs/>
          <w:color w:val="FF0000"/>
        </w:rPr>
        <w:br/>
      </w:r>
      <w:r w:rsidR="007422FD" w:rsidRPr="0001066C">
        <w:rPr>
          <w:rFonts w:cstheme="minorHAnsi"/>
          <w:bCs/>
          <w:color w:val="FF0000"/>
        </w:rPr>
        <w:br/>
      </w:r>
    </w:p>
    <w:p w14:paraId="5A4C8637" w14:textId="77777777" w:rsidR="00132D0E" w:rsidRDefault="00132D0E">
      <w:pPr>
        <w:rPr>
          <w:rFonts w:cstheme="minorHAnsi"/>
          <w:b/>
          <w:bCs/>
        </w:rPr>
      </w:pPr>
      <w:r>
        <w:rPr>
          <w:rFonts w:cstheme="minorHAnsi"/>
          <w:b/>
          <w:bCs/>
        </w:rPr>
        <w:br w:type="page"/>
      </w:r>
    </w:p>
    <w:p w14:paraId="0CABCFCA" w14:textId="028F9B7C" w:rsidR="0021054A" w:rsidRDefault="002B5016" w:rsidP="00E37E1B">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250EF4C" w14:textId="76EC2A80" w:rsidR="00255D0C" w:rsidRDefault="00255D0C" w:rsidP="00E37E1B">
      <w:pPr>
        <w:autoSpaceDE w:val="0"/>
        <w:autoSpaceDN w:val="0"/>
        <w:adjustRightInd w:val="0"/>
        <w:spacing w:after="0" w:line="240" w:lineRule="auto"/>
        <w:rPr>
          <w:rFonts w:cstheme="minorHAnsi"/>
          <w:bCs/>
        </w:rPr>
      </w:pPr>
    </w:p>
    <w:p w14:paraId="5D276743" w14:textId="4BCF5C09" w:rsidR="00255D0C" w:rsidRPr="00F01CFC" w:rsidRDefault="00255D0C" w:rsidP="00E37E1B">
      <w:pPr>
        <w:autoSpaceDE w:val="0"/>
        <w:autoSpaceDN w:val="0"/>
        <w:adjustRightInd w:val="0"/>
        <w:spacing w:after="0" w:line="240" w:lineRule="auto"/>
        <w:rPr>
          <w:rFonts w:cstheme="minorHAnsi"/>
          <w:bCs/>
        </w:rPr>
      </w:pPr>
      <w:r w:rsidRPr="00F01CFC">
        <w:rPr>
          <w:rFonts w:cstheme="minorHAnsi"/>
          <w:bCs/>
        </w:rPr>
        <w:t>N/A</w:t>
      </w: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21BF9904"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4E5DEDD8" w14:textId="39A1D363" w:rsidR="00F01CFC" w:rsidRDefault="00F01CFC" w:rsidP="00E37E1B">
      <w:pPr>
        <w:autoSpaceDE w:val="0"/>
        <w:autoSpaceDN w:val="0"/>
        <w:adjustRightInd w:val="0"/>
        <w:spacing w:after="0" w:line="240" w:lineRule="auto"/>
        <w:rPr>
          <w:rFonts w:cstheme="minorHAnsi"/>
          <w:bCs/>
        </w:rPr>
      </w:pPr>
    </w:p>
    <w:p w14:paraId="103746D9" w14:textId="73708D77" w:rsidR="00F01CFC" w:rsidRDefault="00F01CFC" w:rsidP="00E37E1B">
      <w:pPr>
        <w:autoSpaceDE w:val="0"/>
        <w:autoSpaceDN w:val="0"/>
        <w:adjustRightInd w:val="0"/>
        <w:spacing w:after="0" w:line="240" w:lineRule="auto"/>
        <w:rPr>
          <w:rFonts w:cstheme="minorHAnsi"/>
          <w:bCs/>
        </w:rPr>
      </w:pPr>
    </w:p>
    <w:p w14:paraId="0CECDA52" w14:textId="77777777" w:rsidR="00CB58A9" w:rsidRPr="00F01CFC" w:rsidRDefault="00CB58A9" w:rsidP="00CB58A9">
      <w:pPr>
        <w:autoSpaceDE w:val="0"/>
        <w:autoSpaceDN w:val="0"/>
        <w:adjustRightInd w:val="0"/>
        <w:spacing w:after="0" w:line="240" w:lineRule="auto"/>
        <w:rPr>
          <w:rFonts w:cstheme="minorHAnsi"/>
          <w:bCs/>
        </w:rPr>
      </w:pPr>
      <w:r w:rsidRPr="00F01CFC">
        <w:rPr>
          <w:rFonts w:cstheme="minorHAnsi"/>
          <w:bCs/>
        </w:rPr>
        <w:t>N/A</w:t>
      </w:r>
    </w:p>
    <w:p w14:paraId="3FF0116E" w14:textId="77777777" w:rsidR="00F01CFC" w:rsidRDefault="00F01CFC" w:rsidP="00E37E1B">
      <w:pPr>
        <w:autoSpaceDE w:val="0"/>
        <w:autoSpaceDN w:val="0"/>
        <w:adjustRightInd w:val="0"/>
        <w:spacing w:after="0" w:line="240" w:lineRule="auto"/>
        <w:rPr>
          <w:rFonts w:cstheme="minorHAnsi"/>
          <w:bCs/>
        </w:rPr>
      </w:pP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7FFA024E"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CABCFD2" w14:textId="48873C2F" w:rsidR="008C54A9" w:rsidRDefault="008C54A9" w:rsidP="008C54A9">
      <w:pPr>
        <w:autoSpaceDE w:val="0"/>
        <w:autoSpaceDN w:val="0"/>
        <w:adjustRightInd w:val="0"/>
        <w:spacing w:after="0" w:line="240" w:lineRule="auto"/>
        <w:rPr>
          <w:rFonts w:cstheme="minorHAnsi"/>
          <w:bCs/>
        </w:rPr>
      </w:pPr>
    </w:p>
    <w:p w14:paraId="7A5281A7" w14:textId="352987BB" w:rsidR="00CB58A9" w:rsidRDefault="00CB58A9" w:rsidP="00CB58A9">
      <w:pPr>
        <w:autoSpaceDE w:val="0"/>
        <w:autoSpaceDN w:val="0"/>
        <w:adjustRightInd w:val="0"/>
        <w:spacing w:after="0" w:line="240" w:lineRule="auto"/>
      </w:pPr>
      <w:r w:rsidRPr="00840AE5">
        <w:t>January 201</w:t>
      </w:r>
      <w:r w:rsidR="0001066C">
        <w:t>3</w:t>
      </w:r>
      <w:r w:rsidRPr="00840AE5">
        <w:t xml:space="preserve"> – December 201</w:t>
      </w:r>
      <w:r w:rsidR="0001066C">
        <w:t>3</w:t>
      </w:r>
      <w:r w:rsidRPr="00840AE5">
        <w:t xml:space="preserve"> CROWNWeb data were used to calculate the inter-unit reliability (IUR) for the overall 12 months to assess the reliability of this measure. The NQF-recommended approach for determining measure reliability is a one-way analysis of variance (ANOVA), in which the between and within facility variation in the measure is determined. The inter-unit reliability (IUR) measures the proportion of the measure variability that is attributable to the between-facility variance. The yearly based IUR was estimated using a bootstrap approach, which uses a resampling scheme to estimate the within facility variation that cannot be directly estimated by ANOVA. We note that the method for calculating the IUR was developed for measures that are approximately normally distributed across facilities.  Since this measure is not normally distributed, the IUR value should be interpreted with some caution.</w:t>
      </w:r>
    </w:p>
    <w:p w14:paraId="610AA548" w14:textId="352184D2" w:rsidR="0001066C" w:rsidRDefault="0001066C" w:rsidP="00CB58A9">
      <w:pPr>
        <w:autoSpaceDE w:val="0"/>
        <w:autoSpaceDN w:val="0"/>
        <w:adjustRightInd w:val="0"/>
        <w:spacing w:after="0" w:line="240" w:lineRule="auto"/>
      </w:pPr>
    </w:p>
    <w:p w14:paraId="61F13079" w14:textId="1716AF21" w:rsidR="0001066C" w:rsidRPr="0001066C" w:rsidRDefault="0001066C" w:rsidP="00CB58A9">
      <w:pPr>
        <w:autoSpaceDE w:val="0"/>
        <w:autoSpaceDN w:val="0"/>
        <w:adjustRightInd w:val="0"/>
        <w:spacing w:after="0" w:line="240" w:lineRule="auto"/>
        <w:rPr>
          <w:rFonts w:cstheme="minorHAnsi"/>
          <w:bCs/>
          <w:color w:val="FF0000"/>
          <w:sz w:val="24"/>
        </w:rPr>
      </w:pPr>
      <w:r w:rsidRPr="0001066C">
        <w:rPr>
          <w:color w:val="FF0000"/>
        </w:rPr>
        <w:t xml:space="preserve">For the Spring 2019 maintenance submission, we followed the same methodology as </w:t>
      </w:r>
      <w:r w:rsidR="00D75ED2">
        <w:rPr>
          <w:color w:val="FF0000"/>
        </w:rPr>
        <w:t xml:space="preserve">that used in </w:t>
      </w:r>
      <w:r w:rsidRPr="0001066C">
        <w:rPr>
          <w:color w:val="FF0000"/>
        </w:rPr>
        <w:t xml:space="preserve">the previous submission </w:t>
      </w:r>
      <w:r w:rsidR="00D75ED2">
        <w:rPr>
          <w:color w:val="FF0000"/>
        </w:rPr>
        <w:t xml:space="preserve">for the </w:t>
      </w:r>
      <w:r w:rsidRPr="0001066C">
        <w:rPr>
          <w:color w:val="FF0000"/>
        </w:rPr>
        <w:t xml:space="preserve">data from January 2017 – December 2017 </w:t>
      </w:r>
    </w:p>
    <w:p w14:paraId="071CC213" w14:textId="77777777" w:rsidR="00F01CFC" w:rsidRPr="00A25024" w:rsidRDefault="00F01CFC" w:rsidP="008C54A9">
      <w:pPr>
        <w:autoSpaceDE w:val="0"/>
        <w:autoSpaceDN w:val="0"/>
        <w:adjustRightInd w:val="0"/>
        <w:spacing w:after="0" w:line="240" w:lineRule="auto"/>
        <w:rPr>
          <w:rFonts w:cstheme="minorHAnsi"/>
          <w:bCs/>
        </w:rPr>
      </w:pPr>
    </w:p>
    <w:p w14:paraId="76EED33B" w14:textId="77777777" w:rsidR="00132D0E" w:rsidRDefault="00132D0E">
      <w:pPr>
        <w:rPr>
          <w:rFonts w:cstheme="minorHAnsi"/>
          <w:b/>
          <w:bCs/>
        </w:rPr>
      </w:pPr>
      <w:r>
        <w:rPr>
          <w:rFonts w:cstheme="minorHAnsi"/>
          <w:b/>
          <w:bCs/>
        </w:rPr>
        <w:br w:type="page"/>
      </w:r>
    </w:p>
    <w:p w14:paraId="76ECA3B2" w14:textId="339BB155" w:rsidR="00F01CFC" w:rsidRDefault="00092566" w:rsidP="008C54A9">
      <w:pPr>
        <w:autoSpaceDE w:val="0"/>
        <w:autoSpaceDN w:val="0"/>
        <w:adjustRightInd w:val="0"/>
        <w:spacing w:after="0" w:line="240" w:lineRule="auto"/>
        <w:rPr>
          <w:rFonts w:cstheme="minorHAnsi"/>
          <w:bCs/>
        </w:rPr>
      </w:pPr>
      <w:r>
        <w:rPr>
          <w:rFonts w:cstheme="minorHAnsi"/>
          <w:b/>
          <w:bCs/>
        </w:rPr>
        <w:lastRenderedPageBreak/>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5631C096" w14:textId="77777777" w:rsidR="00F01CFC" w:rsidRDefault="00F01CFC" w:rsidP="008C54A9">
      <w:pPr>
        <w:autoSpaceDE w:val="0"/>
        <w:autoSpaceDN w:val="0"/>
        <w:adjustRightInd w:val="0"/>
        <w:spacing w:after="0" w:line="240" w:lineRule="auto"/>
        <w:rPr>
          <w:rFonts w:cstheme="minorHAnsi"/>
          <w:bCs/>
        </w:rPr>
      </w:pPr>
    </w:p>
    <w:p w14:paraId="00F24691" w14:textId="07F705F2" w:rsidR="00D2112D" w:rsidRPr="00D2112D" w:rsidRDefault="00D2112D" w:rsidP="008C54A9">
      <w:pPr>
        <w:autoSpaceDE w:val="0"/>
        <w:autoSpaceDN w:val="0"/>
        <w:adjustRightInd w:val="0"/>
        <w:spacing w:after="0" w:line="240" w:lineRule="auto"/>
      </w:pPr>
      <w:r w:rsidRPr="00D2112D">
        <w:t>The overall IUR was 0.985, which indicates that about 98.5% of the variation in the measure can be attributed to the between facility differences and 1.5% to within facility variation.</w:t>
      </w:r>
    </w:p>
    <w:p w14:paraId="44B260F9" w14:textId="77777777" w:rsidR="00D2112D" w:rsidRDefault="00D2112D" w:rsidP="008C54A9">
      <w:pPr>
        <w:autoSpaceDE w:val="0"/>
        <w:autoSpaceDN w:val="0"/>
        <w:adjustRightInd w:val="0"/>
        <w:spacing w:after="0" w:line="240" w:lineRule="auto"/>
      </w:pPr>
    </w:p>
    <w:p w14:paraId="0CABCFD3" w14:textId="79391ACC" w:rsidR="007422FD" w:rsidRPr="00A25024" w:rsidRDefault="00D2112D" w:rsidP="008C54A9">
      <w:pPr>
        <w:autoSpaceDE w:val="0"/>
        <w:autoSpaceDN w:val="0"/>
        <w:adjustRightInd w:val="0"/>
        <w:spacing w:after="0" w:line="240" w:lineRule="auto"/>
        <w:rPr>
          <w:rFonts w:cstheme="minorHAnsi"/>
          <w:bCs/>
        </w:rPr>
      </w:pPr>
      <w:r w:rsidRPr="00D2112D">
        <w:rPr>
          <w:color w:val="FF0000"/>
        </w:rPr>
        <w:t>For the Spring 2019 maintenance submission, t</w:t>
      </w:r>
      <w:r w:rsidR="00CB58A9" w:rsidRPr="00D2112D">
        <w:rPr>
          <w:color w:val="FF0000"/>
        </w:rPr>
        <w:t>he overall IUR was 0.9</w:t>
      </w:r>
      <w:r w:rsidR="00C03561" w:rsidRPr="00D2112D">
        <w:rPr>
          <w:color w:val="FF0000"/>
        </w:rPr>
        <w:t>63</w:t>
      </w:r>
      <w:r w:rsidR="00CB58A9" w:rsidRPr="00D2112D">
        <w:rPr>
          <w:color w:val="FF0000"/>
        </w:rPr>
        <w:t>, which indicates that about 9</w:t>
      </w:r>
      <w:r w:rsidR="00C03561" w:rsidRPr="00D2112D">
        <w:rPr>
          <w:color w:val="FF0000"/>
        </w:rPr>
        <w:t>6.3</w:t>
      </w:r>
      <w:r w:rsidR="00CB58A9" w:rsidRPr="00D2112D">
        <w:rPr>
          <w:color w:val="FF0000"/>
        </w:rPr>
        <w:t xml:space="preserve">% of the variation in the measure can be attributed to the between facility differences and </w:t>
      </w:r>
      <w:r w:rsidR="00C03561" w:rsidRPr="00D2112D">
        <w:rPr>
          <w:color w:val="FF0000"/>
        </w:rPr>
        <w:t>3.7</w:t>
      </w:r>
      <w:r w:rsidR="00CB58A9" w:rsidRPr="00D2112D">
        <w:rPr>
          <w:color w:val="FF0000"/>
        </w:rPr>
        <w:t xml:space="preserve">% to </w:t>
      </w:r>
      <w:r w:rsidR="00710A15">
        <w:rPr>
          <w:color w:val="FF0000"/>
        </w:rPr>
        <w:t xml:space="preserve">the </w:t>
      </w:r>
      <w:r w:rsidR="00CB58A9" w:rsidRPr="00D2112D">
        <w:rPr>
          <w:color w:val="FF0000"/>
        </w:rPr>
        <w:t>within facility variation.</w:t>
      </w:r>
      <w:r w:rsidR="00F01CFC" w:rsidRPr="00A25024">
        <w:rPr>
          <w:rFonts w:cstheme="minorHAnsi"/>
          <w:bCs/>
        </w:rPr>
        <w:br/>
      </w:r>
      <w:r w:rsidR="0048008A" w:rsidRPr="00A25024">
        <w:rPr>
          <w:rFonts w:cstheme="minorHAnsi"/>
          <w:bCs/>
        </w:rPr>
        <w:br/>
      </w:r>
    </w:p>
    <w:p w14:paraId="0CABCFD4" w14:textId="6219807B"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0762D27E" w14:textId="6C888A7F" w:rsidR="00F01CFC" w:rsidRDefault="00F01CFC" w:rsidP="00DB3627">
      <w:pPr>
        <w:autoSpaceDE w:val="0"/>
        <w:autoSpaceDN w:val="0"/>
        <w:adjustRightInd w:val="0"/>
        <w:spacing w:after="0" w:line="240" w:lineRule="auto"/>
        <w:rPr>
          <w:rFonts w:cstheme="minorHAnsi"/>
          <w:bCs/>
        </w:rPr>
      </w:pPr>
    </w:p>
    <w:p w14:paraId="463BDAEF" w14:textId="772F2D16" w:rsidR="00CB58A9" w:rsidRDefault="00CB58A9" w:rsidP="00CB58A9">
      <w:pPr>
        <w:autoSpaceDE w:val="0"/>
        <w:autoSpaceDN w:val="0"/>
        <w:adjustRightInd w:val="0"/>
        <w:spacing w:after="0" w:line="240" w:lineRule="auto"/>
        <w:rPr>
          <w:szCs w:val="20"/>
        </w:rPr>
      </w:pPr>
      <w:r w:rsidRPr="00840AE5">
        <w:rPr>
          <w:szCs w:val="20"/>
        </w:rPr>
        <w:t>The IUR suggests this measure is reliable. However, since the distribution of performance scores is skewed, the IUR value should be interpreted with some caution.</w:t>
      </w:r>
    </w:p>
    <w:p w14:paraId="67E191A3" w14:textId="6053EE0E" w:rsidR="00D2112D" w:rsidRDefault="00D2112D" w:rsidP="00CB58A9">
      <w:pPr>
        <w:autoSpaceDE w:val="0"/>
        <w:autoSpaceDN w:val="0"/>
        <w:adjustRightInd w:val="0"/>
        <w:spacing w:after="0" w:line="240" w:lineRule="auto"/>
        <w:rPr>
          <w:szCs w:val="20"/>
        </w:rPr>
      </w:pPr>
    </w:p>
    <w:p w14:paraId="5E784701" w14:textId="47C31A83" w:rsidR="00D2112D" w:rsidRPr="00D2112D" w:rsidRDefault="00D2112D" w:rsidP="00D2112D">
      <w:pPr>
        <w:autoSpaceDE w:val="0"/>
        <w:autoSpaceDN w:val="0"/>
        <w:adjustRightInd w:val="0"/>
        <w:spacing w:after="0" w:line="240" w:lineRule="auto"/>
        <w:rPr>
          <w:color w:val="FF0000"/>
          <w:szCs w:val="20"/>
        </w:rPr>
      </w:pPr>
      <w:r w:rsidRPr="00D2112D">
        <w:rPr>
          <w:color w:val="FF0000"/>
        </w:rPr>
        <w:t>For the Spring 2019 maintenance submission,</w:t>
      </w:r>
      <w:r w:rsidRPr="00D2112D">
        <w:rPr>
          <w:color w:val="FF0000"/>
          <w:szCs w:val="20"/>
        </w:rPr>
        <w:t xml:space="preserve"> the IUR suggests </w:t>
      </w:r>
      <w:r w:rsidR="00710A15">
        <w:rPr>
          <w:color w:val="FF0000"/>
          <w:szCs w:val="20"/>
        </w:rPr>
        <w:t xml:space="preserve">that </w:t>
      </w:r>
      <w:r w:rsidRPr="00D2112D">
        <w:rPr>
          <w:color w:val="FF0000"/>
          <w:szCs w:val="20"/>
        </w:rPr>
        <w:t>this measure is reliable. However, since the distribution of performance scores is skewed, the IUR value should be interpreted with some caution.</w:t>
      </w:r>
    </w:p>
    <w:p w14:paraId="0EE0889F" w14:textId="5584D8A8" w:rsidR="00D2112D" w:rsidRPr="00840AE5" w:rsidRDefault="00D2112D" w:rsidP="00D2112D">
      <w:pPr>
        <w:autoSpaceDE w:val="0"/>
        <w:autoSpaceDN w:val="0"/>
        <w:adjustRightInd w:val="0"/>
        <w:spacing w:after="0" w:line="240" w:lineRule="auto"/>
        <w:rPr>
          <w:rFonts w:cstheme="minorHAnsi"/>
          <w:bCs/>
          <w:sz w:val="24"/>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5B0B9DDA" w:rsidR="00696262" w:rsidRPr="00A25024" w:rsidRDefault="009042A4"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bookmarkStart w:id="12" w:name="_GoBack"/>
      <w:bookmarkEnd w:id="12"/>
    </w:p>
    <w:p w14:paraId="0CABCFD9" w14:textId="4251BCAD" w:rsidR="000574AB" w:rsidRPr="00A25024" w:rsidRDefault="009042A4"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05CB8EBF" w:rsidR="0083332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6ABA93D5" w14:textId="0086C743" w:rsidR="00CB58A9" w:rsidRPr="00840AE5" w:rsidRDefault="00CB58A9" w:rsidP="00CB58A9">
      <w:pPr>
        <w:spacing w:after="120"/>
        <w:rPr>
          <w:szCs w:val="20"/>
        </w:rPr>
      </w:pPr>
      <w:r w:rsidRPr="00840AE5">
        <w:rPr>
          <w:szCs w:val="20"/>
        </w:rPr>
        <w:t>Concurrent validity was used as a method for testing the association between facility perce</w:t>
      </w:r>
      <w:r w:rsidR="00334579">
        <w:rPr>
          <w:szCs w:val="20"/>
        </w:rPr>
        <w:t>ntage of reporting nPCR</w:t>
      </w:r>
      <w:r w:rsidR="00474BB8">
        <w:rPr>
          <w:szCs w:val="20"/>
        </w:rPr>
        <w:t xml:space="preserve"> </w:t>
      </w:r>
      <w:r w:rsidR="00334579">
        <w:rPr>
          <w:szCs w:val="20"/>
        </w:rPr>
        <w:t xml:space="preserve">month </w:t>
      </w:r>
      <w:r w:rsidR="00474BB8">
        <w:rPr>
          <w:szCs w:val="20"/>
        </w:rPr>
        <w:t xml:space="preserve">and mean </w:t>
      </w:r>
      <w:r w:rsidR="00334579" w:rsidRPr="00840AE5">
        <w:rPr>
          <w:szCs w:val="20"/>
        </w:rPr>
        <w:t>nPCR</w:t>
      </w:r>
      <w:r w:rsidR="00334579">
        <w:rPr>
          <w:szCs w:val="20"/>
        </w:rPr>
        <w:t xml:space="preserve"> value</w:t>
      </w:r>
      <w:r w:rsidRPr="00840AE5">
        <w:rPr>
          <w:szCs w:val="20"/>
        </w:rPr>
        <w:t>. Using calendar year 201</w:t>
      </w:r>
      <w:r w:rsidR="00D2112D">
        <w:rPr>
          <w:szCs w:val="20"/>
        </w:rPr>
        <w:t>3</w:t>
      </w:r>
      <w:r w:rsidRPr="00840AE5">
        <w:rPr>
          <w:szCs w:val="20"/>
        </w:rPr>
        <w:t xml:space="preserve"> CROWNWeb dat</w:t>
      </w:r>
      <w:r w:rsidR="00C62998">
        <w:rPr>
          <w:szCs w:val="20"/>
        </w:rPr>
        <w:t xml:space="preserve">a, average facility-mean </w:t>
      </w:r>
      <w:r w:rsidR="00C62998" w:rsidRPr="00840AE5">
        <w:rPr>
          <w:szCs w:val="20"/>
        </w:rPr>
        <w:t>nPCR</w:t>
      </w:r>
      <w:r w:rsidR="00C62998">
        <w:rPr>
          <w:szCs w:val="20"/>
        </w:rPr>
        <w:t xml:space="preserve"> value</w:t>
      </w:r>
      <w:r w:rsidRPr="00840AE5">
        <w:rPr>
          <w:szCs w:val="20"/>
        </w:rPr>
        <w:t xml:space="preserve"> was compared between the two groups using a two-sided two-sample t-test. Facilities were then categorized into one of two groups:</w:t>
      </w:r>
    </w:p>
    <w:p w14:paraId="12C63EE1" w14:textId="08DD81B9" w:rsidR="00CB58A9" w:rsidRPr="00840AE5" w:rsidRDefault="00D34B3A" w:rsidP="00CB58A9">
      <w:pPr>
        <w:spacing w:after="120"/>
        <w:rPr>
          <w:szCs w:val="20"/>
        </w:rPr>
      </w:pPr>
      <w:r>
        <w:rPr>
          <w:szCs w:val="20"/>
        </w:rPr>
        <w:t xml:space="preserve">1) Facilities with </w:t>
      </w:r>
      <w:r w:rsidR="00BB6381">
        <w:rPr>
          <w:szCs w:val="20"/>
        </w:rPr>
        <w:t>100</w:t>
      </w:r>
      <w:r w:rsidR="00CB58A9" w:rsidRPr="00840AE5">
        <w:rPr>
          <w:szCs w:val="20"/>
        </w:rPr>
        <w:t>% reporting of nPCR among their pediatric patients;</w:t>
      </w:r>
    </w:p>
    <w:p w14:paraId="5A66F1D0" w14:textId="2B018111" w:rsidR="00CB58A9" w:rsidRPr="00840AE5" w:rsidRDefault="00CB58A9" w:rsidP="00CB58A9">
      <w:pPr>
        <w:spacing w:after="120"/>
        <w:rPr>
          <w:szCs w:val="20"/>
        </w:rPr>
      </w:pPr>
      <w:r w:rsidRPr="00840AE5">
        <w:rPr>
          <w:szCs w:val="20"/>
        </w:rPr>
        <w:t>2) Faci</w:t>
      </w:r>
      <w:r w:rsidR="00D34B3A">
        <w:rPr>
          <w:szCs w:val="20"/>
        </w:rPr>
        <w:t xml:space="preserve">lities with less than </w:t>
      </w:r>
      <w:r w:rsidR="00BB6381">
        <w:rPr>
          <w:szCs w:val="20"/>
        </w:rPr>
        <w:t>100</w:t>
      </w:r>
      <w:r w:rsidRPr="00840AE5">
        <w:rPr>
          <w:szCs w:val="20"/>
        </w:rPr>
        <w:t>% reporting of nPCR among their pediatric patients</w:t>
      </w:r>
    </w:p>
    <w:p w14:paraId="4DF9DB2F" w14:textId="6DC02A7C" w:rsidR="00CB58A9" w:rsidRDefault="00CB58A9" w:rsidP="00CB58A9">
      <w:pPr>
        <w:spacing w:after="120"/>
        <w:rPr>
          <w:szCs w:val="20"/>
        </w:rPr>
      </w:pPr>
      <w:r w:rsidRPr="00840AE5">
        <w:rPr>
          <w:szCs w:val="20"/>
        </w:rPr>
        <w:t>nPCR values outside the range of [0.2, 1.8] were excluded.</w:t>
      </w:r>
    </w:p>
    <w:p w14:paraId="5CCFED8D" w14:textId="77777777" w:rsidR="00D2112D" w:rsidRPr="00840AE5" w:rsidRDefault="00D2112D" w:rsidP="00D2112D">
      <w:pPr>
        <w:spacing w:after="120"/>
        <w:rPr>
          <w:szCs w:val="20"/>
        </w:rPr>
      </w:pPr>
      <w:r>
        <w:rPr>
          <w:szCs w:val="20"/>
        </w:rPr>
        <w:lastRenderedPageBreak/>
        <w:t xml:space="preserve">This measure was also reviewed and approved by a Clinical TEP in 2010. </w:t>
      </w:r>
    </w:p>
    <w:p w14:paraId="002AC319" w14:textId="77777777" w:rsidR="00D2112D" w:rsidRDefault="00D2112D" w:rsidP="00CB58A9">
      <w:pPr>
        <w:spacing w:after="120"/>
        <w:rPr>
          <w:szCs w:val="20"/>
        </w:rPr>
      </w:pPr>
    </w:p>
    <w:p w14:paraId="2119AFD9" w14:textId="1A4E0A91" w:rsidR="00BB6381" w:rsidRDefault="00D2112D" w:rsidP="00D2112D">
      <w:pPr>
        <w:autoSpaceDE w:val="0"/>
        <w:autoSpaceDN w:val="0"/>
        <w:adjustRightInd w:val="0"/>
        <w:spacing w:after="0" w:line="240" w:lineRule="auto"/>
        <w:rPr>
          <w:color w:val="FF0000"/>
        </w:rPr>
      </w:pPr>
      <w:r w:rsidRPr="0001066C">
        <w:rPr>
          <w:color w:val="FF0000"/>
        </w:rPr>
        <w:t xml:space="preserve">For the Spring 2019 maintenance submission, we </w:t>
      </w:r>
      <w:r w:rsidR="00275114">
        <w:rPr>
          <w:color w:val="FF0000"/>
        </w:rPr>
        <w:t>employed methods</w:t>
      </w:r>
      <w:r w:rsidR="00275114" w:rsidRPr="0001066C">
        <w:rPr>
          <w:color w:val="FF0000"/>
        </w:rPr>
        <w:t xml:space="preserve"> </w:t>
      </w:r>
      <w:r w:rsidR="00275114">
        <w:rPr>
          <w:color w:val="FF0000"/>
        </w:rPr>
        <w:t xml:space="preserve">similar to those </w:t>
      </w:r>
      <w:r w:rsidR="00710A15">
        <w:rPr>
          <w:color w:val="FF0000"/>
        </w:rPr>
        <w:t xml:space="preserve">used in </w:t>
      </w:r>
      <w:r w:rsidRPr="0001066C">
        <w:rPr>
          <w:color w:val="FF0000"/>
        </w:rPr>
        <w:t>the previous submission</w:t>
      </w:r>
      <w:r w:rsidR="00275114">
        <w:rPr>
          <w:color w:val="FF0000"/>
        </w:rPr>
        <w:t>. The current analysis is</w:t>
      </w:r>
      <w:r w:rsidRPr="0001066C">
        <w:rPr>
          <w:color w:val="FF0000"/>
        </w:rPr>
        <w:t xml:space="preserve"> </w:t>
      </w:r>
      <w:r w:rsidR="00275114">
        <w:rPr>
          <w:color w:val="FF0000"/>
        </w:rPr>
        <w:t>based on J</w:t>
      </w:r>
      <w:r w:rsidRPr="0001066C">
        <w:rPr>
          <w:color w:val="FF0000"/>
        </w:rPr>
        <w:t>anuary 2017 – December 2017</w:t>
      </w:r>
      <w:r w:rsidR="00BB6381">
        <w:rPr>
          <w:color w:val="FF0000"/>
        </w:rPr>
        <w:t xml:space="preserve"> </w:t>
      </w:r>
      <w:r w:rsidR="00275114">
        <w:rPr>
          <w:color w:val="FF0000"/>
        </w:rPr>
        <w:t xml:space="preserve">data, and employed the </w:t>
      </w:r>
      <w:r w:rsidR="00710A15">
        <w:rPr>
          <w:color w:val="FF0000"/>
        </w:rPr>
        <w:t xml:space="preserve">following categorization: </w:t>
      </w:r>
    </w:p>
    <w:p w14:paraId="176EF34D" w14:textId="2E323697" w:rsidR="00D2112D" w:rsidRPr="00BB6381" w:rsidRDefault="00BB6381" w:rsidP="00BB6381">
      <w:pPr>
        <w:pStyle w:val="ListParagraph"/>
        <w:numPr>
          <w:ilvl w:val="0"/>
          <w:numId w:val="31"/>
        </w:numPr>
        <w:autoSpaceDE w:val="0"/>
        <w:autoSpaceDN w:val="0"/>
        <w:adjustRightInd w:val="0"/>
        <w:spacing w:after="0" w:line="240" w:lineRule="auto"/>
        <w:rPr>
          <w:rFonts w:cstheme="minorHAnsi"/>
          <w:bCs/>
          <w:color w:val="FF0000"/>
          <w:sz w:val="24"/>
        </w:rPr>
      </w:pPr>
      <w:r>
        <w:rPr>
          <w:color w:val="FF0000"/>
        </w:rPr>
        <w:t xml:space="preserve">Facilities with </w:t>
      </w:r>
      <w:r w:rsidR="00710A15">
        <w:rPr>
          <w:color w:val="FF0000"/>
        </w:rPr>
        <w:t xml:space="preserve">&gt;= </w:t>
      </w:r>
      <w:r w:rsidR="005620FC">
        <w:rPr>
          <w:color w:val="FF0000"/>
        </w:rPr>
        <w:t>85</w:t>
      </w:r>
      <w:r>
        <w:rPr>
          <w:color w:val="FF0000"/>
        </w:rPr>
        <w:t>% reporting of nPCR among their pediatric patients;</w:t>
      </w:r>
      <w:r w:rsidR="00D2112D" w:rsidRPr="00BB6381">
        <w:rPr>
          <w:color w:val="FF0000"/>
        </w:rPr>
        <w:t xml:space="preserve"> </w:t>
      </w:r>
    </w:p>
    <w:p w14:paraId="0845C487" w14:textId="3EF82C66" w:rsidR="00BB6381" w:rsidRPr="00BB6381" w:rsidRDefault="00BB6381" w:rsidP="00BB6381">
      <w:pPr>
        <w:pStyle w:val="ListParagraph"/>
        <w:numPr>
          <w:ilvl w:val="0"/>
          <w:numId w:val="31"/>
        </w:numPr>
        <w:autoSpaceDE w:val="0"/>
        <w:autoSpaceDN w:val="0"/>
        <w:adjustRightInd w:val="0"/>
        <w:spacing w:after="0" w:line="240" w:lineRule="auto"/>
        <w:rPr>
          <w:rFonts w:cstheme="minorHAnsi"/>
          <w:bCs/>
          <w:color w:val="FF0000"/>
          <w:sz w:val="24"/>
        </w:rPr>
      </w:pPr>
      <w:r>
        <w:rPr>
          <w:color w:val="FF0000"/>
        </w:rPr>
        <w:t xml:space="preserve">Facilities with </w:t>
      </w:r>
      <w:r w:rsidR="00710A15">
        <w:rPr>
          <w:color w:val="FF0000"/>
        </w:rPr>
        <w:t>&lt;</w:t>
      </w:r>
      <w:r w:rsidR="005620FC">
        <w:rPr>
          <w:color w:val="FF0000"/>
        </w:rPr>
        <w:t>85</w:t>
      </w:r>
      <w:r>
        <w:rPr>
          <w:color w:val="FF0000"/>
        </w:rPr>
        <w:t>% reporting of nPCR among their pediatric patients</w:t>
      </w:r>
      <w:r w:rsidR="00275114">
        <w:rPr>
          <w:color w:val="FF0000"/>
        </w:rPr>
        <w:t>.</w:t>
      </w:r>
    </w:p>
    <w:p w14:paraId="6D2FEEEE" w14:textId="2A162A90" w:rsidR="00F01CFC" w:rsidRDefault="00F01CFC" w:rsidP="00DB3627">
      <w:pPr>
        <w:autoSpaceDE w:val="0"/>
        <w:autoSpaceDN w:val="0"/>
        <w:adjustRightInd w:val="0"/>
        <w:spacing w:after="0" w:line="240" w:lineRule="auto"/>
        <w:rPr>
          <w:rFonts w:cstheme="minorHAnsi"/>
          <w:bCs/>
        </w:rPr>
      </w:pPr>
    </w:p>
    <w:p w14:paraId="0F499B9F" w14:textId="77777777" w:rsidR="00FF0B88" w:rsidRDefault="00FF0B88" w:rsidP="00DB3627">
      <w:pPr>
        <w:autoSpaceDE w:val="0"/>
        <w:autoSpaceDN w:val="0"/>
        <w:adjustRightInd w:val="0"/>
        <w:spacing w:after="0" w:line="240" w:lineRule="auto"/>
        <w:rPr>
          <w:rFonts w:cstheme="minorHAnsi"/>
          <w:bCs/>
          <w:color w:val="FF0000"/>
        </w:rPr>
      </w:pPr>
    </w:p>
    <w:p w14:paraId="42D2D9DE" w14:textId="77777777" w:rsidR="00FF0B88" w:rsidRDefault="00710A15" w:rsidP="00FF0B88">
      <w:pPr>
        <w:autoSpaceDE w:val="0"/>
        <w:autoSpaceDN w:val="0"/>
        <w:adjustRightInd w:val="0"/>
        <w:spacing w:after="0" w:line="240" w:lineRule="auto"/>
        <w:rPr>
          <w:rFonts w:cstheme="minorHAnsi"/>
          <w:bCs/>
        </w:rPr>
      </w:pPr>
      <w:r>
        <w:rPr>
          <w:rFonts w:cstheme="minorHAnsi"/>
          <w:bCs/>
          <w:color w:val="FF0000"/>
        </w:rPr>
        <w:t xml:space="preserve">We performed a </w:t>
      </w:r>
      <w:r w:rsidRPr="00710A15">
        <w:rPr>
          <w:rFonts w:cstheme="minorHAnsi"/>
          <w:bCs/>
          <w:color w:val="FF0000"/>
        </w:rPr>
        <w:t xml:space="preserve">validity </w:t>
      </w:r>
      <w:r>
        <w:rPr>
          <w:rFonts w:cstheme="minorHAnsi"/>
          <w:bCs/>
          <w:color w:val="FF0000"/>
        </w:rPr>
        <w:t xml:space="preserve">analysis to examine </w:t>
      </w:r>
      <w:r w:rsidRPr="00710A15">
        <w:rPr>
          <w:rFonts w:cstheme="minorHAnsi"/>
          <w:bCs/>
          <w:color w:val="FF0000"/>
        </w:rPr>
        <w:t>the association between facility percentage of reporting</w:t>
      </w:r>
      <w:r w:rsidR="00435D26">
        <w:rPr>
          <w:rFonts w:cstheme="minorHAnsi"/>
          <w:bCs/>
          <w:color w:val="FF0000"/>
        </w:rPr>
        <w:t xml:space="preserve"> nPCR month and mean nPCR value via the means of two-sample t-test. </w:t>
      </w:r>
      <w:r w:rsidRPr="00710A15">
        <w:rPr>
          <w:rFonts w:cstheme="minorHAnsi"/>
          <w:bCs/>
          <w:color w:val="FF0000"/>
        </w:rPr>
        <w:t xml:space="preserve"> </w:t>
      </w:r>
      <w:r w:rsidR="00FF0B88">
        <w:rPr>
          <w:rFonts w:cstheme="minorHAnsi"/>
          <w:bCs/>
          <w:color w:val="FF0000"/>
        </w:rPr>
        <w:t>We would expect that facilities with at least 85% reporting of nPCR among their pediatric patients are likely paying attention to this parameter in their clinical management (i.e., assessment of protein intake) of pediatric dialysis patients.</w:t>
      </w:r>
    </w:p>
    <w:p w14:paraId="144B4D19" w14:textId="50740DFE" w:rsidR="00547D34" w:rsidRDefault="00547D34" w:rsidP="00DB3627">
      <w:pPr>
        <w:autoSpaceDE w:val="0"/>
        <w:autoSpaceDN w:val="0"/>
        <w:adjustRightInd w:val="0"/>
        <w:spacing w:after="0" w:line="240" w:lineRule="auto"/>
        <w:rPr>
          <w:rFonts w:cstheme="minorHAnsi"/>
          <w:bCs/>
          <w:color w:val="FF0000"/>
        </w:rPr>
      </w:pPr>
    </w:p>
    <w:p w14:paraId="4562BAAF" w14:textId="77777777" w:rsidR="006800F9" w:rsidRDefault="006800F9" w:rsidP="00DB3627">
      <w:pPr>
        <w:autoSpaceDE w:val="0"/>
        <w:autoSpaceDN w:val="0"/>
        <w:adjustRightInd w:val="0"/>
        <w:spacing w:after="0" w:line="240" w:lineRule="auto"/>
        <w:rPr>
          <w:rFonts w:cstheme="minorHAnsi"/>
          <w:bCs/>
        </w:rPr>
      </w:pPr>
    </w:p>
    <w:p w14:paraId="168D0E67" w14:textId="54FA14D6" w:rsidR="00547D34" w:rsidRPr="00547D34" w:rsidRDefault="00547D34" w:rsidP="00547D34">
      <w:pPr>
        <w:spacing w:after="120"/>
        <w:rPr>
          <w:color w:val="FF0000"/>
          <w:szCs w:val="20"/>
        </w:rPr>
      </w:pPr>
      <w:r w:rsidRPr="00547D34">
        <w:rPr>
          <w:rFonts w:cstheme="minorHAnsi"/>
          <w:bCs/>
          <w:color w:val="FF0000"/>
        </w:rPr>
        <w:t>We also maintain this measure on the basis of face validity, as the</w:t>
      </w:r>
      <w:r w:rsidRPr="00547D34">
        <w:rPr>
          <w:color w:val="FF0000"/>
          <w:szCs w:val="20"/>
        </w:rPr>
        <w:t xml:space="preserve"> measure was reviewed and approved by a Clinical TEP in 2010. </w:t>
      </w:r>
    </w:p>
    <w:p w14:paraId="71DAA568" w14:textId="2BE850A7" w:rsidR="00547D34" w:rsidRPr="00A25024" w:rsidRDefault="00547D34" w:rsidP="00DB3627">
      <w:pPr>
        <w:autoSpaceDE w:val="0"/>
        <w:autoSpaceDN w:val="0"/>
        <w:adjustRightInd w:val="0"/>
        <w:spacing w:after="0" w:line="240" w:lineRule="auto"/>
        <w:rPr>
          <w:rFonts w:cstheme="minorHAnsi"/>
          <w:bCs/>
        </w:rPr>
      </w:pPr>
    </w:p>
    <w:p w14:paraId="2AF411DE" w14:textId="77777777" w:rsidR="00F01CFC"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6489A160" w14:textId="77777777" w:rsidR="00F01CFC" w:rsidRDefault="00F01CFC" w:rsidP="00092566">
      <w:pPr>
        <w:autoSpaceDE w:val="0"/>
        <w:autoSpaceDN w:val="0"/>
        <w:adjustRightInd w:val="0"/>
        <w:spacing w:after="0" w:line="240" w:lineRule="auto"/>
        <w:rPr>
          <w:rFonts w:cstheme="minorHAnsi"/>
          <w:bCs/>
        </w:rPr>
      </w:pPr>
    </w:p>
    <w:p w14:paraId="5B48965A" w14:textId="77777777" w:rsidR="00D2112D" w:rsidRPr="00840AE5" w:rsidRDefault="00D2112D" w:rsidP="00D2112D">
      <w:pPr>
        <w:autoSpaceDE w:val="0"/>
        <w:autoSpaceDN w:val="0"/>
        <w:adjustRightInd w:val="0"/>
        <w:spacing w:after="0" w:line="240" w:lineRule="auto"/>
        <w:rPr>
          <w:szCs w:val="20"/>
        </w:rPr>
      </w:pPr>
      <w:r w:rsidRPr="00840AE5">
        <w:rPr>
          <w:szCs w:val="20"/>
        </w:rPr>
        <w:t>Among facilities with at least 11 eligible pediatric patients with recorded nPCR values, facilities with 100% reporting of recorded nPCR values had a mean serum albumin of 3.77, while facilities with less than 100% reporting of recorded nPCR values had a mean serum albumin of 4.0. Using a t-test, these values were statistically significant (p-value 0.02).</w:t>
      </w:r>
    </w:p>
    <w:p w14:paraId="0279201D" w14:textId="77777777" w:rsidR="00D2112D" w:rsidRDefault="00D2112D" w:rsidP="00CB58A9">
      <w:pPr>
        <w:autoSpaceDE w:val="0"/>
        <w:autoSpaceDN w:val="0"/>
        <w:adjustRightInd w:val="0"/>
        <w:spacing w:after="0" w:line="240" w:lineRule="auto"/>
        <w:rPr>
          <w:szCs w:val="20"/>
        </w:rPr>
      </w:pPr>
    </w:p>
    <w:p w14:paraId="504FD848" w14:textId="77777777" w:rsidR="00D2112D" w:rsidRDefault="00D2112D" w:rsidP="00CB58A9">
      <w:pPr>
        <w:autoSpaceDE w:val="0"/>
        <w:autoSpaceDN w:val="0"/>
        <w:adjustRightInd w:val="0"/>
        <w:spacing w:after="0" w:line="240" w:lineRule="auto"/>
        <w:rPr>
          <w:szCs w:val="20"/>
        </w:rPr>
      </w:pPr>
    </w:p>
    <w:p w14:paraId="5D3CDCCB" w14:textId="4C372554" w:rsidR="00CB58A9" w:rsidRPr="00840AE5" w:rsidRDefault="00D2112D" w:rsidP="00CB58A9">
      <w:pPr>
        <w:autoSpaceDE w:val="0"/>
        <w:autoSpaceDN w:val="0"/>
        <w:adjustRightInd w:val="0"/>
        <w:spacing w:after="0" w:line="240" w:lineRule="auto"/>
        <w:rPr>
          <w:szCs w:val="20"/>
        </w:rPr>
      </w:pPr>
      <w:r w:rsidRPr="0001066C">
        <w:rPr>
          <w:color w:val="FF0000"/>
        </w:rPr>
        <w:t xml:space="preserve">For the Spring 2019 maintenance </w:t>
      </w:r>
      <w:r w:rsidRPr="00D2112D">
        <w:rPr>
          <w:color w:val="FF0000"/>
        </w:rPr>
        <w:t>submission, a</w:t>
      </w:r>
      <w:r w:rsidR="00CB58A9" w:rsidRPr="00D2112D">
        <w:rPr>
          <w:color w:val="FF0000"/>
          <w:szCs w:val="20"/>
        </w:rPr>
        <w:t xml:space="preserve">mong facilities with at least 11 eligible pediatric patients </w:t>
      </w:r>
      <w:r w:rsidR="00A063B3" w:rsidRPr="00DD182C">
        <w:rPr>
          <w:color w:val="FF0000"/>
          <w:szCs w:val="20"/>
        </w:rPr>
        <w:t xml:space="preserve">and </w:t>
      </w:r>
      <w:r w:rsidR="00CB58A9" w:rsidRPr="00DD182C">
        <w:rPr>
          <w:color w:val="FF0000"/>
          <w:szCs w:val="20"/>
        </w:rPr>
        <w:t xml:space="preserve">recorded </w:t>
      </w:r>
      <w:r w:rsidR="00B41371" w:rsidRPr="00DD182C">
        <w:rPr>
          <w:color w:val="FF0000"/>
          <w:szCs w:val="20"/>
        </w:rPr>
        <w:t xml:space="preserve">nPCR values, facilities with </w:t>
      </w:r>
      <w:r w:rsidR="005620FC" w:rsidRPr="00DD182C">
        <w:rPr>
          <w:color w:val="FF0000"/>
          <w:szCs w:val="20"/>
        </w:rPr>
        <w:t>85</w:t>
      </w:r>
      <w:r w:rsidR="00CB58A9" w:rsidRPr="00DD182C">
        <w:rPr>
          <w:color w:val="FF0000"/>
          <w:szCs w:val="20"/>
        </w:rPr>
        <w:t xml:space="preserve">% </w:t>
      </w:r>
      <w:r w:rsidR="00A063B3" w:rsidRPr="00DD182C">
        <w:rPr>
          <w:color w:val="FF0000"/>
          <w:szCs w:val="20"/>
        </w:rPr>
        <w:t xml:space="preserve">or higher </w:t>
      </w:r>
      <w:r w:rsidR="00CB58A9" w:rsidRPr="00DD182C">
        <w:rPr>
          <w:color w:val="FF0000"/>
          <w:szCs w:val="20"/>
        </w:rPr>
        <w:t>reporting of recorded nPCR</w:t>
      </w:r>
      <w:r w:rsidR="00A32345" w:rsidRPr="00DD182C">
        <w:rPr>
          <w:color w:val="FF0000"/>
          <w:szCs w:val="20"/>
        </w:rPr>
        <w:t xml:space="preserve"> values had a mean n</w:t>
      </w:r>
      <w:r w:rsidR="00030160" w:rsidRPr="00DD182C">
        <w:rPr>
          <w:color w:val="FF0000"/>
          <w:szCs w:val="20"/>
        </w:rPr>
        <w:t>PCR</w:t>
      </w:r>
      <w:r w:rsidR="00B41371" w:rsidRPr="00DD182C">
        <w:rPr>
          <w:color w:val="FF0000"/>
          <w:szCs w:val="20"/>
        </w:rPr>
        <w:t xml:space="preserve"> of 0.</w:t>
      </w:r>
      <w:r w:rsidR="005620FC" w:rsidRPr="00DD182C">
        <w:rPr>
          <w:color w:val="FF0000"/>
          <w:szCs w:val="20"/>
        </w:rPr>
        <w:t>9974</w:t>
      </w:r>
      <w:r w:rsidR="00CB58A9" w:rsidRPr="00DD182C">
        <w:rPr>
          <w:color w:val="FF0000"/>
          <w:szCs w:val="20"/>
        </w:rPr>
        <w:t>, while facilities with less</w:t>
      </w:r>
      <w:r w:rsidR="00B41371" w:rsidRPr="00DD182C">
        <w:rPr>
          <w:color w:val="FF0000"/>
          <w:szCs w:val="20"/>
        </w:rPr>
        <w:t xml:space="preserve"> than </w:t>
      </w:r>
      <w:r w:rsidR="005620FC" w:rsidRPr="00DD182C">
        <w:rPr>
          <w:color w:val="FF0000"/>
          <w:szCs w:val="20"/>
        </w:rPr>
        <w:t>85</w:t>
      </w:r>
      <w:r w:rsidR="00CB58A9" w:rsidRPr="00DD182C">
        <w:rPr>
          <w:color w:val="FF0000"/>
          <w:szCs w:val="20"/>
        </w:rPr>
        <w:t>% reporting of recorded nPCR values</w:t>
      </w:r>
      <w:r w:rsidR="00A32345" w:rsidRPr="00DD182C">
        <w:rPr>
          <w:color w:val="FF0000"/>
          <w:szCs w:val="20"/>
        </w:rPr>
        <w:t xml:space="preserve"> ha</w:t>
      </w:r>
      <w:r w:rsidR="00B41371" w:rsidRPr="00DD182C">
        <w:rPr>
          <w:color w:val="FF0000"/>
          <w:szCs w:val="20"/>
        </w:rPr>
        <w:t xml:space="preserve">d a mean </w:t>
      </w:r>
      <w:r w:rsidR="00030160" w:rsidRPr="00DD182C">
        <w:rPr>
          <w:color w:val="FF0000"/>
          <w:szCs w:val="20"/>
        </w:rPr>
        <w:t>nPCR</w:t>
      </w:r>
      <w:r w:rsidR="00B41371" w:rsidRPr="00DD182C">
        <w:rPr>
          <w:color w:val="FF0000"/>
          <w:szCs w:val="20"/>
        </w:rPr>
        <w:t xml:space="preserve"> of 0.</w:t>
      </w:r>
      <w:r w:rsidR="005620FC" w:rsidRPr="00DD182C">
        <w:rPr>
          <w:color w:val="FF0000"/>
          <w:szCs w:val="20"/>
        </w:rPr>
        <w:t>6587</w:t>
      </w:r>
      <w:r w:rsidR="00CB58A9" w:rsidRPr="00DD182C">
        <w:rPr>
          <w:color w:val="FF0000"/>
          <w:szCs w:val="20"/>
        </w:rPr>
        <w:t xml:space="preserve">. </w:t>
      </w:r>
      <w:r w:rsidR="00A063B3" w:rsidRPr="00DD182C">
        <w:rPr>
          <w:color w:val="FF0000"/>
          <w:szCs w:val="20"/>
        </w:rPr>
        <w:t xml:space="preserve">According to </w:t>
      </w:r>
      <w:r w:rsidR="006800F9" w:rsidRPr="00DD182C">
        <w:rPr>
          <w:color w:val="FF0000"/>
          <w:szCs w:val="20"/>
        </w:rPr>
        <w:t>the t</w:t>
      </w:r>
      <w:r w:rsidR="00CB58A9" w:rsidRPr="00DD182C">
        <w:rPr>
          <w:color w:val="FF0000"/>
          <w:szCs w:val="20"/>
        </w:rPr>
        <w:t>-test</w:t>
      </w:r>
      <w:r w:rsidR="00275114" w:rsidRPr="00DD182C">
        <w:rPr>
          <w:color w:val="FF0000"/>
          <w:szCs w:val="20"/>
        </w:rPr>
        <w:t xml:space="preserve"> (Satterthwaite version)</w:t>
      </w:r>
      <w:r w:rsidR="00CB58A9" w:rsidRPr="00DD182C">
        <w:rPr>
          <w:color w:val="FF0000"/>
          <w:szCs w:val="20"/>
        </w:rPr>
        <w:t xml:space="preserve">, </w:t>
      </w:r>
      <w:r w:rsidR="00A063B3" w:rsidRPr="00DD182C">
        <w:rPr>
          <w:color w:val="FF0000"/>
          <w:szCs w:val="20"/>
        </w:rPr>
        <w:t>the mean n</w:t>
      </w:r>
      <w:r w:rsidR="00030160" w:rsidRPr="00DD182C">
        <w:rPr>
          <w:color w:val="FF0000"/>
          <w:szCs w:val="20"/>
        </w:rPr>
        <w:t>PCR</w:t>
      </w:r>
      <w:r w:rsidR="00A063B3" w:rsidRPr="00DD182C">
        <w:rPr>
          <w:color w:val="FF0000"/>
          <w:szCs w:val="20"/>
        </w:rPr>
        <w:t xml:space="preserve"> values of these two groups </w:t>
      </w:r>
      <w:r w:rsidR="00CB58A9" w:rsidRPr="00DD182C">
        <w:rPr>
          <w:color w:val="FF0000"/>
          <w:szCs w:val="20"/>
        </w:rPr>
        <w:t xml:space="preserve">were </w:t>
      </w:r>
      <w:r w:rsidR="005620FC" w:rsidRPr="00DD182C">
        <w:rPr>
          <w:color w:val="FF0000"/>
          <w:szCs w:val="20"/>
        </w:rPr>
        <w:t xml:space="preserve">not </w:t>
      </w:r>
      <w:r w:rsidR="00CB58A9" w:rsidRPr="00DD182C">
        <w:rPr>
          <w:color w:val="FF0000"/>
          <w:szCs w:val="20"/>
        </w:rPr>
        <w:t>statist</w:t>
      </w:r>
      <w:r w:rsidR="00A32345" w:rsidRPr="00DD182C">
        <w:rPr>
          <w:color w:val="FF0000"/>
          <w:szCs w:val="20"/>
        </w:rPr>
        <w:t>ically significant (p-value</w:t>
      </w:r>
      <w:r w:rsidR="008A55A6" w:rsidRPr="00DD182C">
        <w:rPr>
          <w:color w:val="FF0000"/>
          <w:szCs w:val="20"/>
        </w:rPr>
        <w:t>=</w:t>
      </w:r>
      <w:r w:rsidR="00A32345" w:rsidRPr="00DD182C">
        <w:rPr>
          <w:color w:val="FF0000"/>
          <w:szCs w:val="20"/>
        </w:rPr>
        <w:t>0.</w:t>
      </w:r>
      <w:r w:rsidR="005620FC" w:rsidRPr="00DD182C">
        <w:rPr>
          <w:color w:val="FF0000"/>
          <w:szCs w:val="20"/>
        </w:rPr>
        <w:t>13</w:t>
      </w:r>
      <w:r w:rsidR="00275114" w:rsidRPr="00DD182C">
        <w:rPr>
          <w:color w:val="FF0000"/>
          <w:szCs w:val="20"/>
        </w:rPr>
        <w:t>)</w:t>
      </w:r>
    </w:p>
    <w:p w14:paraId="0CABCFDE" w14:textId="31ECCD38" w:rsidR="007422FD" w:rsidRPr="00092566" w:rsidRDefault="00833325" w:rsidP="00092566">
      <w:pPr>
        <w:autoSpaceDE w:val="0"/>
        <w:autoSpaceDN w:val="0"/>
        <w:adjustRightInd w:val="0"/>
        <w:spacing w:after="0" w:line="240" w:lineRule="auto"/>
        <w:rPr>
          <w:rFonts w:cstheme="minorHAnsi"/>
          <w:bCs/>
        </w:rPr>
      </w:pPr>
      <w:r w:rsidRPr="00A25024">
        <w:rPr>
          <w:rFonts w:cstheme="minorHAnsi"/>
          <w:bCs/>
        </w:rPr>
        <w:br/>
      </w:r>
    </w:p>
    <w:p w14:paraId="72E42812" w14:textId="77777777" w:rsidR="00F01CFC"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1D168F90" w14:textId="77777777" w:rsidR="00F01CFC" w:rsidRDefault="00F01CFC" w:rsidP="00DB3627">
      <w:pPr>
        <w:autoSpaceDE w:val="0"/>
        <w:autoSpaceDN w:val="0"/>
        <w:adjustRightInd w:val="0"/>
        <w:spacing w:after="0" w:line="240" w:lineRule="auto"/>
        <w:rPr>
          <w:rFonts w:cstheme="minorHAnsi"/>
          <w:bCs/>
        </w:rPr>
      </w:pPr>
    </w:p>
    <w:p w14:paraId="0F1B3C82" w14:textId="77777777" w:rsidR="00CB58A9" w:rsidRPr="00840AE5" w:rsidRDefault="00CB58A9" w:rsidP="00CB58A9">
      <w:pPr>
        <w:autoSpaceDE w:val="0"/>
        <w:autoSpaceDN w:val="0"/>
        <w:adjustRightInd w:val="0"/>
        <w:spacing w:after="0" w:line="240" w:lineRule="auto"/>
        <w:rPr>
          <w:szCs w:val="20"/>
        </w:rPr>
      </w:pPr>
      <w:r w:rsidRPr="00547D34">
        <w:rPr>
          <w:szCs w:val="20"/>
        </w:rPr>
        <w:t>These findings are somewhat unexpected, and in the opposite direction of analyses previously conducted. This difference may have resulted from a larger sample utilized for the current analyses (previous analyses were conducted over a limited timeframe). We speculate that the observed findings may have resulted if facilities are more likely to collect necessary data elements for nPCR assessment in patients for which nutritional concerns exist. These results therefore do not necessarily contradict the importance of evaluating nPCR.</w:t>
      </w:r>
    </w:p>
    <w:p w14:paraId="3077E504" w14:textId="77777777" w:rsidR="00132D0E" w:rsidRDefault="007422FD" w:rsidP="00385075">
      <w:pPr>
        <w:autoSpaceDE w:val="0"/>
        <w:autoSpaceDN w:val="0"/>
        <w:adjustRightInd w:val="0"/>
        <w:spacing w:after="0" w:line="240" w:lineRule="auto"/>
        <w:rPr>
          <w:rFonts w:cstheme="minorHAnsi"/>
          <w:bCs/>
          <w:color w:val="FF0000"/>
        </w:rPr>
      </w:pPr>
      <w:r w:rsidRPr="00A25024">
        <w:rPr>
          <w:rFonts w:cstheme="minorHAnsi"/>
          <w:bCs/>
        </w:rPr>
        <w:br/>
      </w:r>
    </w:p>
    <w:p w14:paraId="5A606D01" w14:textId="77777777" w:rsidR="00132D0E" w:rsidRDefault="00132D0E">
      <w:pPr>
        <w:rPr>
          <w:rFonts w:cstheme="minorHAnsi"/>
          <w:bCs/>
          <w:color w:val="FF0000"/>
        </w:rPr>
      </w:pPr>
      <w:r>
        <w:rPr>
          <w:rFonts w:cstheme="minorHAnsi"/>
          <w:bCs/>
          <w:color w:val="FF0000"/>
        </w:rPr>
        <w:br w:type="page"/>
      </w:r>
    </w:p>
    <w:p w14:paraId="3528663D" w14:textId="02999E74" w:rsidR="00074525" w:rsidRDefault="008A55A6" w:rsidP="00385075">
      <w:pPr>
        <w:autoSpaceDE w:val="0"/>
        <w:autoSpaceDN w:val="0"/>
        <w:adjustRightInd w:val="0"/>
        <w:spacing w:after="0" w:line="240" w:lineRule="auto"/>
        <w:rPr>
          <w:color w:val="FF0000"/>
          <w:szCs w:val="20"/>
        </w:rPr>
      </w:pPr>
      <w:r>
        <w:rPr>
          <w:rFonts w:cstheme="minorHAnsi"/>
          <w:bCs/>
          <w:color w:val="FF0000"/>
        </w:rPr>
        <w:lastRenderedPageBreak/>
        <w:t xml:space="preserve">Give no evidence that facility-specific nPCR differs by reporting percentage, we found no evidence of invalidity. </w:t>
      </w:r>
    </w:p>
    <w:p w14:paraId="0237273A" w14:textId="77777777" w:rsidR="00074525" w:rsidRDefault="00074525" w:rsidP="00385075">
      <w:pPr>
        <w:autoSpaceDE w:val="0"/>
        <w:autoSpaceDN w:val="0"/>
        <w:adjustRightInd w:val="0"/>
        <w:spacing w:after="0" w:line="240" w:lineRule="auto"/>
        <w:rPr>
          <w:color w:val="FF0000"/>
          <w:szCs w:val="20"/>
        </w:rPr>
      </w:pPr>
    </w:p>
    <w:p w14:paraId="6ADB3C56" w14:textId="1089BFF7" w:rsidR="00385075" w:rsidRPr="00840AE5" w:rsidRDefault="00FF0B88" w:rsidP="00074525">
      <w:pPr>
        <w:autoSpaceDE w:val="0"/>
        <w:autoSpaceDN w:val="0"/>
        <w:adjustRightInd w:val="0"/>
        <w:spacing w:after="0" w:line="240" w:lineRule="auto"/>
        <w:rPr>
          <w:szCs w:val="20"/>
        </w:rPr>
      </w:pPr>
      <w:r>
        <w:rPr>
          <w:color w:val="FF0000"/>
          <w:szCs w:val="20"/>
        </w:rPr>
        <w:t>In addition to</w:t>
      </w:r>
      <w:r w:rsidR="008A55A6">
        <w:rPr>
          <w:color w:val="FF0000"/>
          <w:szCs w:val="20"/>
        </w:rPr>
        <w:t xml:space="preserve"> t</w:t>
      </w:r>
      <w:r w:rsidR="00385075" w:rsidRPr="00385075">
        <w:rPr>
          <w:color w:val="FF0000"/>
          <w:szCs w:val="20"/>
        </w:rPr>
        <w:t>hese results</w:t>
      </w:r>
      <w:r w:rsidR="008A55A6">
        <w:rPr>
          <w:color w:val="FF0000"/>
          <w:szCs w:val="20"/>
        </w:rPr>
        <w:t xml:space="preserve">, along with </w:t>
      </w:r>
      <w:r w:rsidR="00385075" w:rsidRPr="00385075">
        <w:rPr>
          <w:color w:val="FF0000"/>
          <w:szCs w:val="20"/>
        </w:rPr>
        <w:t>th</w:t>
      </w:r>
      <w:r w:rsidR="00547D34">
        <w:rPr>
          <w:color w:val="FF0000"/>
          <w:szCs w:val="20"/>
        </w:rPr>
        <w:t xml:space="preserve">e </w:t>
      </w:r>
      <w:r w:rsidR="008A55A6">
        <w:rPr>
          <w:color w:val="FF0000"/>
          <w:szCs w:val="20"/>
        </w:rPr>
        <w:t xml:space="preserve">clinical </w:t>
      </w:r>
      <w:r w:rsidR="00547D34">
        <w:rPr>
          <w:color w:val="FF0000"/>
          <w:szCs w:val="20"/>
        </w:rPr>
        <w:t xml:space="preserve">importance of evaluating nPCR, </w:t>
      </w:r>
      <w:r w:rsidR="00074525">
        <w:rPr>
          <w:rFonts w:cstheme="minorHAnsi"/>
          <w:bCs/>
          <w:color w:val="FF0000"/>
        </w:rPr>
        <w:t xml:space="preserve">we </w:t>
      </w:r>
      <w:r>
        <w:rPr>
          <w:color w:val="FF0000"/>
          <w:szCs w:val="20"/>
        </w:rPr>
        <w:t>also</w:t>
      </w:r>
      <w:r w:rsidR="008A55A6">
        <w:rPr>
          <w:color w:val="FF0000"/>
          <w:szCs w:val="20"/>
        </w:rPr>
        <w:t xml:space="preserve"> propose </w:t>
      </w:r>
      <w:r w:rsidR="00074525">
        <w:rPr>
          <w:rFonts w:cstheme="minorHAnsi"/>
          <w:bCs/>
          <w:color w:val="FF0000"/>
        </w:rPr>
        <w:t>maintain</w:t>
      </w:r>
      <w:r w:rsidR="008A55A6">
        <w:rPr>
          <w:rFonts w:cstheme="minorHAnsi"/>
          <w:bCs/>
          <w:color w:val="FF0000"/>
        </w:rPr>
        <w:t>ing</w:t>
      </w:r>
      <w:r w:rsidR="00074525">
        <w:rPr>
          <w:rFonts w:cstheme="minorHAnsi"/>
          <w:bCs/>
          <w:color w:val="FF0000"/>
        </w:rPr>
        <w:t xml:space="preserve"> the measure based on face validity </w:t>
      </w:r>
      <w:r w:rsidR="008A55A6">
        <w:rPr>
          <w:rFonts w:cstheme="minorHAnsi"/>
          <w:bCs/>
          <w:color w:val="FF0000"/>
        </w:rPr>
        <w:t>(</w:t>
      </w:r>
      <w:r w:rsidR="00074525">
        <w:rPr>
          <w:rFonts w:cstheme="minorHAnsi"/>
          <w:bCs/>
          <w:color w:val="FF0000"/>
        </w:rPr>
        <w:t>as determined by the Technical Expert Panel that initially developed the measure</w:t>
      </w:r>
      <w:r w:rsidR="008A55A6">
        <w:rPr>
          <w:rFonts w:cstheme="minorHAnsi"/>
          <w:bCs/>
          <w:color w:val="FF0000"/>
        </w:rPr>
        <w:t>)</w:t>
      </w:r>
      <w:r w:rsidR="00074525">
        <w:rPr>
          <w:rFonts w:cstheme="minorHAnsi"/>
          <w:bCs/>
          <w:color w:val="FF0000"/>
        </w:rPr>
        <w:t>.</w:t>
      </w:r>
    </w:p>
    <w:p w14:paraId="0CABCFDF" w14:textId="50CCEE67" w:rsidR="007422FD" w:rsidRPr="00A25024" w:rsidRDefault="007422FD" w:rsidP="00DB3627">
      <w:pPr>
        <w:autoSpaceDE w:val="0"/>
        <w:autoSpaceDN w:val="0"/>
        <w:adjustRightInd w:val="0"/>
        <w:spacing w:after="0" w:line="240" w:lineRule="auto"/>
        <w:rPr>
          <w:rFonts w:cstheme="minorHAnsi"/>
          <w:bCs/>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00599975"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5F8F3135"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0AD5C1AE" w14:textId="77777777" w:rsidR="00F01CFC" w:rsidRPr="00A25024" w:rsidRDefault="00092566" w:rsidP="00F01CFC">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F01CFC">
        <w:rPr>
          <w:rFonts w:cstheme="minorHAnsi"/>
          <w:bCs/>
        </w:rPr>
        <w:t>N/A</w:t>
      </w:r>
      <w:r w:rsidR="00F01CFC" w:rsidRPr="00A25024">
        <w:rPr>
          <w:rFonts w:cstheme="minorHAnsi"/>
          <w:bCs/>
        </w:rPr>
        <w:t xml:space="preserve"> </w:t>
      </w:r>
    </w:p>
    <w:p w14:paraId="0CABCFE6" w14:textId="38532CDE" w:rsidR="007422FD" w:rsidRDefault="007422FD" w:rsidP="00092566">
      <w:pPr>
        <w:autoSpaceDE w:val="0"/>
        <w:autoSpaceDN w:val="0"/>
        <w:adjustRightInd w:val="0"/>
        <w:spacing w:after="0" w:line="240" w:lineRule="auto"/>
        <w:rPr>
          <w:rFonts w:cstheme="minorHAnsi"/>
          <w:bCs/>
        </w:rPr>
      </w:pP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03632083" w14:textId="77777777" w:rsidR="00F01CFC" w:rsidRPr="00A25024" w:rsidRDefault="00092566" w:rsidP="00F01CFC">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r w:rsidR="00F01CFC">
        <w:rPr>
          <w:rFonts w:cstheme="minorHAnsi"/>
          <w:bCs/>
        </w:rPr>
        <w:t>N/A</w:t>
      </w:r>
      <w:r w:rsidR="00F01CFC" w:rsidRPr="00A25024">
        <w:rPr>
          <w:rFonts w:cstheme="minorHAnsi"/>
          <w:bCs/>
        </w:rPr>
        <w:t xml:space="preserve"> </w:t>
      </w:r>
    </w:p>
    <w:p w14:paraId="0CABCFE9" w14:textId="1CA1B9D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3" w:name="section2b4"/>
      <w:bookmarkEnd w:id="13"/>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1DD8EE9D" w:rsidR="00033038" w:rsidRPr="005232D6" w:rsidRDefault="009042A4"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9042A4"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9042A4"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9042A4"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5A4C018B"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A1E352E" w14:textId="77777777" w:rsidR="00AF2D68" w:rsidRDefault="00AF2D68" w:rsidP="009D3882">
      <w:pPr>
        <w:rPr>
          <w:rFonts w:cs="Calibri"/>
          <w:b/>
          <w:bCs/>
        </w:rPr>
      </w:pPr>
    </w:p>
    <w:p w14:paraId="12C01F3F" w14:textId="77777777" w:rsidR="00F01CFC" w:rsidRPr="00A25024" w:rsidRDefault="009C7513" w:rsidP="00F01CFC">
      <w:pPr>
        <w:autoSpaceDE w:val="0"/>
        <w:autoSpaceDN w:val="0"/>
        <w:adjustRightInd w:val="0"/>
        <w:spacing w:after="0" w:line="240" w:lineRule="auto"/>
        <w:rPr>
          <w:rFonts w:cstheme="minorHAnsi"/>
          <w:bCs/>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r w:rsidR="00F01CFC">
        <w:rPr>
          <w:rFonts w:cstheme="minorHAnsi"/>
          <w:bCs/>
        </w:rPr>
        <w:t>N/A</w:t>
      </w:r>
      <w:r w:rsidR="00F01CFC" w:rsidRPr="00A25024">
        <w:rPr>
          <w:rFonts w:cstheme="minorHAnsi"/>
          <w:bCs/>
        </w:rPr>
        <w:t xml:space="preserve"> </w:t>
      </w:r>
    </w:p>
    <w:p w14:paraId="399FB1EE" w14:textId="77777777" w:rsidR="00D2112D" w:rsidRDefault="00D2112D" w:rsidP="00F01CFC">
      <w:pPr>
        <w:autoSpaceDE w:val="0"/>
        <w:autoSpaceDN w:val="0"/>
        <w:adjustRightInd w:val="0"/>
        <w:spacing w:after="0" w:line="240" w:lineRule="auto"/>
        <w:rPr>
          <w:rFonts w:cstheme="minorHAnsi"/>
          <w:b/>
          <w:bCs/>
        </w:rPr>
      </w:pPr>
    </w:p>
    <w:p w14:paraId="7A584B7C" w14:textId="58BF2FF5" w:rsidR="00F01CFC" w:rsidRPr="00A25024" w:rsidRDefault="009C7513" w:rsidP="00F01CFC">
      <w:pPr>
        <w:autoSpaceDE w:val="0"/>
        <w:autoSpaceDN w:val="0"/>
        <w:adjustRightInd w:val="0"/>
        <w:spacing w:after="0" w:line="240" w:lineRule="auto"/>
        <w:rPr>
          <w:rFonts w:cstheme="minorHAnsi"/>
          <w:bCs/>
        </w:rPr>
      </w:pPr>
      <w:r>
        <w:rPr>
          <w:rFonts w:cstheme="minorHAnsi"/>
          <w:b/>
          <w:bCs/>
        </w:rPr>
        <w:lastRenderedPageBreak/>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r w:rsidR="00F01CFC">
        <w:rPr>
          <w:rFonts w:cstheme="minorHAnsi"/>
          <w:bCs/>
        </w:rPr>
        <w:t>N/A</w:t>
      </w:r>
      <w:r w:rsidR="00F01CFC" w:rsidRPr="00A25024">
        <w:rPr>
          <w:rFonts w:cstheme="minorHAnsi"/>
          <w:bCs/>
        </w:rPr>
        <w:t xml:space="preserve"> </w:t>
      </w:r>
    </w:p>
    <w:p w14:paraId="0CABCFF6" w14:textId="5A589104" w:rsidR="00001D73" w:rsidRPr="00AF2D68" w:rsidRDefault="00001D73" w:rsidP="00AF2D68">
      <w:pPr>
        <w:rPr>
          <w:rFonts w:cstheme="minorHAnsi"/>
          <w:bCs/>
          <w:sz w:val="4"/>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9042A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9042A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9042A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56737AD5" w14:textId="77777777" w:rsidR="00F01CFC" w:rsidRPr="00A25024" w:rsidRDefault="009C7513" w:rsidP="00F01CFC">
      <w:pPr>
        <w:autoSpaceDE w:val="0"/>
        <w:autoSpaceDN w:val="0"/>
        <w:adjustRightInd w:val="0"/>
        <w:spacing w:after="0" w:line="240" w:lineRule="auto"/>
        <w:rPr>
          <w:rFonts w:cstheme="minorHAnsi"/>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r w:rsidR="00F01CFC">
        <w:rPr>
          <w:rFonts w:cstheme="minorHAnsi"/>
          <w:bCs/>
        </w:rPr>
        <w:t>N/A</w:t>
      </w:r>
      <w:r w:rsidR="00F01CFC" w:rsidRPr="00A25024">
        <w:rPr>
          <w:rFonts w:cstheme="minorHAnsi"/>
          <w:bCs/>
        </w:rPr>
        <w:t xml:space="preserve"> </w:t>
      </w:r>
    </w:p>
    <w:p w14:paraId="0CABCFF7" w14:textId="434655CC" w:rsidR="00092566" w:rsidRDefault="00092566"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33C8D53D"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3E3F577D" w:rsidR="00E1508F" w:rsidRDefault="00001D73" w:rsidP="00092566">
      <w:pPr>
        <w:autoSpaceDE w:val="0"/>
        <w:autoSpaceDN w:val="0"/>
        <w:adjustRightInd w:val="0"/>
        <w:spacing w:after="0" w:line="240" w:lineRule="auto"/>
        <w:rPr>
          <w:rStyle w:val="Hyperlink"/>
          <w:rFonts w:cstheme="minorHAnsi"/>
          <w:b/>
          <w:bCs/>
          <w:i/>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1F0C34AC" w14:textId="7DEAAC9D" w:rsidR="00F01CFC" w:rsidRDefault="00F01CFC" w:rsidP="00092566">
      <w:pPr>
        <w:autoSpaceDE w:val="0"/>
        <w:autoSpaceDN w:val="0"/>
        <w:adjustRightInd w:val="0"/>
        <w:spacing w:after="0" w:line="240" w:lineRule="auto"/>
        <w:rPr>
          <w:rStyle w:val="Hyperlink"/>
          <w:rFonts w:cstheme="minorHAnsi"/>
          <w:b/>
          <w:bCs/>
          <w:i/>
        </w:rPr>
      </w:pPr>
    </w:p>
    <w:p w14:paraId="1243D24D"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2EECFAC6" w14:textId="77777777" w:rsidR="00F01CFC" w:rsidRDefault="00F01CFC" w:rsidP="00092566">
      <w:pPr>
        <w:autoSpaceDE w:val="0"/>
        <w:autoSpaceDN w:val="0"/>
        <w:adjustRightInd w:val="0"/>
        <w:spacing w:after="0" w:line="240" w:lineRule="auto"/>
        <w:rPr>
          <w:rFonts w:cstheme="minorHAnsi"/>
          <w:b/>
          <w:bCs/>
        </w:rPr>
      </w:pPr>
    </w:p>
    <w:p w14:paraId="0CABCFFC" w14:textId="77777777" w:rsidR="00743E46" w:rsidRDefault="00743E46" w:rsidP="00092566">
      <w:pPr>
        <w:autoSpaceDE w:val="0"/>
        <w:autoSpaceDN w:val="0"/>
        <w:adjustRightInd w:val="0"/>
        <w:spacing w:after="0" w:line="240" w:lineRule="auto"/>
        <w:rPr>
          <w:rFonts w:cstheme="minorHAnsi"/>
          <w:b/>
          <w:bCs/>
        </w:rPr>
      </w:pPr>
    </w:p>
    <w:p w14:paraId="200161A2" w14:textId="77777777" w:rsidR="00F01CFC"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5E83E93C"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CFFD" w14:textId="54A6D9E1" w:rsidR="00001D73" w:rsidRPr="00001D73" w:rsidRDefault="00092566" w:rsidP="00092566">
      <w:pPr>
        <w:autoSpaceDE w:val="0"/>
        <w:autoSpaceDN w:val="0"/>
        <w:adjustRightInd w:val="0"/>
        <w:spacing w:after="0" w:line="240" w:lineRule="auto"/>
        <w:rPr>
          <w:rFonts w:cstheme="minorHAnsi"/>
          <w:b/>
          <w:bCs/>
        </w:rPr>
      </w:pPr>
      <w:r w:rsidRPr="00001D73">
        <w:rPr>
          <w:rFonts w:cstheme="minorHAnsi"/>
          <w:b/>
        </w:rPr>
        <w:br/>
      </w:r>
    </w:p>
    <w:p w14:paraId="43C2E8B4" w14:textId="77777777" w:rsidR="00F01CFC" w:rsidRPr="00A25024" w:rsidRDefault="009C7513" w:rsidP="00F01CFC">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F01CFC">
        <w:rPr>
          <w:rFonts w:cstheme="minorHAnsi"/>
          <w:bCs/>
        </w:rPr>
        <w:t>N/A</w:t>
      </w:r>
      <w:r w:rsidR="00F01CFC" w:rsidRPr="00A25024">
        <w:rPr>
          <w:rFonts w:cstheme="minorHAnsi"/>
          <w:bCs/>
        </w:rPr>
        <w:t xml:space="preserve"> </w:t>
      </w:r>
    </w:p>
    <w:p w14:paraId="0CABCFFE" w14:textId="57E7DDD4" w:rsidR="00001D73" w:rsidRDefault="00001D73" w:rsidP="00092566">
      <w:pPr>
        <w:autoSpaceDE w:val="0"/>
        <w:autoSpaceDN w:val="0"/>
        <w:adjustRightInd w:val="0"/>
        <w:spacing w:after="0" w:line="240" w:lineRule="auto"/>
        <w:rPr>
          <w:rFonts w:cstheme="minorHAnsi"/>
          <w:b/>
          <w:bCs/>
        </w:rPr>
      </w:pPr>
    </w:p>
    <w:p w14:paraId="36AC48F0" w14:textId="77777777" w:rsidR="00F01CFC" w:rsidRPr="00A25024" w:rsidRDefault="009C7513" w:rsidP="00F01CFC">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bookmarkStart w:id="14" w:name="question2b49"/>
      <w:bookmarkEnd w:id="14"/>
      <w:r w:rsidR="00F01CFC">
        <w:rPr>
          <w:rFonts w:cstheme="minorHAnsi"/>
          <w:bCs/>
        </w:rPr>
        <w:t>N/A</w:t>
      </w:r>
      <w:r w:rsidR="00F01CFC" w:rsidRPr="00A25024">
        <w:rPr>
          <w:rFonts w:cstheme="minorHAnsi"/>
          <w:bCs/>
        </w:rPr>
        <w:t xml:space="preserve"> </w:t>
      </w:r>
    </w:p>
    <w:p w14:paraId="7CEA0C09" w14:textId="77777777" w:rsidR="00F01CFC" w:rsidRDefault="00F01CFC" w:rsidP="00092566">
      <w:pPr>
        <w:autoSpaceDE w:val="0"/>
        <w:autoSpaceDN w:val="0"/>
        <w:adjustRightInd w:val="0"/>
        <w:spacing w:after="0" w:line="240" w:lineRule="auto"/>
        <w:rPr>
          <w:rFonts w:cstheme="minorHAnsi"/>
          <w:b/>
        </w:rPr>
      </w:pPr>
    </w:p>
    <w:p w14:paraId="0CABD000" w14:textId="73C58E1E" w:rsidR="00092566" w:rsidRPr="00A25024" w:rsidRDefault="009C7513" w:rsidP="00092566">
      <w:pPr>
        <w:autoSpaceDE w:val="0"/>
        <w:autoSpaceDN w:val="0"/>
        <w:adjustRightInd w:val="0"/>
        <w:spacing w:after="0" w:line="240" w:lineRule="auto"/>
        <w:rPr>
          <w:rFonts w:cstheme="minorHAnsi"/>
          <w:bCs/>
        </w:rPr>
      </w:pPr>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7777777" w:rsidR="00092566" w:rsidRPr="00A25024" w:rsidRDefault="00092566" w:rsidP="00092566">
      <w:pPr>
        <w:pStyle w:val="ListParagraph"/>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lastRenderedPageBreak/>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24129186"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6744CE2D" w14:textId="77777777" w:rsidR="00F01CFC" w:rsidRDefault="00F01CFC" w:rsidP="00F01CFC">
      <w:pPr>
        <w:autoSpaceDE w:val="0"/>
        <w:autoSpaceDN w:val="0"/>
        <w:adjustRightInd w:val="0"/>
        <w:spacing w:after="0" w:line="240" w:lineRule="auto"/>
        <w:rPr>
          <w:rFonts w:cstheme="minorHAnsi"/>
          <w:bCs/>
        </w:rPr>
      </w:pPr>
    </w:p>
    <w:p w14:paraId="40B48351" w14:textId="6EB66B71"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5" w:name="section2b5"/>
      <w:bookmarkEnd w:id="15"/>
      <w:r>
        <w:rPr>
          <w:rFonts w:cstheme="minorHAnsi"/>
          <w:b/>
          <w:bCs/>
        </w:rPr>
        <w:t>2b4</w:t>
      </w:r>
      <w:r w:rsidR="00D61410" w:rsidRPr="00A25024">
        <w:rPr>
          <w:rFonts w:cstheme="minorHAnsi"/>
          <w:b/>
          <w:bCs/>
        </w:rPr>
        <w:t>. IDENTIFICATION OF STATISTICALLY SIGNIFICANT &amp; MEANINGFUL DIFFERENCES IN PERFORMANCE</w:t>
      </w:r>
    </w:p>
    <w:p w14:paraId="49B975CB" w14:textId="77777777" w:rsidR="00F01CFC"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F01CFC">
        <w:rPr>
          <w:rFonts w:cstheme="minorHAnsi"/>
          <w:bCs/>
        </w:rPr>
        <w:br/>
      </w:r>
    </w:p>
    <w:p w14:paraId="1BEF765F" w14:textId="77777777" w:rsidR="00CB58A9" w:rsidRPr="00547D34" w:rsidRDefault="00CB58A9" w:rsidP="00CB58A9">
      <w:pPr>
        <w:spacing w:after="120"/>
        <w:rPr>
          <w:szCs w:val="20"/>
        </w:rPr>
      </w:pPr>
      <w:r w:rsidRPr="00840AE5">
        <w:rPr>
          <w:szCs w:val="20"/>
        </w:rPr>
        <w:t xml:space="preserve">Differences in measure performance were evaluated separately for each facility using patient level analyses. The proportion of patients with yearly based percent of patients with reporting of nPCR was compared between one facility and the overall national distribution, and repeated for each individual </w:t>
      </w:r>
      <w:r w:rsidRPr="00547D34">
        <w:rPr>
          <w:szCs w:val="20"/>
        </w:rPr>
        <w:t xml:space="preserve">facility.  </w:t>
      </w:r>
    </w:p>
    <w:p w14:paraId="4C9CD315" w14:textId="6AAF5DBA" w:rsidR="00CB58A9" w:rsidRPr="00840AE5" w:rsidRDefault="00CB58A9" w:rsidP="00CB58A9">
      <w:pPr>
        <w:spacing w:after="120"/>
        <w:rPr>
          <w:szCs w:val="20"/>
        </w:rPr>
      </w:pPr>
      <w:r w:rsidRPr="00547D34">
        <w:rPr>
          <w:szCs w:val="20"/>
        </w:rPr>
        <w:t>Note that the monthly based measure is a simple average of binary outcomes across individuals in the facility, for which the binary outcome equals to 0 (failure</w:t>
      </w:r>
      <w:r w:rsidR="0045649C" w:rsidRPr="00547D34">
        <w:rPr>
          <w:szCs w:val="20"/>
        </w:rPr>
        <w:t xml:space="preserve"> = fail to report nPCR)</w:t>
      </w:r>
      <w:r w:rsidRPr="00547D34">
        <w:rPr>
          <w:szCs w:val="20"/>
        </w:rPr>
        <w:t xml:space="preserve"> if the value is missing.  The differences in proportions can be compared using Fisher’s Exact tests or its normal approximation. The yearly based measure, however, is not a simple average of binary outcomes and we instead used a re-sampling based exact test, with re-sampling generated from the population distribution of the patient level outcomes. More details for the testing method are provided in Appendix. Due to non-symmetric of the measure distributions, one-sided test with significance level 0.025 is used (corresponding</w:t>
      </w:r>
      <w:r w:rsidRPr="00840AE5">
        <w:rPr>
          <w:szCs w:val="20"/>
        </w:rPr>
        <w:t xml:space="preserve"> to cutoff=0.05 in two-sided test). To calculate the p-value, we assess the probability that the facility would experience a number of events more extreme than that observed if the null hypothesis were true.</w:t>
      </w:r>
    </w:p>
    <w:p w14:paraId="0CABD009" w14:textId="76C318B6" w:rsidR="00D61410" w:rsidRDefault="00D61410" w:rsidP="00D61410">
      <w:pPr>
        <w:autoSpaceDE w:val="0"/>
        <w:autoSpaceDN w:val="0"/>
        <w:adjustRightInd w:val="0"/>
        <w:spacing w:after="0" w:line="240" w:lineRule="auto"/>
        <w:rPr>
          <w:rFonts w:cstheme="minorHAnsi"/>
          <w:bCs/>
        </w:rPr>
      </w:pPr>
    </w:p>
    <w:p w14:paraId="0949D73D" w14:textId="77777777" w:rsidR="006800F9" w:rsidRPr="00AF6AAC" w:rsidRDefault="006800F9" w:rsidP="006800F9">
      <w:pPr>
        <w:autoSpaceDE w:val="0"/>
        <w:autoSpaceDN w:val="0"/>
        <w:adjustRightInd w:val="0"/>
        <w:spacing w:after="0" w:line="240" w:lineRule="auto"/>
        <w:rPr>
          <w:rFonts w:cstheme="minorHAnsi"/>
          <w:bCs/>
          <w:color w:val="FF0000"/>
        </w:rPr>
      </w:pPr>
      <w:r w:rsidRPr="00B330A6">
        <w:rPr>
          <w:rFonts w:cstheme="minorHAnsi"/>
          <w:bCs/>
          <w:color w:val="FF0000"/>
        </w:rPr>
        <w:t>For the Spring 2019 submission, we reproduced the significance analysis using data from January – December 2017. We have revised the description of the analysis to be clearer:</w:t>
      </w:r>
      <w:r w:rsidRPr="00AF6AAC">
        <w:rPr>
          <w:rFonts w:cstheme="minorHAnsi"/>
          <w:bCs/>
          <w:color w:val="FF0000"/>
        </w:rPr>
        <w:t xml:space="preserve"> </w:t>
      </w:r>
    </w:p>
    <w:p w14:paraId="70D300A5" w14:textId="77777777" w:rsidR="006800F9" w:rsidRPr="00AF6AAC" w:rsidRDefault="006800F9" w:rsidP="006800F9">
      <w:pPr>
        <w:spacing w:before="100" w:beforeAutospacing="1" w:after="100" w:afterAutospacing="1"/>
        <w:rPr>
          <w:color w:val="FF0000"/>
        </w:rPr>
      </w:pPr>
      <w:r w:rsidRPr="00AF6AAC">
        <w:rPr>
          <w:rFonts w:ascii="Calibri" w:hAnsi="Calibri"/>
          <w:color w:val="FF0000"/>
        </w:rPr>
        <w:t>Testing was performed on the yearly based performance score. We used a re-sampling based exact test, with re-sampling generated from the population distribution of the patient level outcomes. Note that a one-sided test with significance level 0.025 is used (corresponding to cutoff=0.05 in a two-sided test) due to non-symmetric structure of the measure's distribution. To calculate the p-value, we compute the probability that the facility would experience a number of events (i.e., percentage with hypercalcemia) more extreme than that observed if the null hypothesis were true, with the null hypothesis being that the  facility's distribution of hypercalcemia will follow the overall national distribution.</w:t>
      </w:r>
    </w:p>
    <w:p w14:paraId="3597F734" w14:textId="77777777" w:rsidR="00D2112D" w:rsidRPr="00A25024" w:rsidRDefault="00D2112D" w:rsidP="00D61410">
      <w:pPr>
        <w:autoSpaceDE w:val="0"/>
        <w:autoSpaceDN w:val="0"/>
        <w:adjustRightInd w:val="0"/>
        <w:spacing w:after="0" w:line="240" w:lineRule="auto"/>
        <w:rPr>
          <w:rFonts w:cstheme="minorHAnsi"/>
          <w:bCs/>
        </w:rPr>
      </w:pPr>
    </w:p>
    <w:p w14:paraId="17135732" w14:textId="77777777" w:rsidR="00F01CFC"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5532CF0C" w14:textId="77777777" w:rsidR="00D2112D" w:rsidRDefault="00D2112D" w:rsidP="00CB58A9">
      <w:pPr>
        <w:spacing w:after="120"/>
        <w:rPr>
          <w:szCs w:val="20"/>
        </w:rPr>
      </w:pPr>
    </w:p>
    <w:p w14:paraId="6E21974A" w14:textId="0E283D10" w:rsidR="00D2112D" w:rsidRPr="00840AE5" w:rsidRDefault="00D2112D" w:rsidP="00D2112D">
      <w:pPr>
        <w:spacing w:after="120"/>
        <w:rPr>
          <w:szCs w:val="20"/>
        </w:rPr>
      </w:pPr>
      <w:r w:rsidRPr="00840AE5">
        <w:rPr>
          <w:szCs w:val="20"/>
        </w:rPr>
        <w:t>Proportion of facilities with significant p-values (0-as expected</w:t>
      </w:r>
      <w:r w:rsidR="003571AB">
        <w:rPr>
          <w:szCs w:val="20"/>
        </w:rPr>
        <w:t>/better than expected</w:t>
      </w:r>
      <w:r w:rsidRPr="00840AE5">
        <w:rPr>
          <w:szCs w:val="20"/>
        </w:rPr>
        <w:t xml:space="preserve">; 1-worse than expected; cutoff=0.025) is shown as follows:  </w:t>
      </w:r>
    </w:p>
    <w:tbl>
      <w:tblPr>
        <w:tblW w:w="8820" w:type="dxa"/>
        <w:tblLook w:val="04A0" w:firstRow="1" w:lastRow="0" w:firstColumn="1" w:lastColumn="0" w:noHBand="0" w:noVBand="1"/>
      </w:tblPr>
      <w:tblGrid>
        <w:gridCol w:w="3780"/>
        <w:gridCol w:w="1620"/>
        <w:gridCol w:w="1800"/>
        <w:gridCol w:w="1620"/>
      </w:tblGrid>
      <w:tr w:rsidR="00D2112D" w:rsidRPr="00840AE5" w14:paraId="3543EB93" w14:textId="77777777" w:rsidTr="00D75ED2">
        <w:trPr>
          <w:trHeight w:val="900"/>
        </w:trPr>
        <w:tc>
          <w:tcPr>
            <w:tcW w:w="3780" w:type="dxa"/>
            <w:tcBorders>
              <w:top w:val="nil"/>
              <w:left w:val="nil"/>
              <w:bottom w:val="nil"/>
              <w:right w:val="nil"/>
            </w:tcBorders>
            <w:shd w:val="clear" w:color="auto" w:fill="auto"/>
            <w:noWrap/>
            <w:vAlign w:val="bottom"/>
            <w:hideMark/>
          </w:tcPr>
          <w:p w14:paraId="19B5D983" w14:textId="77777777" w:rsidR="00D2112D" w:rsidRPr="00840AE5" w:rsidRDefault="00D2112D" w:rsidP="00D75ED2">
            <w:pPr>
              <w:spacing w:after="0"/>
              <w:jc w:val="right"/>
              <w:rPr>
                <w:rFonts w:eastAsia="Times New Roman"/>
              </w:rPr>
            </w:pPr>
          </w:p>
        </w:tc>
        <w:tc>
          <w:tcPr>
            <w:tcW w:w="1620" w:type="dxa"/>
            <w:tcBorders>
              <w:top w:val="nil"/>
              <w:left w:val="nil"/>
              <w:bottom w:val="nil"/>
              <w:right w:val="nil"/>
            </w:tcBorders>
            <w:shd w:val="clear" w:color="auto" w:fill="auto"/>
            <w:noWrap/>
            <w:vAlign w:val="bottom"/>
            <w:hideMark/>
          </w:tcPr>
          <w:p w14:paraId="70663228" w14:textId="77777777" w:rsidR="00D2112D" w:rsidRPr="00840AE5" w:rsidRDefault="00D2112D" w:rsidP="00D75ED2">
            <w:pPr>
              <w:spacing w:after="0"/>
              <w:jc w:val="right"/>
              <w:rPr>
                <w:rFonts w:eastAsia="Times New Roman"/>
              </w:rPr>
            </w:pPr>
            <w:r w:rsidRPr="00840AE5">
              <w:rPr>
                <w:rFonts w:eastAsia="Times New Roman"/>
              </w:rPr>
              <w:t># of Facilities</w:t>
            </w:r>
          </w:p>
        </w:tc>
        <w:tc>
          <w:tcPr>
            <w:tcW w:w="1800" w:type="dxa"/>
            <w:tcBorders>
              <w:top w:val="nil"/>
              <w:left w:val="nil"/>
              <w:bottom w:val="nil"/>
              <w:right w:val="nil"/>
            </w:tcBorders>
            <w:shd w:val="clear" w:color="auto" w:fill="auto"/>
            <w:vAlign w:val="bottom"/>
            <w:hideMark/>
          </w:tcPr>
          <w:p w14:paraId="1B9F11E2" w14:textId="77777777" w:rsidR="00D2112D" w:rsidRPr="00840AE5" w:rsidRDefault="00D2112D" w:rsidP="00D75ED2">
            <w:pPr>
              <w:spacing w:after="0"/>
              <w:jc w:val="right"/>
              <w:rPr>
                <w:rFonts w:eastAsia="Times New Roman"/>
              </w:rPr>
            </w:pPr>
            <w:r w:rsidRPr="00840AE5">
              <w:rPr>
                <w:rFonts w:eastAsia="Times New Roman"/>
              </w:rPr>
              <w:t>Percent of</w:t>
            </w:r>
            <w:r w:rsidRPr="00840AE5">
              <w:rPr>
                <w:rFonts w:eastAsia="Times New Roman"/>
              </w:rPr>
              <w:br/>
              <w:t>facilities</w:t>
            </w:r>
          </w:p>
        </w:tc>
        <w:tc>
          <w:tcPr>
            <w:tcW w:w="1620" w:type="dxa"/>
            <w:tcBorders>
              <w:top w:val="nil"/>
              <w:left w:val="nil"/>
              <w:bottom w:val="nil"/>
              <w:right w:val="nil"/>
            </w:tcBorders>
            <w:shd w:val="clear" w:color="auto" w:fill="auto"/>
            <w:vAlign w:val="bottom"/>
            <w:hideMark/>
          </w:tcPr>
          <w:p w14:paraId="407DCD90" w14:textId="77777777" w:rsidR="00D2112D" w:rsidRPr="00840AE5" w:rsidRDefault="00D2112D" w:rsidP="00D75ED2">
            <w:pPr>
              <w:spacing w:after="0"/>
              <w:jc w:val="right"/>
              <w:rPr>
                <w:rFonts w:eastAsia="Times New Roman"/>
              </w:rPr>
            </w:pPr>
            <w:r w:rsidRPr="00840AE5">
              <w:rPr>
                <w:rFonts w:eastAsia="Times New Roman"/>
              </w:rPr>
              <w:t>Median</w:t>
            </w:r>
            <w:r w:rsidRPr="00840AE5">
              <w:rPr>
                <w:rFonts w:eastAsia="Times New Roman"/>
              </w:rPr>
              <w:br/>
              <w:t>Performance</w:t>
            </w:r>
            <w:r w:rsidRPr="00840AE5">
              <w:rPr>
                <w:rFonts w:eastAsia="Times New Roman"/>
              </w:rPr>
              <w:br/>
              <w:t>Score</w:t>
            </w:r>
          </w:p>
        </w:tc>
      </w:tr>
      <w:tr w:rsidR="00D2112D" w:rsidRPr="00840AE5" w14:paraId="3E0FE376" w14:textId="77777777" w:rsidTr="00D75ED2">
        <w:trPr>
          <w:trHeight w:val="300"/>
        </w:trPr>
        <w:tc>
          <w:tcPr>
            <w:tcW w:w="3780" w:type="dxa"/>
            <w:tcBorders>
              <w:top w:val="nil"/>
              <w:left w:val="nil"/>
              <w:bottom w:val="nil"/>
              <w:right w:val="nil"/>
            </w:tcBorders>
            <w:shd w:val="clear" w:color="auto" w:fill="auto"/>
            <w:noWrap/>
            <w:vAlign w:val="bottom"/>
            <w:hideMark/>
          </w:tcPr>
          <w:p w14:paraId="09B12D37" w14:textId="77777777" w:rsidR="00D2112D" w:rsidRPr="00840AE5" w:rsidRDefault="00D2112D" w:rsidP="00D75ED2">
            <w:pPr>
              <w:spacing w:after="0"/>
              <w:rPr>
                <w:rFonts w:eastAsia="Times New Roman"/>
              </w:rPr>
            </w:pPr>
            <w:r w:rsidRPr="00840AE5">
              <w:rPr>
                <w:rFonts w:eastAsia="Times New Roman"/>
              </w:rPr>
              <w:t>As Expected/Better than Expected</w:t>
            </w:r>
          </w:p>
        </w:tc>
        <w:tc>
          <w:tcPr>
            <w:tcW w:w="1620" w:type="dxa"/>
            <w:tcBorders>
              <w:top w:val="nil"/>
              <w:left w:val="nil"/>
              <w:bottom w:val="nil"/>
              <w:right w:val="nil"/>
            </w:tcBorders>
            <w:shd w:val="clear" w:color="auto" w:fill="auto"/>
            <w:noWrap/>
            <w:vAlign w:val="bottom"/>
            <w:hideMark/>
          </w:tcPr>
          <w:p w14:paraId="6D203D0B" w14:textId="77777777" w:rsidR="00D2112D" w:rsidRPr="00840AE5" w:rsidRDefault="00D2112D" w:rsidP="00D75ED2">
            <w:pPr>
              <w:spacing w:after="0"/>
              <w:jc w:val="right"/>
              <w:rPr>
                <w:rFonts w:eastAsia="Times New Roman"/>
              </w:rPr>
            </w:pPr>
            <w:r w:rsidRPr="00840AE5">
              <w:rPr>
                <w:rFonts w:eastAsia="Times New Roman"/>
              </w:rPr>
              <w:t>23</w:t>
            </w:r>
          </w:p>
        </w:tc>
        <w:tc>
          <w:tcPr>
            <w:tcW w:w="1800" w:type="dxa"/>
            <w:tcBorders>
              <w:top w:val="nil"/>
              <w:left w:val="nil"/>
              <w:bottom w:val="nil"/>
              <w:right w:val="nil"/>
            </w:tcBorders>
            <w:shd w:val="clear" w:color="auto" w:fill="auto"/>
            <w:noWrap/>
            <w:vAlign w:val="bottom"/>
            <w:hideMark/>
          </w:tcPr>
          <w:p w14:paraId="08D2B354" w14:textId="77777777" w:rsidR="00D2112D" w:rsidRPr="00840AE5" w:rsidRDefault="00D2112D" w:rsidP="00D75ED2">
            <w:pPr>
              <w:spacing w:after="0"/>
              <w:jc w:val="right"/>
              <w:rPr>
                <w:rFonts w:eastAsia="Times New Roman"/>
              </w:rPr>
            </w:pPr>
            <w:r w:rsidRPr="00840AE5">
              <w:rPr>
                <w:rFonts w:eastAsia="Times New Roman"/>
              </w:rPr>
              <w:t>76.67%</w:t>
            </w:r>
          </w:p>
        </w:tc>
        <w:tc>
          <w:tcPr>
            <w:tcW w:w="1620" w:type="dxa"/>
            <w:tcBorders>
              <w:top w:val="nil"/>
              <w:left w:val="nil"/>
              <w:bottom w:val="nil"/>
              <w:right w:val="nil"/>
            </w:tcBorders>
            <w:shd w:val="clear" w:color="auto" w:fill="auto"/>
            <w:noWrap/>
            <w:vAlign w:val="bottom"/>
            <w:hideMark/>
          </w:tcPr>
          <w:p w14:paraId="16365963" w14:textId="77777777" w:rsidR="00D2112D" w:rsidRPr="00840AE5" w:rsidRDefault="00D2112D" w:rsidP="00D75ED2">
            <w:pPr>
              <w:spacing w:after="0"/>
              <w:jc w:val="right"/>
              <w:rPr>
                <w:rFonts w:eastAsia="Times New Roman"/>
              </w:rPr>
            </w:pPr>
            <w:r w:rsidRPr="00840AE5">
              <w:rPr>
                <w:rFonts w:eastAsia="Times New Roman"/>
              </w:rPr>
              <w:t>100.00%</w:t>
            </w:r>
          </w:p>
        </w:tc>
      </w:tr>
      <w:tr w:rsidR="00D2112D" w:rsidRPr="00840AE5" w14:paraId="516BDAB8" w14:textId="77777777" w:rsidTr="00D75ED2">
        <w:trPr>
          <w:trHeight w:val="300"/>
        </w:trPr>
        <w:tc>
          <w:tcPr>
            <w:tcW w:w="3780" w:type="dxa"/>
            <w:tcBorders>
              <w:top w:val="nil"/>
              <w:left w:val="nil"/>
              <w:bottom w:val="nil"/>
              <w:right w:val="nil"/>
            </w:tcBorders>
            <w:shd w:val="clear" w:color="auto" w:fill="auto"/>
            <w:noWrap/>
            <w:vAlign w:val="bottom"/>
            <w:hideMark/>
          </w:tcPr>
          <w:p w14:paraId="0295FE10" w14:textId="77777777" w:rsidR="00D2112D" w:rsidRPr="00840AE5" w:rsidRDefault="00D2112D" w:rsidP="00D75ED2">
            <w:pPr>
              <w:spacing w:after="0"/>
              <w:rPr>
                <w:rFonts w:eastAsia="Times New Roman"/>
              </w:rPr>
            </w:pPr>
            <w:r w:rsidRPr="00840AE5">
              <w:rPr>
                <w:rFonts w:eastAsia="Times New Roman"/>
              </w:rPr>
              <w:t>Worse than Expected</w:t>
            </w:r>
          </w:p>
        </w:tc>
        <w:tc>
          <w:tcPr>
            <w:tcW w:w="1620" w:type="dxa"/>
            <w:tcBorders>
              <w:top w:val="nil"/>
              <w:left w:val="nil"/>
              <w:bottom w:val="nil"/>
              <w:right w:val="nil"/>
            </w:tcBorders>
            <w:shd w:val="clear" w:color="auto" w:fill="auto"/>
            <w:noWrap/>
            <w:vAlign w:val="bottom"/>
            <w:hideMark/>
          </w:tcPr>
          <w:p w14:paraId="4F405745" w14:textId="77777777" w:rsidR="00D2112D" w:rsidRPr="00840AE5" w:rsidRDefault="00D2112D" w:rsidP="00D75ED2">
            <w:pPr>
              <w:spacing w:after="0"/>
              <w:jc w:val="right"/>
              <w:rPr>
                <w:rFonts w:eastAsia="Times New Roman"/>
              </w:rPr>
            </w:pPr>
            <w:r w:rsidRPr="00840AE5">
              <w:rPr>
                <w:rFonts w:eastAsia="Times New Roman"/>
              </w:rPr>
              <w:t>7</w:t>
            </w:r>
          </w:p>
        </w:tc>
        <w:tc>
          <w:tcPr>
            <w:tcW w:w="1800" w:type="dxa"/>
            <w:tcBorders>
              <w:top w:val="nil"/>
              <w:left w:val="nil"/>
              <w:bottom w:val="nil"/>
              <w:right w:val="nil"/>
            </w:tcBorders>
            <w:shd w:val="clear" w:color="auto" w:fill="auto"/>
            <w:noWrap/>
            <w:vAlign w:val="bottom"/>
            <w:hideMark/>
          </w:tcPr>
          <w:p w14:paraId="7260D964" w14:textId="77777777" w:rsidR="00D2112D" w:rsidRPr="00840AE5" w:rsidRDefault="00D2112D" w:rsidP="00D75ED2">
            <w:pPr>
              <w:spacing w:after="0"/>
              <w:jc w:val="right"/>
              <w:rPr>
                <w:rFonts w:eastAsia="Times New Roman"/>
              </w:rPr>
            </w:pPr>
            <w:r w:rsidRPr="00840AE5">
              <w:rPr>
                <w:rFonts w:eastAsia="Times New Roman"/>
              </w:rPr>
              <w:t>23.33%</w:t>
            </w:r>
          </w:p>
        </w:tc>
        <w:tc>
          <w:tcPr>
            <w:tcW w:w="1620" w:type="dxa"/>
            <w:tcBorders>
              <w:top w:val="nil"/>
              <w:left w:val="nil"/>
              <w:bottom w:val="nil"/>
              <w:right w:val="nil"/>
            </w:tcBorders>
            <w:shd w:val="clear" w:color="auto" w:fill="auto"/>
            <w:noWrap/>
            <w:vAlign w:val="bottom"/>
            <w:hideMark/>
          </w:tcPr>
          <w:p w14:paraId="0880D4AE" w14:textId="77777777" w:rsidR="00D2112D" w:rsidRPr="00840AE5" w:rsidRDefault="00D2112D" w:rsidP="00D75ED2">
            <w:pPr>
              <w:spacing w:after="0"/>
              <w:jc w:val="right"/>
              <w:rPr>
                <w:rFonts w:eastAsia="Times New Roman"/>
              </w:rPr>
            </w:pPr>
            <w:r w:rsidRPr="00840AE5">
              <w:rPr>
                <w:rFonts w:eastAsia="Times New Roman"/>
              </w:rPr>
              <w:t>24.49%</w:t>
            </w:r>
          </w:p>
        </w:tc>
      </w:tr>
    </w:tbl>
    <w:p w14:paraId="31B2B7EF" w14:textId="77777777" w:rsidR="00D2112D" w:rsidRDefault="00D2112D" w:rsidP="00D2112D">
      <w:pPr>
        <w:autoSpaceDE w:val="0"/>
        <w:autoSpaceDN w:val="0"/>
        <w:adjustRightInd w:val="0"/>
        <w:spacing w:after="0" w:line="240" w:lineRule="auto"/>
        <w:rPr>
          <w:rFonts w:cstheme="minorHAnsi"/>
          <w:bCs/>
        </w:rPr>
      </w:pPr>
      <w:r w:rsidRPr="00A25024">
        <w:rPr>
          <w:rFonts w:cstheme="minorHAnsi"/>
          <w:bCs/>
        </w:rPr>
        <w:br/>
      </w:r>
    </w:p>
    <w:p w14:paraId="2154176E" w14:textId="77777777" w:rsidR="00D2112D" w:rsidRDefault="00D2112D" w:rsidP="00CB58A9">
      <w:pPr>
        <w:spacing w:after="120"/>
        <w:rPr>
          <w:szCs w:val="20"/>
        </w:rPr>
      </w:pPr>
    </w:p>
    <w:p w14:paraId="2B82F37C" w14:textId="77777777" w:rsidR="00D2112D" w:rsidRPr="00D2112D" w:rsidRDefault="00D2112D" w:rsidP="00CB58A9">
      <w:pPr>
        <w:spacing w:after="120"/>
        <w:rPr>
          <w:color w:val="FF0000"/>
          <w:szCs w:val="20"/>
        </w:rPr>
      </w:pPr>
    </w:p>
    <w:p w14:paraId="7DB61E1A" w14:textId="00167AB4" w:rsidR="00CB58A9" w:rsidRPr="00D2112D" w:rsidRDefault="00D2112D" w:rsidP="00CB58A9">
      <w:pPr>
        <w:spacing w:after="120"/>
        <w:rPr>
          <w:color w:val="FF0000"/>
          <w:szCs w:val="20"/>
        </w:rPr>
      </w:pPr>
      <w:r>
        <w:rPr>
          <w:color w:val="FF0000"/>
          <w:szCs w:val="20"/>
        </w:rPr>
        <w:t>For the Spring 2019 maintenance submission, the p</w:t>
      </w:r>
      <w:r w:rsidR="00CB58A9" w:rsidRPr="00D2112D">
        <w:rPr>
          <w:color w:val="FF0000"/>
          <w:szCs w:val="20"/>
        </w:rPr>
        <w:t>roportion of facilities with significant p-values (0-as expected</w:t>
      </w:r>
      <w:r w:rsidR="00BD5A53" w:rsidRPr="00D2112D">
        <w:rPr>
          <w:color w:val="FF0000"/>
          <w:szCs w:val="20"/>
        </w:rPr>
        <w:t>/better than expected</w:t>
      </w:r>
      <w:r w:rsidR="00CB58A9" w:rsidRPr="00D2112D">
        <w:rPr>
          <w:color w:val="FF0000"/>
          <w:szCs w:val="20"/>
        </w:rPr>
        <w:t xml:space="preserve">; 1-worse than expected; cutoff=0.025) is shown as follows:  </w:t>
      </w:r>
    </w:p>
    <w:tbl>
      <w:tblPr>
        <w:tblW w:w="7200" w:type="dxa"/>
        <w:tblLook w:val="04A0" w:firstRow="1" w:lastRow="0" w:firstColumn="1" w:lastColumn="0" w:noHBand="0" w:noVBand="1"/>
      </w:tblPr>
      <w:tblGrid>
        <w:gridCol w:w="3780"/>
        <w:gridCol w:w="1620"/>
        <w:gridCol w:w="1800"/>
      </w:tblGrid>
      <w:tr w:rsidR="00D2112D" w:rsidRPr="00D2112D" w14:paraId="06B693DF" w14:textId="77777777" w:rsidTr="00C25405">
        <w:trPr>
          <w:trHeight w:val="900"/>
        </w:trPr>
        <w:tc>
          <w:tcPr>
            <w:tcW w:w="3780" w:type="dxa"/>
            <w:tcBorders>
              <w:top w:val="nil"/>
              <w:left w:val="nil"/>
              <w:bottom w:val="nil"/>
              <w:right w:val="nil"/>
            </w:tcBorders>
            <w:shd w:val="clear" w:color="auto" w:fill="auto"/>
            <w:noWrap/>
            <w:vAlign w:val="bottom"/>
            <w:hideMark/>
          </w:tcPr>
          <w:p w14:paraId="4EADB88A" w14:textId="77777777" w:rsidR="00C25405" w:rsidRPr="00D2112D" w:rsidRDefault="00C25405" w:rsidP="00D75ED2">
            <w:pPr>
              <w:spacing w:after="0"/>
              <w:jc w:val="right"/>
              <w:rPr>
                <w:rFonts w:eastAsia="Times New Roman"/>
                <w:color w:val="FF0000"/>
              </w:rPr>
            </w:pPr>
          </w:p>
        </w:tc>
        <w:tc>
          <w:tcPr>
            <w:tcW w:w="1620" w:type="dxa"/>
            <w:tcBorders>
              <w:top w:val="nil"/>
              <w:left w:val="nil"/>
              <w:bottom w:val="nil"/>
              <w:right w:val="nil"/>
            </w:tcBorders>
            <w:shd w:val="clear" w:color="auto" w:fill="auto"/>
            <w:noWrap/>
            <w:vAlign w:val="bottom"/>
            <w:hideMark/>
          </w:tcPr>
          <w:p w14:paraId="798D71F4" w14:textId="77777777" w:rsidR="00C25405" w:rsidRPr="00D2112D" w:rsidRDefault="00C25405" w:rsidP="00D75ED2">
            <w:pPr>
              <w:spacing w:after="0"/>
              <w:jc w:val="right"/>
              <w:rPr>
                <w:rFonts w:eastAsia="Times New Roman"/>
                <w:color w:val="FF0000"/>
              </w:rPr>
            </w:pPr>
            <w:r w:rsidRPr="00D2112D">
              <w:rPr>
                <w:rFonts w:eastAsia="Times New Roman"/>
                <w:color w:val="FF0000"/>
              </w:rPr>
              <w:t># of Facilities</w:t>
            </w:r>
          </w:p>
        </w:tc>
        <w:tc>
          <w:tcPr>
            <w:tcW w:w="1800" w:type="dxa"/>
            <w:tcBorders>
              <w:top w:val="nil"/>
              <w:left w:val="nil"/>
              <w:bottom w:val="nil"/>
              <w:right w:val="nil"/>
            </w:tcBorders>
            <w:shd w:val="clear" w:color="auto" w:fill="auto"/>
            <w:vAlign w:val="bottom"/>
            <w:hideMark/>
          </w:tcPr>
          <w:p w14:paraId="42598617" w14:textId="77777777" w:rsidR="00C25405" w:rsidRPr="00D2112D" w:rsidRDefault="00C25405" w:rsidP="00D75ED2">
            <w:pPr>
              <w:spacing w:after="0"/>
              <w:jc w:val="right"/>
              <w:rPr>
                <w:rFonts w:eastAsia="Times New Roman"/>
                <w:color w:val="FF0000"/>
              </w:rPr>
            </w:pPr>
            <w:r w:rsidRPr="00D2112D">
              <w:rPr>
                <w:rFonts w:eastAsia="Times New Roman"/>
                <w:color w:val="FF0000"/>
              </w:rPr>
              <w:t>Percent of</w:t>
            </w:r>
            <w:r w:rsidRPr="00D2112D">
              <w:rPr>
                <w:rFonts w:eastAsia="Times New Roman"/>
                <w:color w:val="FF0000"/>
              </w:rPr>
              <w:br/>
              <w:t>facilities</w:t>
            </w:r>
          </w:p>
        </w:tc>
      </w:tr>
      <w:tr w:rsidR="00D2112D" w:rsidRPr="00D2112D" w14:paraId="0801D68D" w14:textId="77777777" w:rsidTr="00C25405">
        <w:trPr>
          <w:trHeight w:val="300"/>
        </w:trPr>
        <w:tc>
          <w:tcPr>
            <w:tcW w:w="3780" w:type="dxa"/>
            <w:tcBorders>
              <w:top w:val="nil"/>
              <w:left w:val="nil"/>
              <w:bottom w:val="nil"/>
              <w:right w:val="nil"/>
            </w:tcBorders>
            <w:shd w:val="clear" w:color="auto" w:fill="auto"/>
            <w:noWrap/>
            <w:vAlign w:val="bottom"/>
            <w:hideMark/>
          </w:tcPr>
          <w:p w14:paraId="2553947A" w14:textId="77777777" w:rsidR="00C25405" w:rsidRPr="00D2112D" w:rsidRDefault="00C25405" w:rsidP="00D75ED2">
            <w:pPr>
              <w:spacing w:after="0"/>
              <w:rPr>
                <w:rFonts w:eastAsia="Times New Roman"/>
                <w:color w:val="FF0000"/>
              </w:rPr>
            </w:pPr>
            <w:r w:rsidRPr="00D2112D">
              <w:rPr>
                <w:rFonts w:eastAsia="Times New Roman"/>
                <w:color w:val="FF0000"/>
              </w:rPr>
              <w:t>As Expected/Better than Expected</w:t>
            </w:r>
          </w:p>
        </w:tc>
        <w:tc>
          <w:tcPr>
            <w:tcW w:w="1620" w:type="dxa"/>
            <w:tcBorders>
              <w:top w:val="nil"/>
              <w:left w:val="nil"/>
              <w:bottom w:val="nil"/>
              <w:right w:val="nil"/>
            </w:tcBorders>
            <w:shd w:val="clear" w:color="auto" w:fill="auto"/>
            <w:noWrap/>
            <w:vAlign w:val="bottom"/>
            <w:hideMark/>
          </w:tcPr>
          <w:p w14:paraId="1273C438" w14:textId="0B4CD94C" w:rsidR="00C25405" w:rsidRPr="00D2112D" w:rsidRDefault="00C25405" w:rsidP="00D75ED2">
            <w:pPr>
              <w:spacing w:after="0"/>
              <w:jc w:val="right"/>
              <w:rPr>
                <w:rFonts w:eastAsia="Times New Roman"/>
                <w:color w:val="FF0000"/>
              </w:rPr>
            </w:pPr>
            <w:r w:rsidRPr="00D2112D">
              <w:rPr>
                <w:rFonts w:eastAsia="Times New Roman"/>
                <w:color w:val="FF0000"/>
              </w:rPr>
              <w:t>27</w:t>
            </w:r>
          </w:p>
        </w:tc>
        <w:tc>
          <w:tcPr>
            <w:tcW w:w="1800" w:type="dxa"/>
            <w:tcBorders>
              <w:top w:val="nil"/>
              <w:left w:val="nil"/>
              <w:bottom w:val="nil"/>
              <w:right w:val="nil"/>
            </w:tcBorders>
            <w:shd w:val="clear" w:color="auto" w:fill="auto"/>
            <w:noWrap/>
            <w:vAlign w:val="bottom"/>
            <w:hideMark/>
          </w:tcPr>
          <w:p w14:paraId="7E3B5F26" w14:textId="585BD856" w:rsidR="00C25405" w:rsidRPr="00D2112D" w:rsidRDefault="00C25405" w:rsidP="00D75ED2">
            <w:pPr>
              <w:spacing w:after="0"/>
              <w:jc w:val="right"/>
              <w:rPr>
                <w:rFonts w:eastAsia="Times New Roman"/>
                <w:color w:val="FF0000"/>
              </w:rPr>
            </w:pPr>
            <w:r w:rsidRPr="00D2112D">
              <w:rPr>
                <w:rFonts w:eastAsia="Times New Roman"/>
                <w:color w:val="FF0000"/>
              </w:rPr>
              <w:t>93.1%</w:t>
            </w:r>
          </w:p>
        </w:tc>
      </w:tr>
      <w:tr w:rsidR="00D2112D" w:rsidRPr="00D2112D" w14:paraId="31FF79CB" w14:textId="77777777" w:rsidTr="00C25405">
        <w:trPr>
          <w:trHeight w:val="300"/>
        </w:trPr>
        <w:tc>
          <w:tcPr>
            <w:tcW w:w="3780" w:type="dxa"/>
            <w:tcBorders>
              <w:top w:val="nil"/>
              <w:left w:val="nil"/>
              <w:bottom w:val="nil"/>
              <w:right w:val="nil"/>
            </w:tcBorders>
            <w:shd w:val="clear" w:color="auto" w:fill="auto"/>
            <w:noWrap/>
            <w:vAlign w:val="bottom"/>
            <w:hideMark/>
          </w:tcPr>
          <w:p w14:paraId="49909B04" w14:textId="77777777" w:rsidR="00C25405" w:rsidRPr="00D2112D" w:rsidRDefault="00C25405" w:rsidP="00D75ED2">
            <w:pPr>
              <w:spacing w:after="0"/>
              <w:rPr>
                <w:rFonts w:eastAsia="Times New Roman"/>
                <w:color w:val="FF0000"/>
              </w:rPr>
            </w:pPr>
            <w:r w:rsidRPr="00D2112D">
              <w:rPr>
                <w:rFonts w:eastAsia="Times New Roman"/>
                <w:color w:val="FF0000"/>
              </w:rPr>
              <w:t>Worse than Expected</w:t>
            </w:r>
          </w:p>
        </w:tc>
        <w:tc>
          <w:tcPr>
            <w:tcW w:w="1620" w:type="dxa"/>
            <w:tcBorders>
              <w:top w:val="nil"/>
              <w:left w:val="nil"/>
              <w:bottom w:val="nil"/>
              <w:right w:val="nil"/>
            </w:tcBorders>
            <w:shd w:val="clear" w:color="auto" w:fill="auto"/>
            <w:noWrap/>
            <w:vAlign w:val="bottom"/>
            <w:hideMark/>
          </w:tcPr>
          <w:p w14:paraId="4B97C058" w14:textId="0154D6D3" w:rsidR="00C25405" w:rsidRPr="00D2112D" w:rsidRDefault="00C25405" w:rsidP="00D75ED2">
            <w:pPr>
              <w:spacing w:after="0"/>
              <w:jc w:val="right"/>
              <w:rPr>
                <w:rFonts w:eastAsia="Times New Roman"/>
                <w:color w:val="FF0000"/>
              </w:rPr>
            </w:pPr>
            <w:r w:rsidRPr="00D2112D">
              <w:rPr>
                <w:rFonts w:eastAsia="Times New Roman"/>
                <w:color w:val="FF0000"/>
              </w:rPr>
              <w:t>2</w:t>
            </w:r>
          </w:p>
        </w:tc>
        <w:tc>
          <w:tcPr>
            <w:tcW w:w="1800" w:type="dxa"/>
            <w:tcBorders>
              <w:top w:val="nil"/>
              <w:left w:val="nil"/>
              <w:bottom w:val="nil"/>
              <w:right w:val="nil"/>
            </w:tcBorders>
            <w:shd w:val="clear" w:color="auto" w:fill="auto"/>
            <w:noWrap/>
            <w:vAlign w:val="bottom"/>
            <w:hideMark/>
          </w:tcPr>
          <w:p w14:paraId="17BACC48" w14:textId="6B49004D" w:rsidR="00C25405" w:rsidRPr="00D2112D" w:rsidRDefault="00C25405" w:rsidP="00D75ED2">
            <w:pPr>
              <w:spacing w:after="0"/>
              <w:jc w:val="right"/>
              <w:rPr>
                <w:rFonts w:eastAsia="Times New Roman"/>
                <w:color w:val="FF0000"/>
              </w:rPr>
            </w:pPr>
            <w:r w:rsidRPr="00D2112D">
              <w:rPr>
                <w:rFonts w:eastAsia="Times New Roman"/>
                <w:color w:val="FF0000"/>
              </w:rPr>
              <w:t>6.9%</w:t>
            </w:r>
          </w:p>
        </w:tc>
      </w:tr>
    </w:tbl>
    <w:p w14:paraId="0CABD00A" w14:textId="09C5A0CA" w:rsidR="00D61410" w:rsidRPr="00D2112D" w:rsidRDefault="00D61410" w:rsidP="00D61410">
      <w:pPr>
        <w:autoSpaceDE w:val="0"/>
        <w:autoSpaceDN w:val="0"/>
        <w:adjustRightInd w:val="0"/>
        <w:spacing w:after="0" w:line="240" w:lineRule="auto"/>
        <w:rPr>
          <w:rFonts w:cstheme="minorHAnsi"/>
          <w:bCs/>
          <w:color w:val="FF0000"/>
        </w:rPr>
      </w:pPr>
      <w:r w:rsidRPr="00D2112D">
        <w:rPr>
          <w:rFonts w:cstheme="minorHAnsi"/>
          <w:bCs/>
          <w:color w:val="FF0000"/>
        </w:rPr>
        <w:br/>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6CE62C4C" w14:textId="77777777" w:rsidR="00F01CFC" w:rsidRDefault="009C7513" w:rsidP="00F01CFC">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0284216D" w14:textId="77777777" w:rsidR="00D2112D" w:rsidRPr="00840AE5" w:rsidRDefault="00D2112D" w:rsidP="00D2112D">
      <w:pPr>
        <w:autoSpaceDE w:val="0"/>
        <w:autoSpaceDN w:val="0"/>
        <w:adjustRightInd w:val="0"/>
        <w:spacing w:after="0" w:line="240" w:lineRule="auto"/>
        <w:rPr>
          <w:szCs w:val="20"/>
        </w:rPr>
      </w:pPr>
      <w:r w:rsidRPr="00840AE5">
        <w:rPr>
          <w:szCs w:val="20"/>
        </w:rPr>
        <w:t>Significance testing identifies 7 facilities (23.3%) with worse than expected performance at a median of 24.5% of patients with reporting of nPCR data elements. The clear separation in measure performance between facilities identified with worse than expected performance versus those with as expected or better than expected performance provides support for the ability to identify clinically important differences in performance on this measure through significance testing.</w:t>
      </w:r>
    </w:p>
    <w:p w14:paraId="0D9251BF" w14:textId="77777777" w:rsidR="00D2112D" w:rsidRDefault="00D2112D" w:rsidP="00CB58A9">
      <w:pPr>
        <w:autoSpaceDE w:val="0"/>
        <w:autoSpaceDN w:val="0"/>
        <w:adjustRightInd w:val="0"/>
        <w:spacing w:after="0" w:line="240" w:lineRule="auto"/>
        <w:rPr>
          <w:szCs w:val="20"/>
        </w:rPr>
      </w:pPr>
    </w:p>
    <w:p w14:paraId="460E1DD6" w14:textId="39C70E62" w:rsidR="00CB58A9" w:rsidRPr="00D2112D" w:rsidRDefault="00D2112D" w:rsidP="00CB58A9">
      <w:pPr>
        <w:autoSpaceDE w:val="0"/>
        <w:autoSpaceDN w:val="0"/>
        <w:adjustRightInd w:val="0"/>
        <w:spacing w:after="0" w:line="240" w:lineRule="auto"/>
        <w:rPr>
          <w:color w:val="FF0000"/>
          <w:szCs w:val="20"/>
        </w:rPr>
      </w:pPr>
      <w:r w:rsidRPr="00D2112D">
        <w:rPr>
          <w:color w:val="FF0000"/>
          <w:szCs w:val="20"/>
        </w:rPr>
        <w:t>For the Spring 2019 submission, s</w:t>
      </w:r>
      <w:r w:rsidR="00CB58A9" w:rsidRPr="00D2112D">
        <w:rPr>
          <w:color w:val="FF0000"/>
          <w:szCs w:val="20"/>
        </w:rPr>
        <w:t xml:space="preserve">ignificance testing identifies </w:t>
      </w:r>
      <w:r w:rsidR="00024E51">
        <w:rPr>
          <w:color w:val="FF0000"/>
          <w:szCs w:val="20"/>
        </w:rPr>
        <w:t xml:space="preserve">that </w:t>
      </w:r>
      <w:r w:rsidR="00410595" w:rsidRPr="00D2112D">
        <w:rPr>
          <w:color w:val="FF0000"/>
          <w:szCs w:val="20"/>
        </w:rPr>
        <w:t>27 facilities (93.1%) have achieved expected performance, and 2 facilities (6.9</w:t>
      </w:r>
      <w:r w:rsidR="00CB58A9" w:rsidRPr="00D2112D">
        <w:rPr>
          <w:color w:val="FF0000"/>
          <w:szCs w:val="20"/>
        </w:rPr>
        <w:t xml:space="preserve">%) </w:t>
      </w:r>
      <w:r w:rsidR="00024E51">
        <w:rPr>
          <w:color w:val="FF0000"/>
          <w:szCs w:val="20"/>
        </w:rPr>
        <w:t xml:space="preserve">had </w:t>
      </w:r>
      <w:r w:rsidR="00CB58A9" w:rsidRPr="00D2112D">
        <w:rPr>
          <w:color w:val="FF0000"/>
          <w:szCs w:val="20"/>
        </w:rPr>
        <w:t xml:space="preserve">worse than expected performance. </w:t>
      </w:r>
      <w:r w:rsidR="00024E51">
        <w:rPr>
          <w:color w:val="FF0000"/>
          <w:szCs w:val="20"/>
        </w:rPr>
        <w:t>B</w:t>
      </w:r>
      <w:r w:rsidR="00CB58A9" w:rsidRPr="00D2112D">
        <w:rPr>
          <w:color w:val="FF0000"/>
          <w:szCs w:val="20"/>
        </w:rPr>
        <w:t>etween facilities identified with worse than expected performance versus those with as expected or better than expected performance</w:t>
      </w:r>
      <w:r w:rsidR="00024E51">
        <w:rPr>
          <w:color w:val="FF0000"/>
          <w:szCs w:val="20"/>
        </w:rPr>
        <w:t>, there exists a clear separation that</w:t>
      </w:r>
      <w:r w:rsidR="00CB58A9" w:rsidRPr="00D2112D">
        <w:rPr>
          <w:color w:val="FF0000"/>
          <w:szCs w:val="20"/>
        </w:rPr>
        <w:t xml:space="preserve"> provides support for the ability to identify clinically important differences in performance on this measure through significance testing.</w:t>
      </w:r>
    </w:p>
    <w:p w14:paraId="0BDC92BF" w14:textId="73E65C0F" w:rsidR="00D2112D" w:rsidRDefault="00D2112D" w:rsidP="00CB58A9">
      <w:pPr>
        <w:autoSpaceDE w:val="0"/>
        <w:autoSpaceDN w:val="0"/>
        <w:adjustRightInd w:val="0"/>
        <w:spacing w:after="0" w:line="240" w:lineRule="auto"/>
        <w:rPr>
          <w:szCs w:val="20"/>
        </w:rPr>
      </w:pPr>
    </w:p>
    <w:p w14:paraId="134F0A91" w14:textId="7037C50F" w:rsidR="00D2112D" w:rsidRPr="00840AE5" w:rsidRDefault="00D2112D" w:rsidP="00CB58A9">
      <w:pPr>
        <w:autoSpaceDE w:val="0"/>
        <w:autoSpaceDN w:val="0"/>
        <w:adjustRightInd w:val="0"/>
        <w:spacing w:after="0" w:line="240" w:lineRule="auto"/>
        <w:rPr>
          <w:szCs w:val="20"/>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CABD014" w14:textId="2350AB72" w:rsidR="000F06B5" w:rsidRPr="00A25024" w:rsidRDefault="00F01CFC" w:rsidP="00F01CFC">
      <w:pPr>
        <w:pStyle w:val="ListParagraph"/>
        <w:autoSpaceDE w:val="0"/>
        <w:autoSpaceDN w:val="0"/>
        <w:adjustRightInd w:val="0"/>
        <w:spacing w:after="0" w:line="240" w:lineRule="auto"/>
        <w:ind w:left="0"/>
        <w:rPr>
          <w:rFonts w:cstheme="minorHAnsi"/>
          <w:bCs/>
        </w:rPr>
      </w:pPr>
      <w:r>
        <w:rPr>
          <w:rFonts w:cstheme="minorHAnsi"/>
          <w:bCs/>
        </w:rPr>
        <w:t>N/A</w:t>
      </w:r>
    </w:p>
    <w:p w14:paraId="52104703" w14:textId="77777777" w:rsidR="00F01CFC" w:rsidRDefault="00F01CFC" w:rsidP="00E1508F">
      <w:pPr>
        <w:autoSpaceDE w:val="0"/>
        <w:autoSpaceDN w:val="0"/>
        <w:adjustRightInd w:val="0"/>
        <w:spacing w:after="0" w:line="240" w:lineRule="auto"/>
        <w:rPr>
          <w:rFonts w:cstheme="minorHAnsi"/>
          <w:b/>
          <w:bCs/>
        </w:rPr>
      </w:pPr>
    </w:p>
    <w:p w14:paraId="0CABD015" w14:textId="1928ECC7"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CABD016" w14:textId="5D018809" w:rsidR="00E1508F" w:rsidRPr="00E1508F" w:rsidRDefault="00F01CFC" w:rsidP="00F01CFC">
      <w:pPr>
        <w:autoSpaceDE w:val="0"/>
        <w:autoSpaceDN w:val="0"/>
        <w:adjustRightInd w:val="0"/>
        <w:spacing w:after="0" w:line="240" w:lineRule="auto"/>
        <w:rPr>
          <w:rFonts w:cstheme="minorHAnsi"/>
          <w:bCs/>
        </w:rPr>
      </w:pPr>
      <w:r>
        <w:rPr>
          <w:rFonts w:cstheme="minorHAnsi"/>
          <w:bCs/>
        </w:rPr>
        <w:t>N/A</w:t>
      </w:r>
    </w:p>
    <w:p w14:paraId="7F20AC76" w14:textId="77777777" w:rsidR="00F01CFC" w:rsidRDefault="00F01CFC" w:rsidP="00DB3627">
      <w:pPr>
        <w:autoSpaceDE w:val="0"/>
        <w:autoSpaceDN w:val="0"/>
        <w:adjustRightInd w:val="0"/>
        <w:spacing w:after="0" w:line="240" w:lineRule="auto"/>
        <w:rPr>
          <w:rFonts w:cstheme="minorHAnsi"/>
          <w:b/>
          <w:bCs/>
        </w:rPr>
      </w:pPr>
    </w:p>
    <w:p w14:paraId="0CFD6063" w14:textId="77777777" w:rsidR="00F01CFC" w:rsidRDefault="009C7513" w:rsidP="00F01CFC">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0CABD017" w14:textId="4123944F" w:rsidR="0079180E" w:rsidRDefault="00F01CFC" w:rsidP="00F01CFC">
      <w:pPr>
        <w:autoSpaceDE w:val="0"/>
        <w:autoSpaceDN w:val="0"/>
        <w:adjustRightInd w:val="0"/>
        <w:spacing w:after="0" w:line="240" w:lineRule="auto"/>
        <w:rPr>
          <w:rFonts w:cstheme="minorHAnsi"/>
          <w:bCs/>
        </w:rPr>
      </w:pPr>
      <w:r>
        <w:rPr>
          <w:rFonts w:cstheme="minorHAnsi"/>
          <w:bCs/>
        </w:rPr>
        <w:t>N/A</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4A9B863E" w14:textId="75CF641E" w:rsidR="00730BD5"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p>
    <w:p w14:paraId="3040C6D0" w14:textId="029CFADA" w:rsidR="00730BD5" w:rsidRDefault="00730BD5" w:rsidP="008F7E67">
      <w:pPr>
        <w:autoSpaceDE w:val="0"/>
        <w:autoSpaceDN w:val="0"/>
        <w:adjustRightInd w:val="0"/>
        <w:spacing w:after="0" w:line="240" w:lineRule="auto"/>
        <w:rPr>
          <w:rFonts w:cstheme="minorHAnsi"/>
          <w:bCs/>
        </w:rPr>
      </w:pPr>
    </w:p>
    <w:p w14:paraId="5B502A13" w14:textId="53BF756A" w:rsidR="006800F9" w:rsidRPr="006800F9" w:rsidRDefault="006800F9" w:rsidP="008F7E67">
      <w:pPr>
        <w:autoSpaceDE w:val="0"/>
        <w:autoSpaceDN w:val="0"/>
        <w:adjustRightInd w:val="0"/>
        <w:spacing w:after="0" w:line="240" w:lineRule="auto"/>
        <w:rPr>
          <w:rFonts w:cstheme="minorHAnsi"/>
          <w:bCs/>
          <w:color w:val="FF0000"/>
        </w:rPr>
      </w:pPr>
      <w:r w:rsidRPr="006800F9">
        <w:rPr>
          <w:rFonts w:cstheme="minorHAnsi"/>
          <w:bCs/>
          <w:color w:val="FF0000"/>
        </w:rPr>
        <w:t>Missing is the outcome and this measure is reporting the percentage of non-missing. Thus, the missing data does not cause bias in this measure.</w:t>
      </w:r>
    </w:p>
    <w:p w14:paraId="344F8A7B" w14:textId="77777777" w:rsidR="0046378E" w:rsidRPr="00A25024" w:rsidRDefault="0046378E" w:rsidP="008F7E67">
      <w:pPr>
        <w:autoSpaceDE w:val="0"/>
        <w:autoSpaceDN w:val="0"/>
        <w:adjustRightInd w:val="0"/>
        <w:spacing w:after="0" w:line="240" w:lineRule="auto"/>
        <w:rPr>
          <w:rFonts w:cstheme="minorHAnsi"/>
          <w:bCs/>
        </w:rPr>
      </w:pP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58D067CE"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xml:space="preserve">, identify the approaches </w:t>
      </w:r>
      <w:r w:rsidR="00145D4F" w:rsidRPr="00FC5DE1">
        <w:rPr>
          <w:rFonts w:cstheme="minorHAnsi"/>
          <w:bCs/>
          <w:i/>
        </w:rPr>
        <w:lastRenderedPageBreak/>
        <w:t>for handling missing data that were considered and pros and cons of each</w:t>
      </w:r>
      <w:r w:rsidR="008F7E67" w:rsidRPr="00A25024">
        <w:rPr>
          <w:rFonts w:cstheme="minorHAnsi"/>
          <w:bCs/>
        </w:rPr>
        <w:t>)</w:t>
      </w:r>
      <w:r w:rsidR="008F7E67" w:rsidRPr="00A25024">
        <w:rPr>
          <w:rFonts w:cstheme="minorHAnsi"/>
          <w:bCs/>
        </w:rPr>
        <w:br/>
      </w:r>
    </w:p>
    <w:p w14:paraId="4E2B26E5" w14:textId="29A17505" w:rsidR="00730BD5" w:rsidRPr="00D2112D" w:rsidRDefault="00730BD5" w:rsidP="008F7E67">
      <w:pPr>
        <w:autoSpaceDE w:val="0"/>
        <w:autoSpaceDN w:val="0"/>
        <w:adjustRightInd w:val="0"/>
        <w:spacing w:after="0" w:line="240" w:lineRule="auto"/>
        <w:rPr>
          <w:rFonts w:cstheme="minorHAnsi"/>
          <w:bCs/>
          <w:color w:val="FF0000"/>
        </w:rPr>
      </w:pPr>
      <w:r w:rsidRPr="00D2112D">
        <w:rPr>
          <w:rFonts w:cstheme="minorHAnsi"/>
          <w:bCs/>
          <w:color w:val="FF0000"/>
        </w:rPr>
        <w:t>N/A</w:t>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3A0AE5FC" w:rsidR="00BA053B" w:rsidRDefault="00BA053B">
      <w:pPr>
        <w:autoSpaceDE w:val="0"/>
        <w:autoSpaceDN w:val="0"/>
        <w:adjustRightInd w:val="0"/>
        <w:spacing w:after="0" w:line="240" w:lineRule="auto"/>
        <w:rPr>
          <w:rFonts w:cstheme="minorHAnsi"/>
          <w:bCs/>
        </w:rPr>
      </w:pPr>
    </w:p>
    <w:p w14:paraId="4F25D341" w14:textId="1D4A51CA" w:rsidR="00730BD5" w:rsidRPr="00D2112D" w:rsidRDefault="00D2112D">
      <w:pPr>
        <w:autoSpaceDE w:val="0"/>
        <w:autoSpaceDN w:val="0"/>
        <w:adjustRightInd w:val="0"/>
        <w:spacing w:after="0" w:line="240" w:lineRule="auto"/>
        <w:rPr>
          <w:rFonts w:cstheme="minorHAnsi"/>
          <w:bCs/>
          <w:color w:val="FF0000"/>
        </w:rPr>
      </w:pPr>
      <w:r w:rsidRPr="00D2112D">
        <w:rPr>
          <w:color w:val="FF0000"/>
          <w:lang w:eastAsia="zh-CN"/>
        </w:rPr>
        <w:t>N/A</w:t>
      </w:r>
    </w:p>
    <w:sectPr w:rsidR="00730BD5" w:rsidRPr="00D2112D"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8011A" w14:textId="77777777" w:rsidR="006800F9" w:rsidRDefault="006800F9" w:rsidP="005C73CA">
      <w:pPr>
        <w:spacing w:after="0" w:line="240" w:lineRule="auto"/>
      </w:pPr>
      <w:r>
        <w:separator/>
      </w:r>
    </w:p>
  </w:endnote>
  <w:endnote w:type="continuationSeparator" w:id="0">
    <w:p w14:paraId="389EFAAA" w14:textId="77777777" w:rsidR="006800F9" w:rsidRDefault="006800F9"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6" w14:textId="4E0DE20C" w:rsidR="006800F9" w:rsidRDefault="006800F9">
    <w:pPr>
      <w:pStyle w:val="Footer"/>
    </w:pPr>
    <w:r>
      <w:t>Version 7.1 9/6/2017</w:t>
    </w:r>
    <w:r>
      <w:ptab w:relativeTo="margin" w:alignment="right" w:leader="none"/>
    </w:r>
    <w:r>
      <w:fldChar w:fldCharType="begin"/>
    </w:r>
    <w:r>
      <w:instrText xml:space="preserve"> PAGE   \* MERGEFORMAT </w:instrText>
    </w:r>
    <w:r>
      <w:fldChar w:fldCharType="separate"/>
    </w:r>
    <w:r w:rsidR="009042A4">
      <w:rPr>
        <w:noProof/>
      </w:rPr>
      <w:t>14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6EA00" w14:textId="77777777" w:rsidR="006800F9" w:rsidRDefault="006800F9" w:rsidP="005C73CA">
      <w:pPr>
        <w:spacing w:after="0" w:line="240" w:lineRule="auto"/>
      </w:pPr>
      <w:r>
        <w:separator/>
      </w:r>
    </w:p>
  </w:footnote>
  <w:footnote w:type="continuationSeparator" w:id="0">
    <w:p w14:paraId="3ABA7EBE" w14:textId="77777777" w:rsidR="006800F9" w:rsidRDefault="006800F9"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5" w14:textId="77777777" w:rsidR="006800F9" w:rsidRPr="00105D8B" w:rsidRDefault="006800F9"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A4B7DDA"/>
    <w:multiLevelType w:val="hybridMultilevel"/>
    <w:tmpl w:val="898AFE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0B5374"/>
    <w:multiLevelType w:val="hybridMultilevel"/>
    <w:tmpl w:val="55B6B59C"/>
    <w:lvl w:ilvl="0" w:tplc="E15C1252">
      <w:start w:val="1"/>
      <w:numFmt w:val="decimal"/>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8"/>
  </w:num>
  <w:num w:numId="27">
    <w:abstractNumId w:val="0"/>
  </w:num>
  <w:num w:numId="28">
    <w:abstractNumId w:val="9"/>
  </w:num>
  <w:num w:numId="29">
    <w:abstractNumId w:val="17"/>
  </w:num>
  <w:num w:numId="30">
    <w:abstractNumId w:val="27"/>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66C"/>
    <w:rsid w:val="0001094F"/>
    <w:rsid w:val="00021170"/>
    <w:rsid w:val="0002128B"/>
    <w:rsid w:val="00024DFD"/>
    <w:rsid w:val="00024E51"/>
    <w:rsid w:val="00027AB8"/>
    <w:rsid w:val="00030160"/>
    <w:rsid w:val="000309DD"/>
    <w:rsid w:val="00030B78"/>
    <w:rsid w:val="00031414"/>
    <w:rsid w:val="00033038"/>
    <w:rsid w:val="00033D63"/>
    <w:rsid w:val="0003436F"/>
    <w:rsid w:val="000414E8"/>
    <w:rsid w:val="0004593A"/>
    <w:rsid w:val="00050A3E"/>
    <w:rsid w:val="00052A6F"/>
    <w:rsid w:val="00053F02"/>
    <w:rsid w:val="0005612B"/>
    <w:rsid w:val="000574AB"/>
    <w:rsid w:val="0006147A"/>
    <w:rsid w:val="0006234F"/>
    <w:rsid w:val="00074525"/>
    <w:rsid w:val="000775F8"/>
    <w:rsid w:val="00080CF7"/>
    <w:rsid w:val="000851B2"/>
    <w:rsid w:val="00090EF3"/>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2690"/>
    <w:rsid w:val="00104B45"/>
    <w:rsid w:val="00105D8B"/>
    <w:rsid w:val="0011342F"/>
    <w:rsid w:val="001202E9"/>
    <w:rsid w:val="0012454F"/>
    <w:rsid w:val="00125273"/>
    <w:rsid w:val="0012575E"/>
    <w:rsid w:val="00127C06"/>
    <w:rsid w:val="00132D0E"/>
    <w:rsid w:val="00145149"/>
    <w:rsid w:val="00145D4F"/>
    <w:rsid w:val="0014773C"/>
    <w:rsid w:val="00166859"/>
    <w:rsid w:val="0017696D"/>
    <w:rsid w:val="001848FC"/>
    <w:rsid w:val="00184FEB"/>
    <w:rsid w:val="00193F21"/>
    <w:rsid w:val="001969C5"/>
    <w:rsid w:val="001A3446"/>
    <w:rsid w:val="001A6CDD"/>
    <w:rsid w:val="001B6E78"/>
    <w:rsid w:val="001C12EE"/>
    <w:rsid w:val="001C7B02"/>
    <w:rsid w:val="001E4DD4"/>
    <w:rsid w:val="001E69DC"/>
    <w:rsid w:val="001F169D"/>
    <w:rsid w:val="001F1DA1"/>
    <w:rsid w:val="001F6F93"/>
    <w:rsid w:val="001F7A20"/>
    <w:rsid w:val="0021054A"/>
    <w:rsid w:val="0021195A"/>
    <w:rsid w:val="00213383"/>
    <w:rsid w:val="00220250"/>
    <w:rsid w:val="00222444"/>
    <w:rsid w:val="0022691B"/>
    <w:rsid w:val="00232163"/>
    <w:rsid w:val="00234ACE"/>
    <w:rsid w:val="002376F8"/>
    <w:rsid w:val="002408E4"/>
    <w:rsid w:val="00241591"/>
    <w:rsid w:val="00250B4F"/>
    <w:rsid w:val="00255D0C"/>
    <w:rsid w:val="0025762F"/>
    <w:rsid w:val="00275114"/>
    <w:rsid w:val="00275563"/>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4C86"/>
    <w:rsid w:val="003059EB"/>
    <w:rsid w:val="003116AC"/>
    <w:rsid w:val="00315567"/>
    <w:rsid w:val="00316907"/>
    <w:rsid w:val="00330144"/>
    <w:rsid w:val="00334329"/>
    <w:rsid w:val="00334579"/>
    <w:rsid w:val="00345CBA"/>
    <w:rsid w:val="00346245"/>
    <w:rsid w:val="003548CF"/>
    <w:rsid w:val="00356267"/>
    <w:rsid w:val="00356BAD"/>
    <w:rsid w:val="003571AB"/>
    <w:rsid w:val="003605B4"/>
    <w:rsid w:val="003627AC"/>
    <w:rsid w:val="00366914"/>
    <w:rsid w:val="00372FE3"/>
    <w:rsid w:val="003755CB"/>
    <w:rsid w:val="0038025A"/>
    <w:rsid w:val="00380D74"/>
    <w:rsid w:val="00381E54"/>
    <w:rsid w:val="00383F85"/>
    <w:rsid w:val="00385075"/>
    <w:rsid w:val="00387BA1"/>
    <w:rsid w:val="003A306C"/>
    <w:rsid w:val="003A7DE7"/>
    <w:rsid w:val="003B1006"/>
    <w:rsid w:val="003C5F11"/>
    <w:rsid w:val="003D294B"/>
    <w:rsid w:val="003D6401"/>
    <w:rsid w:val="003E1863"/>
    <w:rsid w:val="003E2F21"/>
    <w:rsid w:val="00410595"/>
    <w:rsid w:val="0041606D"/>
    <w:rsid w:val="00416962"/>
    <w:rsid w:val="004206A8"/>
    <w:rsid w:val="004348CC"/>
    <w:rsid w:val="00435D26"/>
    <w:rsid w:val="00450C58"/>
    <w:rsid w:val="0045589B"/>
    <w:rsid w:val="0045649C"/>
    <w:rsid w:val="0046378E"/>
    <w:rsid w:val="004658FF"/>
    <w:rsid w:val="00474BB8"/>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2338"/>
    <w:rsid w:val="004F68EE"/>
    <w:rsid w:val="005038D5"/>
    <w:rsid w:val="00511BA4"/>
    <w:rsid w:val="005149E7"/>
    <w:rsid w:val="005232D6"/>
    <w:rsid w:val="0052651E"/>
    <w:rsid w:val="005333CC"/>
    <w:rsid w:val="005363F1"/>
    <w:rsid w:val="00537C1B"/>
    <w:rsid w:val="0054415D"/>
    <w:rsid w:val="00547D34"/>
    <w:rsid w:val="0055007C"/>
    <w:rsid w:val="00554922"/>
    <w:rsid w:val="00555282"/>
    <w:rsid w:val="005560E7"/>
    <w:rsid w:val="005612CC"/>
    <w:rsid w:val="005620FC"/>
    <w:rsid w:val="00563029"/>
    <w:rsid w:val="00565946"/>
    <w:rsid w:val="00567D12"/>
    <w:rsid w:val="00576062"/>
    <w:rsid w:val="0059559F"/>
    <w:rsid w:val="005A1BD9"/>
    <w:rsid w:val="005A49FF"/>
    <w:rsid w:val="005A7634"/>
    <w:rsid w:val="005B35D6"/>
    <w:rsid w:val="005B6F04"/>
    <w:rsid w:val="005C0447"/>
    <w:rsid w:val="005C739F"/>
    <w:rsid w:val="005C73CA"/>
    <w:rsid w:val="005D4768"/>
    <w:rsid w:val="005E2CAB"/>
    <w:rsid w:val="005E429E"/>
    <w:rsid w:val="00601ED4"/>
    <w:rsid w:val="006030BC"/>
    <w:rsid w:val="00612866"/>
    <w:rsid w:val="006143CD"/>
    <w:rsid w:val="00616EB5"/>
    <w:rsid w:val="006269D4"/>
    <w:rsid w:val="00630514"/>
    <w:rsid w:val="006327D8"/>
    <w:rsid w:val="0064070A"/>
    <w:rsid w:val="00643A01"/>
    <w:rsid w:val="00651D44"/>
    <w:rsid w:val="006574D2"/>
    <w:rsid w:val="00663563"/>
    <w:rsid w:val="006676D4"/>
    <w:rsid w:val="00675535"/>
    <w:rsid w:val="006800F9"/>
    <w:rsid w:val="00681359"/>
    <w:rsid w:val="0069157C"/>
    <w:rsid w:val="00693D6C"/>
    <w:rsid w:val="00696262"/>
    <w:rsid w:val="006C3A4F"/>
    <w:rsid w:val="006C4845"/>
    <w:rsid w:val="006D6BC1"/>
    <w:rsid w:val="006E2BFC"/>
    <w:rsid w:val="006E40C4"/>
    <w:rsid w:val="006E5C57"/>
    <w:rsid w:val="006F22A5"/>
    <w:rsid w:val="00702C73"/>
    <w:rsid w:val="00710A15"/>
    <w:rsid w:val="00713394"/>
    <w:rsid w:val="00724677"/>
    <w:rsid w:val="00725AC2"/>
    <w:rsid w:val="00730BD5"/>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6F1C"/>
    <w:rsid w:val="00804C69"/>
    <w:rsid w:val="00806325"/>
    <w:rsid w:val="0080711D"/>
    <w:rsid w:val="008155CD"/>
    <w:rsid w:val="00833325"/>
    <w:rsid w:val="00840A41"/>
    <w:rsid w:val="00842F3C"/>
    <w:rsid w:val="00844202"/>
    <w:rsid w:val="008505D1"/>
    <w:rsid w:val="00855158"/>
    <w:rsid w:val="00857EE8"/>
    <w:rsid w:val="0086464B"/>
    <w:rsid w:val="008647FC"/>
    <w:rsid w:val="00864CA8"/>
    <w:rsid w:val="00865E2D"/>
    <w:rsid w:val="00870E6C"/>
    <w:rsid w:val="00875846"/>
    <w:rsid w:val="00884486"/>
    <w:rsid w:val="008871A9"/>
    <w:rsid w:val="008916BA"/>
    <w:rsid w:val="00892176"/>
    <w:rsid w:val="008A1DB7"/>
    <w:rsid w:val="008A403A"/>
    <w:rsid w:val="008A4C13"/>
    <w:rsid w:val="008A55A6"/>
    <w:rsid w:val="008B604D"/>
    <w:rsid w:val="008C54A9"/>
    <w:rsid w:val="008E67C3"/>
    <w:rsid w:val="008F589F"/>
    <w:rsid w:val="008F76A9"/>
    <w:rsid w:val="008F7E67"/>
    <w:rsid w:val="00900DBF"/>
    <w:rsid w:val="009042A4"/>
    <w:rsid w:val="009048B9"/>
    <w:rsid w:val="00904E91"/>
    <w:rsid w:val="00915886"/>
    <w:rsid w:val="009214DC"/>
    <w:rsid w:val="00927027"/>
    <w:rsid w:val="009344BA"/>
    <w:rsid w:val="00946E61"/>
    <w:rsid w:val="00947F78"/>
    <w:rsid w:val="00953234"/>
    <w:rsid w:val="00961EAF"/>
    <w:rsid w:val="0096278F"/>
    <w:rsid w:val="009726E1"/>
    <w:rsid w:val="00972A04"/>
    <w:rsid w:val="00977591"/>
    <w:rsid w:val="00980E75"/>
    <w:rsid w:val="00994BE0"/>
    <w:rsid w:val="009A25B1"/>
    <w:rsid w:val="009A4608"/>
    <w:rsid w:val="009A6A57"/>
    <w:rsid w:val="009A70BF"/>
    <w:rsid w:val="009B1A15"/>
    <w:rsid w:val="009C0852"/>
    <w:rsid w:val="009C13CA"/>
    <w:rsid w:val="009C32C6"/>
    <w:rsid w:val="009C665F"/>
    <w:rsid w:val="009C7513"/>
    <w:rsid w:val="009D2E8B"/>
    <w:rsid w:val="009D3882"/>
    <w:rsid w:val="009D7E38"/>
    <w:rsid w:val="009E095B"/>
    <w:rsid w:val="009E1846"/>
    <w:rsid w:val="009E78FF"/>
    <w:rsid w:val="00A01494"/>
    <w:rsid w:val="00A063B3"/>
    <w:rsid w:val="00A22FA9"/>
    <w:rsid w:val="00A25024"/>
    <w:rsid w:val="00A32345"/>
    <w:rsid w:val="00A35F8F"/>
    <w:rsid w:val="00A41377"/>
    <w:rsid w:val="00A4263D"/>
    <w:rsid w:val="00A509B8"/>
    <w:rsid w:val="00A52AB9"/>
    <w:rsid w:val="00A6210B"/>
    <w:rsid w:val="00A64EBF"/>
    <w:rsid w:val="00A71200"/>
    <w:rsid w:val="00A7323A"/>
    <w:rsid w:val="00A831B4"/>
    <w:rsid w:val="00A97798"/>
    <w:rsid w:val="00AA5213"/>
    <w:rsid w:val="00AA65A6"/>
    <w:rsid w:val="00AC1D8E"/>
    <w:rsid w:val="00AC48FA"/>
    <w:rsid w:val="00AD0240"/>
    <w:rsid w:val="00AD4137"/>
    <w:rsid w:val="00AF2D68"/>
    <w:rsid w:val="00B037BA"/>
    <w:rsid w:val="00B20139"/>
    <w:rsid w:val="00B218DA"/>
    <w:rsid w:val="00B342FA"/>
    <w:rsid w:val="00B41371"/>
    <w:rsid w:val="00B53E8B"/>
    <w:rsid w:val="00B63442"/>
    <w:rsid w:val="00B774D2"/>
    <w:rsid w:val="00B8015A"/>
    <w:rsid w:val="00B82A57"/>
    <w:rsid w:val="00BA053B"/>
    <w:rsid w:val="00BB35AE"/>
    <w:rsid w:val="00BB6381"/>
    <w:rsid w:val="00BC03A1"/>
    <w:rsid w:val="00BC0D25"/>
    <w:rsid w:val="00BC3778"/>
    <w:rsid w:val="00BD2505"/>
    <w:rsid w:val="00BD5A53"/>
    <w:rsid w:val="00BE592D"/>
    <w:rsid w:val="00BF52B0"/>
    <w:rsid w:val="00BF5697"/>
    <w:rsid w:val="00C03561"/>
    <w:rsid w:val="00C14CCC"/>
    <w:rsid w:val="00C1695E"/>
    <w:rsid w:val="00C22C1C"/>
    <w:rsid w:val="00C25405"/>
    <w:rsid w:val="00C33F2E"/>
    <w:rsid w:val="00C34936"/>
    <w:rsid w:val="00C34C14"/>
    <w:rsid w:val="00C355B9"/>
    <w:rsid w:val="00C37EF1"/>
    <w:rsid w:val="00C401C4"/>
    <w:rsid w:val="00C403DC"/>
    <w:rsid w:val="00C41680"/>
    <w:rsid w:val="00C52704"/>
    <w:rsid w:val="00C60A25"/>
    <w:rsid w:val="00C62998"/>
    <w:rsid w:val="00C765C5"/>
    <w:rsid w:val="00C775CE"/>
    <w:rsid w:val="00C802B0"/>
    <w:rsid w:val="00C82479"/>
    <w:rsid w:val="00C867F0"/>
    <w:rsid w:val="00C92C7A"/>
    <w:rsid w:val="00CA06D8"/>
    <w:rsid w:val="00CA345A"/>
    <w:rsid w:val="00CB49FF"/>
    <w:rsid w:val="00CB58A9"/>
    <w:rsid w:val="00CC02CF"/>
    <w:rsid w:val="00CC086A"/>
    <w:rsid w:val="00CD0E24"/>
    <w:rsid w:val="00CD0F66"/>
    <w:rsid w:val="00CD364B"/>
    <w:rsid w:val="00CE23B8"/>
    <w:rsid w:val="00CE284E"/>
    <w:rsid w:val="00CE50D7"/>
    <w:rsid w:val="00CE6F1D"/>
    <w:rsid w:val="00CF4CBE"/>
    <w:rsid w:val="00D00344"/>
    <w:rsid w:val="00D1754D"/>
    <w:rsid w:val="00D2112D"/>
    <w:rsid w:val="00D2223F"/>
    <w:rsid w:val="00D274A4"/>
    <w:rsid w:val="00D277AF"/>
    <w:rsid w:val="00D31163"/>
    <w:rsid w:val="00D320B1"/>
    <w:rsid w:val="00D33AFD"/>
    <w:rsid w:val="00D34B3A"/>
    <w:rsid w:val="00D36489"/>
    <w:rsid w:val="00D369E9"/>
    <w:rsid w:val="00D42195"/>
    <w:rsid w:val="00D50704"/>
    <w:rsid w:val="00D5760A"/>
    <w:rsid w:val="00D61410"/>
    <w:rsid w:val="00D75ED2"/>
    <w:rsid w:val="00D8181D"/>
    <w:rsid w:val="00D92DA2"/>
    <w:rsid w:val="00D968D8"/>
    <w:rsid w:val="00DA563D"/>
    <w:rsid w:val="00DA7277"/>
    <w:rsid w:val="00DB3627"/>
    <w:rsid w:val="00DB4724"/>
    <w:rsid w:val="00DB6944"/>
    <w:rsid w:val="00DC4746"/>
    <w:rsid w:val="00DD182C"/>
    <w:rsid w:val="00DE145A"/>
    <w:rsid w:val="00DE7149"/>
    <w:rsid w:val="00DF3965"/>
    <w:rsid w:val="00E0314C"/>
    <w:rsid w:val="00E1508F"/>
    <w:rsid w:val="00E261DF"/>
    <w:rsid w:val="00E27240"/>
    <w:rsid w:val="00E27EDD"/>
    <w:rsid w:val="00E30584"/>
    <w:rsid w:val="00E310B9"/>
    <w:rsid w:val="00E37E1B"/>
    <w:rsid w:val="00E547E6"/>
    <w:rsid w:val="00E562C0"/>
    <w:rsid w:val="00E57FAF"/>
    <w:rsid w:val="00E672D6"/>
    <w:rsid w:val="00E76024"/>
    <w:rsid w:val="00E856A2"/>
    <w:rsid w:val="00E967AD"/>
    <w:rsid w:val="00E96884"/>
    <w:rsid w:val="00EA13AA"/>
    <w:rsid w:val="00EA5435"/>
    <w:rsid w:val="00EA5F47"/>
    <w:rsid w:val="00EB455E"/>
    <w:rsid w:val="00EC79DE"/>
    <w:rsid w:val="00ED4ACE"/>
    <w:rsid w:val="00EE4D35"/>
    <w:rsid w:val="00EF2DA7"/>
    <w:rsid w:val="00F01CFC"/>
    <w:rsid w:val="00F1412B"/>
    <w:rsid w:val="00F15BFA"/>
    <w:rsid w:val="00F179AA"/>
    <w:rsid w:val="00F34FAB"/>
    <w:rsid w:val="00F435AA"/>
    <w:rsid w:val="00F5738A"/>
    <w:rsid w:val="00F612D4"/>
    <w:rsid w:val="00F7389E"/>
    <w:rsid w:val="00F77F1D"/>
    <w:rsid w:val="00F87CCB"/>
    <w:rsid w:val="00FA48C7"/>
    <w:rsid w:val="00FB51FB"/>
    <w:rsid w:val="00FB73C1"/>
    <w:rsid w:val="00FF0B88"/>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194647">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224918BE5A9043D7A246A37E2B9A74A9"/>
        <w:category>
          <w:name w:val="General"/>
          <w:gallery w:val="placeholder"/>
        </w:category>
        <w:types>
          <w:type w:val="bbPlcHdr"/>
        </w:types>
        <w:behaviors>
          <w:behavior w:val="content"/>
        </w:behaviors>
        <w:guid w:val="{205BFBAC-F5C6-402F-AA66-221D534FEC58}"/>
      </w:docPartPr>
      <w:docPartBody>
        <w:p w:rsidR="0080799F" w:rsidRDefault="00F46BC1" w:rsidP="00F46BC1">
          <w:pPr>
            <w:pStyle w:val="224918BE5A9043D7A246A37E2B9A74A9"/>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Yu Mincho">
    <w:altName w:val="游明朝"/>
    <w:panose1 w:val="00000000000000000000"/>
    <w:charset w:val="80"/>
    <w:family w:val="roman"/>
    <w:notTrueType/>
    <w:pitch w:val="default"/>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1D4689"/>
    <w:rsid w:val="00223FA3"/>
    <w:rsid w:val="002A288F"/>
    <w:rsid w:val="002C65A7"/>
    <w:rsid w:val="002F052A"/>
    <w:rsid w:val="00350176"/>
    <w:rsid w:val="003840F0"/>
    <w:rsid w:val="00437537"/>
    <w:rsid w:val="004D785E"/>
    <w:rsid w:val="00513FC9"/>
    <w:rsid w:val="0053654E"/>
    <w:rsid w:val="00610196"/>
    <w:rsid w:val="00632A7E"/>
    <w:rsid w:val="00632AB6"/>
    <w:rsid w:val="006D6C32"/>
    <w:rsid w:val="00706879"/>
    <w:rsid w:val="00730B33"/>
    <w:rsid w:val="00772B2A"/>
    <w:rsid w:val="007C672A"/>
    <w:rsid w:val="007D4368"/>
    <w:rsid w:val="0080799F"/>
    <w:rsid w:val="00822666"/>
    <w:rsid w:val="00823ECC"/>
    <w:rsid w:val="00826796"/>
    <w:rsid w:val="00866C97"/>
    <w:rsid w:val="009017AE"/>
    <w:rsid w:val="009C542D"/>
    <w:rsid w:val="00A01A18"/>
    <w:rsid w:val="00A95183"/>
    <w:rsid w:val="00AB4AF7"/>
    <w:rsid w:val="00AD7C4F"/>
    <w:rsid w:val="00B445F5"/>
    <w:rsid w:val="00BD40CB"/>
    <w:rsid w:val="00C362A2"/>
    <w:rsid w:val="00C90121"/>
    <w:rsid w:val="00C96E73"/>
    <w:rsid w:val="00CA1FE8"/>
    <w:rsid w:val="00CA344F"/>
    <w:rsid w:val="00CA660C"/>
    <w:rsid w:val="00D1676E"/>
    <w:rsid w:val="00DC0246"/>
    <w:rsid w:val="00E6518A"/>
    <w:rsid w:val="00F46BC1"/>
    <w:rsid w:val="00F540AB"/>
    <w:rsid w:val="00F915BA"/>
    <w:rsid w:val="00FD4AD1"/>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6BC1"/>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224918BE5A9043D7A246A37E2B9A74A9">
    <w:name w:val="224918BE5A9043D7A246A37E2B9A74A9"/>
    <w:rsid w:val="00F46BC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http://schemas.microsoft.com/office/infopath/2007/PartnerControls"/>
    <ds:schemaRef ds:uri="http://purl.org/dc/elements/1.1/"/>
    <ds:schemaRef ds:uri="http://schemas.openxmlformats.org/package/2006/metadata/core-properties"/>
    <ds:schemaRef ds:uri="http://www.w3.org/XML/1998/namespace"/>
    <ds:schemaRef ds:uri="http://schemas.microsoft.com/office/2006/documentManagement/types"/>
    <ds:schemaRef ds:uri="836b82f1-340d-495e-85b5-201c5296619a"/>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EAB19F7E-B519-4B8B-99AD-19090A400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5179</Words>
  <Characters>29521</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Sardone, Jennifer</cp:lastModifiedBy>
  <cp:revision>15</cp:revision>
  <cp:lastPrinted>2019-01-04T15:05:00Z</cp:lastPrinted>
  <dcterms:created xsi:type="dcterms:W3CDTF">2019-01-04T17:02:00Z</dcterms:created>
  <dcterms:modified xsi:type="dcterms:W3CDTF">2019-01-07T20:44:00Z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