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3E480E96"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8A11C0">
            <w:rPr>
              <w:rStyle w:val="Style1"/>
            </w:rPr>
            <w:t>1454</w:t>
          </w:r>
        </w:sdtContent>
      </w:sdt>
    </w:p>
    <w:p w14:paraId="0CABCF56" w14:textId="1B15FD08"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Fonts w:cstheme="minorHAnsi"/>
              </w:rPr>
              <w:id w:val="-2010898808"/>
              <w:placeholder>
                <w:docPart w:val="224918BE5A9043D7A246A37E2B9A74A9"/>
              </w:placeholder>
            </w:sdtPr>
            <w:sdtEndPr>
              <w:rPr>
                <w:rStyle w:val="DefaultParagraphFont"/>
                <w:rFonts w:cstheme="minorBidi"/>
                <w:color w:val="auto"/>
              </w:rPr>
            </w:sdtEndPr>
            <w:sdtContent>
              <w:r w:rsidR="008A11C0" w:rsidRPr="008A11C0">
                <w:t>Proportion of patients with hypercalcemia</w:t>
              </w:r>
            </w:sdtContent>
          </w:sdt>
        </w:sdtContent>
      </w:sdt>
    </w:p>
    <w:p w14:paraId="0CABCF57" w14:textId="457B8757"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9-01-07T00:00:00Z">
            <w:dateFormat w:val="M/d/yyyy"/>
            <w:lid w:val="en-US"/>
            <w:storeMappedDataAs w:val="dateTime"/>
            <w:calendar w:val="gregorian"/>
          </w:date>
        </w:sdtPr>
        <w:sdtEndPr>
          <w:rPr>
            <w:rStyle w:val="DefaultParagraphFont"/>
            <w:noProof/>
            <w:color w:val="auto"/>
            <w:u w:val="none"/>
          </w:rPr>
        </w:sdtEndPr>
        <w:sdtContent>
          <w:r w:rsidR="00121CDF">
            <w:rPr>
              <w:rStyle w:val="Style2"/>
              <w:rFonts w:cstheme="minorHAnsi"/>
            </w:rPr>
            <w:t>1/7/2019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876130"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876130"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61396BE7" w:rsidR="000B7D57" w:rsidRPr="00C775CE" w:rsidRDefault="00876130" w:rsidP="00CD364B">
            <w:pPr>
              <w:autoSpaceDE w:val="0"/>
              <w:autoSpaceDN w:val="0"/>
              <w:adjustRightInd w:val="0"/>
              <w:rPr>
                <w:rFonts w:cstheme="minorHAnsi"/>
                <w:bCs/>
                <w:color w:val="0000FF"/>
              </w:rPr>
            </w:pPr>
            <w:sdt>
              <w:sdtPr>
                <w:rPr>
                  <w:rFonts w:cstheme="minorHAnsi"/>
                  <w:bCs/>
                  <w:color w:val="0000FF"/>
                </w:rPr>
                <w:id w:val="654653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876130"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876130"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876130"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876130"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7777777" w:rsidR="00A01494" w:rsidRPr="00A01494" w:rsidRDefault="00876130"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876130"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7FD49609" w:rsidR="00A01494" w:rsidRPr="000F1B7A" w:rsidRDefault="00876130"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8A11C0">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6A1E11C7" w:rsidR="00A01494" w:rsidRPr="000F1B7A" w:rsidRDefault="00876130"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8A11C0">
                  <w:rPr>
                    <w:rFonts w:ascii="MS Gothic" w:eastAsia="MS Gothic" w:hAnsi="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0B1F2088" w:rsidR="00A01494" w:rsidRPr="000F1B7A" w:rsidRDefault="00876130" w:rsidP="000F1B7A">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r w:rsidR="00255D0C">
              <w:rPr>
                <w:rFonts w:eastAsia="MS Gothic" w:cstheme="minorHAnsi"/>
                <w:bCs/>
              </w:rPr>
              <w:t xml:space="preserve"> </w:t>
            </w:r>
          </w:p>
        </w:tc>
        <w:tc>
          <w:tcPr>
            <w:tcW w:w="4847" w:type="dxa"/>
          </w:tcPr>
          <w:p w14:paraId="0CABCFA2" w14:textId="36BF59D1" w:rsidR="00A01494" w:rsidRPr="000F1B7A" w:rsidRDefault="00876130" w:rsidP="000F1B7A">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77777777" w:rsidR="00A01494" w:rsidRPr="000F1B7A" w:rsidRDefault="00876130"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876130"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876130"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876130"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876130"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876130"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77777777" w:rsidR="00C355B9" w:rsidRDefault="002B5016" w:rsidP="00DB3627">
      <w:pPr>
        <w:autoSpaceDE w:val="0"/>
        <w:autoSpaceDN w:val="0"/>
        <w:adjustRightInd w:val="0"/>
        <w:spacing w:after="0" w:line="240" w:lineRule="auto"/>
        <w:rPr>
          <w:rFonts w:cstheme="minorHAnsi"/>
          <w:bCs/>
        </w:rPr>
      </w:pPr>
      <w:r w:rsidRPr="009C23FB">
        <w:rPr>
          <w:rFonts w:cstheme="minorHAnsi"/>
          <w:b/>
          <w:bCs/>
          <w:highlight w:val="green"/>
        </w:rPr>
        <w:t>1</w:t>
      </w:r>
      <w:r w:rsidR="00927027" w:rsidRPr="009C23FB">
        <w:rPr>
          <w:rFonts w:cstheme="minorHAnsi"/>
          <w:b/>
          <w:bCs/>
          <w:highlight w:val="green"/>
        </w:rPr>
        <w:t>.</w:t>
      </w:r>
      <w:r w:rsidR="00DB3627" w:rsidRPr="009C23FB">
        <w:rPr>
          <w:rFonts w:cstheme="minorHAnsi"/>
          <w:b/>
          <w:bCs/>
          <w:highlight w:val="green"/>
        </w:rPr>
        <w:t xml:space="preserve">2. </w:t>
      </w:r>
      <w:r w:rsidR="004348CC" w:rsidRPr="009C23FB">
        <w:rPr>
          <w:rFonts w:cstheme="minorHAnsi"/>
          <w:b/>
          <w:bCs/>
          <w:highlight w:val="green"/>
        </w:rPr>
        <w:t>If an existing data</w:t>
      </w:r>
      <w:r w:rsidR="006327D8" w:rsidRPr="009C23FB">
        <w:rPr>
          <w:rFonts w:cstheme="minorHAnsi"/>
          <w:b/>
          <w:bCs/>
          <w:highlight w:val="green"/>
        </w:rPr>
        <w:t>set</w:t>
      </w:r>
      <w:r w:rsidR="003605B4" w:rsidRPr="009C23FB">
        <w:rPr>
          <w:rFonts w:cstheme="minorHAnsi"/>
          <w:b/>
          <w:bCs/>
          <w:highlight w:val="green"/>
        </w:rPr>
        <w:t xml:space="preserve"> was used</w:t>
      </w:r>
      <w:r w:rsidR="004348CC" w:rsidRPr="009C23FB">
        <w:rPr>
          <w:rFonts w:cstheme="minorHAnsi"/>
          <w:b/>
          <w:bCs/>
          <w:highlight w:val="green"/>
        </w:rPr>
        <w:t xml:space="preserve">, identify the </w:t>
      </w:r>
      <w:r w:rsidR="009E1846" w:rsidRPr="009C23FB">
        <w:rPr>
          <w:rFonts w:cstheme="minorHAnsi"/>
          <w:b/>
          <w:bCs/>
          <w:highlight w:val="green"/>
        </w:rPr>
        <w:t xml:space="preserve">specific </w:t>
      </w:r>
      <w:r w:rsidR="004348CC" w:rsidRPr="009C23FB">
        <w:rPr>
          <w:rFonts w:cstheme="minorHAnsi"/>
          <w:b/>
          <w:bCs/>
          <w:highlight w:val="green"/>
        </w:rPr>
        <w:t>data</w:t>
      </w:r>
      <w:r w:rsidR="006327D8" w:rsidRPr="009C23FB">
        <w:rPr>
          <w:rFonts w:cstheme="minorHAnsi"/>
          <w:b/>
          <w:bCs/>
          <w:highlight w:val="green"/>
        </w:rPr>
        <w:t>set</w:t>
      </w:r>
      <w:r w:rsidR="00DB3627" w:rsidRPr="009C23FB">
        <w:rPr>
          <w:rFonts w:cstheme="minorHAnsi"/>
          <w:bCs/>
          <w:highlight w:val="green"/>
        </w:rPr>
        <w:t xml:space="preserve"> (</w:t>
      </w:r>
      <w:r w:rsidR="001C7B02" w:rsidRPr="009C23FB">
        <w:rPr>
          <w:rFonts w:cstheme="minorHAnsi"/>
          <w:bCs/>
          <w:i/>
          <w:highlight w:val="green"/>
        </w:rPr>
        <w:t xml:space="preserve">the dataset used for testing must be consistent with the measure specifications for target population and healthcare entities being measured; </w:t>
      </w:r>
      <w:r w:rsidR="00DB3627" w:rsidRPr="009C23FB">
        <w:rPr>
          <w:rFonts w:cstheme="minorHAnsi"/>
          <w:bCs/>
          <w:i/>
          <w:highlight w:val="green"/>
        </w:rPr>
        <w:t>e.g., Medicare Part A claims</w:t>
      </w:r>
      <w:r w:rsidR="009E1846" w:rsidRPr="009C23FB">
        <w:rPr>
          <w:rFonts w:cstheme="minorHAnsi"/>
          <w:bCs/>
          <w:i/>
          <w:highlight w:val="green"/>
        </w:rPr>
        <w:t>,</w:t>
      </w:r>
      <w:r w:rsidR="001C7B02" w:rsidRPr="009C23FB">
        <w:rPr>
          <w:rFonts w:cstheme="minorHAnsi"/>
          <w:bCs/>
          <w:i/>
          <w:highlight w:val="green"/>
        </w:rPr>
        <w:t xml:space="preserve"> Medicaid claims, other commercial insurance, nursing home MDS, home health OASIS, clinical registry</w:t>
      </w:r>
      <w:r w:rsidR="00DB3627" w:rsidRPr="009C23FB">
        <w:rPr>
          <w:rFonts w:cstheme="minorHAnsi"/>
          <w:bCs/>
          <w:highlight w:val="green"/>
        </w:rPr>
        <w:t>)</w:t>
      </w:r>
      <w:r w:rsidR="009E1846" w:rsidRPr="009C23FB">
        <w:rPr>
          <w:rFonts w:cstheme="minorHAnsi"/>
          <w:bCs/>
          <w:highlight w:val="green"/>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0CABCFAF" w14:textId="2C916607" w:rsidR="009E1846" w:rsidRDefault="009E1846" w:rsidP="00DB3627">
      <w:pPr>
        <w:autoSpaceDE w:val="0"/>
        <w:autoSpaceDN w:val="0"/>
        <w:adjustRightInd w:val="0"/>
        <w:spacing w:after="0" w:line="240" w:lineRule="auto"/>
        <w:rPr>
          <w:rFonts w:cstheme="minorHAnsi"/>
          <w:b/>
        </w:rPr>
      </w:pPr>
    </w:p>
    <w:p w14:paraId="7AEE9693" w14:textId="7A10E335" w:rsidR="008A11C0" w:rsidRDefault="008A11C0" w:rsidP="008A11C0">
      <w:pPr>
        <w:autoSpaceDE w:val="0"/>
        <w:autoSpaceDN w:val="0"/>
        <w:adjustRightInd w:val="0"/>
        <w:spacing w:after="0" w:line="240" w:lineRule="auto"/>
        <w:rPr>
          <w:rFonts w:cstheme="minorHAnsi"/>
          <w:bCs/>
        </w:rPr>
      </w:pPr>
      <w:r w:rsidRPr="006E0BC1">
        <w:rPr>
          <w:rFonts w:cstheme="minorHAnsi"/>
          <w:bCs/>
        </w:rPr>
        <w:t>We analyzed national</w:t>
      </w:r>
      <w:r w:rsidR="00214388">
        <w:rPr>
          <w:rFonts w:cstheme="minorHAnsi"/>
          <w:bCs/>
        </w:rPr>
        <w:t xml:space="preserve"> CROWNWeb data from January 201</w:t>
      </w:r>
      <w:r w:rsidRPr="006E0BC1">
        <w:rPr>
          <w:rFonts w:cstheme="minorHAnsi"/>
          <w:bCs/>
        </w:rPr>
        <w:t xml:space="preserve"> – December 2013.</w:t>
      </w:r>
    </w:p>
    <w:p w14:paraId="6103EF23" w14:textId="32049617" w:rsidR="00255D0C" w:rsidRDefault="00255D0C" w:rsidP="00DB3627">
      <w:pPr>
        <w:autoSpaceDE w:val="0"/>
        <w:autoSpaceDN w:val="0"/>
        <w:adjustRightInd w:val="0"/>
        <w:spacing w:after="0" w:line="240" w:lineRule="auto"/>
        <w:rPr>
          <w:rFonts w:cstheme="minorHAnsi"/>
          <w:b/>
        </w:rPr>
      </w:pPr>
    </w:p>
    <w:p w14:paraId="74FED0C9" w14:textId="0EFA1E52" w:rsidR="009D1CA3" w:rsidRPr="006E7435" w:rsidRDefault="009D1CA3" w:rsidP="00DB3627">
      <w:pPr>
        <w:autoSpaceDE w:val="0"/>
        <w:autoSpaceDN w:val="0"/>
        <w:adjustRightInd w:val="0"/>
        <w:spacing w:after="0" w:line="240" w:lineRule="auto"/>
        <w:rPr>
          <w:rFonts w:cstheme="minorHAnsi"/>
          <w:bCs/>
          <w:color w:val="FF0000"/>
        </w:rPr>
      </w:pPr>
      <w:r w:rsidRPr="006E7435">
        <w:rPr>
          <w:rFonts w:cstheme="minorHAnsi"/>
          <w:color w:val="FF0000"/>
        </w:rPr>
        <w:t xml:space="preserve">For the Spring 2019 Maintenance submission, we </w:t>
      </w:r>
      <w:r w:rsidRPr="006E7435">
        <w:rPr>
          <w:rFonts w:cstheme="minorHAnsi"/>
          <w:bCs/>
          <w:color w:val="FF0000"/>
        </w:rPr>
        <w:t xml:space="preserve">analyzed </w:t>
      </w:r>
      <w:bookmarkStart w:id="11" w:name="_GoBack"/>
      <w:bookmarkEnd w:id="11"/>
      <w:r w:rsidRPr="006E7435">
        <w:rPr>
          <w:rFonts w:cstheme="minorHAnsi"/>
          <w:bCs/>
          <w:color w:val="FF0000"/>
        </w:rPr>
        <w:t>CROWNWeb data from January 2017 – December 2017.</w:t>
      </w:r>
    </w:p>
    <w:p w14:paraId="29BA3186" w14:textId="77777777" w:rsidR="009D1CA3" w:rsidRDefault="009D1CA3" w:rsidP="00DB3627">
      <w:pPr>
        <w:autoSpaceDE w:val="0"/>
        <w:autoSpaceDN w:val="0"/>
        <w:adjustRightInd w:val="0"/>
        <w:spacing w:after="0" w:line="240" w:lineRule="auto"/>
        <w:rPr>
          <w:rFonts w:cstheme="minorHAnsi"/>
          <w:b/>
        </w:rPr>
      </w:pPr>
    </w:p>
    <w:p w14:paraId="0CABCFB0" w14:textId="7318C061" w:rsidR="0004593A" w:rsidRPr="00A25024" w:rsidRDefault="002B5016" w:rsidP="00DB3627">
      <w:pPr>
        <w:autoSpaceDE w:val="0"/>
        <w:autoSpaceDN w:val="0"/>
        <w:adjustRightInd w:val="0"/>
        <w:spacing w:after="0" w:line="240" w:lineRule="auto"/>
        <w:rPr>
          <w:rFonts w:cstheme="minorHAnsi"/>
          <w:bCs/>
        </w:rPr>
      </w:pPr>
      <w:r w:rsidRPr="009C23FB">
        <w:rPr>
          <w:rFonts w:cstheme="minorHAnsi"/>
          <w:b/>
          <w:highlight w:val="green"/>
        </w:rPr>
        <w:t>1</w:t>
      </w:r>
      <w:r w:rsidR="00927027" w:rsidRPr="009C23FB">
        <w:rPr>
          <w:rFonts w:cstheme="minorHAnsi"/>
          <w:b/>
          <w:highlight w:val="green"/>
        </w:rPr>
        <w:t>.</w:t>
      </w:r>
      <w:r w:rsidR="00DB3627" w:rsidRPr="009C23FB">
        <w:rPr>
          <w:rFonts w:cstheme="minorHAnsi"/>
          <w:b/>
          <w:highlight w:val="green"/>
        </w:rPr>
        <w:t xml:space="preserve">3. </w:t>
      </w:r>
      <w:r w:rsidR="000574AB" w:rsidRPr="009C23FB">
        <w:rPr>
          <w:rFonts w:cstheme="minorHAnsi"/>
          <w:b/>
          <w:highlight w:val="green"/>
        </w:rPr>
        <w:t xml:space="preserve">What </w:t>
      </w:r>
      <w:r w:rsidR="000968F8" w:rsidRPr="009C23FB">
        <w:rPr>
          <w:rFonts w:cstheme="minorHAnsi"/>
          <w:b/>
          <w:highlight w:val="green"/>
        </w:rPr>
        <w:t xml:space="preserve">are the </w:t>
      </w:r>
      <w:r w:rsidR="000574AB" w:rsidRPr="009C23FB">
        <w:rPr>
          <w:rFonts w:cstheme="minorHAnsi"/>
          <w:b/>
          <w:highlight w:val="green"/>
        </w:rPr>
        <w:t xml:space="preserve">dates of </w:t>
      </w:r>
      <w:r w:rsidR="000968F8" w:rsidRPr="009C23FB">
        <w:rPr>
          <w:rFonts w:cstheme="minorHAnsi"/>
          <w:b/>
          <w:highlight w:val="green"/>
        </w:rPr>
        <w:t xml:space="preserve">the </w:t>
      </w:r>
      <w:r w:rsidR="000574AB" w:rsidRPr="009C23FB">
        <w:rPr>
          <w:rFonts w:cstheme="minorHAnsi"/>
          <w:b/>
          <w:highlight w:val="green"/>
        </w:rPr>
        <w:t xml:space="preserve">data </w:t>
      </w:r>
      <w:r w:rsidR="000968F8" w:rsidRPr="009C23FB">
        <w:rPr>
          <w:rFonts w:cstheme="minorHAnsi"/>
          <w:b/>
          <w:highlight w:val="green"/>
        </w:rPr>
        <w:t>used in testing</w:t>
      </w:r>
      <w:r w:rsidR="000968F8" w:rsidRPr="009C23FB">
        <w:rPr>
          <w:rFonts w:cstheme="minorHAnsi"/>
          <w:highlight w:val="green"/>
        </w:rPr>
        <w:t>?</w:t>
      </w:r>
      <w:r w:rsidR="00080CF7" w:rsidRPr="00A25024">
        <w:rPr>
          <w:rFonts w:cstheme="minorHAnsi"/>
        </w:rPr>
        <w:t xml:space="preserve"> </w:t>
      </w:r>
      <w:r w:rsidR="000574AB" w:rsidRPr="00A25024">
        <w:rPr>
          <w:rFonts w:cstheme="minorHAnsi"/>
        </w:rPr>
        <w:t xml:space="preserve"> </w:t>
      </w:r>
      <w:sdt>
        <w:sdtPr>
          <w:rPr>
            <w:rStyle w:val="Style1"/>
            <w:color w:val="auto"/>
          </w:rPr>
          <w:id w:val="950514773"/>
          <w:text/>
        </w:sdtPr>
        <w:sdtEndPr>
          <w:rPr>
            <w:rStyle w:val="DefaultParagraphFont"/>
            <w:rFonts w:cstheme="minorHAnsi"/>
          </w:rPr>
        </w:sdtEndPr>
        <w:sdtContent>
          <w:r w:rsidR="00125DC7" w:rsidRPr="00B330A6">
            <w:rPr>
              <w:rStyle w:val="Style1"/>
              <w:color w:val="auto"/>
            </w:rPr>
            <w:t>January – December 2013</w:t>
          </w:r>
        </w:sdtContent>
      </w:sdt>
    </w:p>
    <w:p w14:paraId="0CABCFB1" w14:textId="47A6C745" w:rsidR="000574AB" w:rsidRDefault="000574AB" w:rsidP="00DB3627">
      <w:pPr>
        <w:autoSpaceDE w:val="0"/>
        <w:autoSpaceDN w:val="0"/>
        <w:adjustRightInd w:val="0"/>
        <w:spacing w:after="0" w:line="240" w:lineRule="auto"/>
        <w:rPr>
          <w:rFonts w:cstheme="minorHAnsi"/>
          <w:bCs/>
        </w:rPr>
      </w:pPr>
    </w:p>
    <w:p w14:paraId="64377935" w14:textId="1726C21E" w:rsidR="009D1CA3" w:rsidRPr="006E7435" w:rsidRDefault="009D1CA3" w:rsidP="00DB3627">
      <w:pPr>
        <w:autoSpaceDE w:val="0"/>
        <w:autoSpaceDN w:val="0"/>
        <w:adjustRightInd w:val="0"/>
        <w:spacing w:after="0" w:line="240" w:lineRule="auto"/>
        <w:rPr>
          <w:rFonts w:cstheme="minorHAnsi"/>
          <w:bCs/>
          <w:color w:val="FF0000"/>
        </w:rPr>
      </w:pPr>
      <w:r w:rsidRPr="006E7435">
        <w:rPr>
          <w:rFonts w:cstheme="minorHAnsi"/>
          <w:bCs/>
          <w:color w:val="FF0000"/>
        </w:rPr>
        <w:t xml:space="preserve">For the Spring 2019 Maintenance submission, we used data from January – December 2017. </w:t>
      </w:r>
    </w:p>
    <w:p w14:paraId="44F1BF42" w14:textId="77777777" w:rsidR="009D1CA3" w:rsidRDefault="009D1CA3"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876130"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876130"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876130"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876130"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604531EC" w:rsidR="000414E8" w:rsidRPr="00A01494" w:rsidRDefault="00876130"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63FCEF81" w:rsidR="000414E8" w:rsidRPr="00A01494" w:rsidRDefault="00876130"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255D0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876130"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876130"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876130"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876130"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34A22582" w14:textId="77777777" w:rsidR="00AF6AAC" w:rsidRDefault="00AF6AAC">
      <w:pPr>
        <w:rPr>
          <w:rFonts w:cstheme="minorHAnsi"/>
          <w:b/>
          <w:bCs/>
          <w:highlight w:val="green"/>
        </w:rPr>
      </w:pPr>
      <w:r>
        <w:rPr>
          <w:rFonts w:cstheme="minorHAnsi"/>
          <w:b/>
          <w:bCs/>
          <w:highlight w:val="green"/>
        </w:rPr>
        <w:br w:type="page"/>
      </w:r>
    </w:p>
    <w:p w14:paraId="0CABCFC7" w14:textId="23C0C068" w:rsidR="002E78A0" w:rsidRDefault="002B5016" w:rsidP="00DB3627">
      <w:pPr>
        <w:autoSpaceDE w:val="0"/>
        <w:autoSpaceDN w:val="0"/>
        <w:adjustRightInd w:val="0"/>
        <w:spacing w:after="0" w:line="240" w:lineRule="auto"/>
        <w:rPr>
          <w:rFonts w:cstheme="minorHAnsi"/>
          <w:bCs/>
        </w:rPr>
      </w:pPr>
      <w:r w:rsidRPr="009C23FB">
        <w:rPr>
          <w:rFonts w:cstheme="minorHAnsi"/>
          <w:b/>
          <w:bCs/>
          <w:highlight w:val="green"/>
        </w:rPr>
        <w:t>1.</w:t>
      </w:r>
      <w:r w:rsidR="00E310B9" w:rsidRPr="009C23FB">
        <w:rPr>
          <w:rFonts w:cstheme="minorHAnsi"/>
          <w:b/>
          <w:bCs/>
          <w:highlight w:val="green"/>
        </w:rPr>
        <w:t xml:space="preserve">5. </w:t>
      </w:r>
      <w:r w:rsidR="004348CC" w:rsidRPr="009C23FB">
        <w:rPr>
          <w:rFonts w:cstheme="minorHAnsi"/>
          <w:b/>
          <w:bCs/>
          <w:highlight w:val="green"/>
        </w:rPr>
        <w:t xml:space="preserve">How many and which </w:t>
      </w:r>
      <w:r w:rsidR="004348CC" w:rsidRPr="009C23FB">
        <w:rPr>
          <w:rFonts w:cstheme="minorHAnsi"/>
          <w:b/>
          <w:bCs/>
          <w:highlight w:val="green"/>
          <w:u w:val="single"/>
        </w:rPr>
        <w:t>measured entities</w:t>
      </w:r>
      <w:r w:rsidR="004348CC" w:rsidRPr="009C23FB">
        <w:rPr>
          <w:rFonts w:cstheme="minorHAnsi"/>
          <w:b/>
          <w:bCs/>
          <w:highlight w:val="green"/>
        </w:rPr>
        <w:t xml:space="preserve"> were included in the testing</w:t>
      </w:r>
      <w:r w:rsidR="004B6CEE" w:rsidRPr="009C23FB">
        <w:rPr>
          <w:rFonts w:cstheme="minorHAnsi"/>
          <w:b/>
          <w:bCs/>
          <w:highlight w:val="green"/>
        </w:rPr>
        <w:t xml:space="preserve"> and analysis</w:t>
      </w:r>
      <w:r w:rsidR="00AA65A6" w:rsidRPr="009C23FB">
        <w:rPr>
          <w:rFonts w:cstheme="minorHAnsi"/>
          <w:b/>
          <w:bCs/>
          <w:highlight w:val="green"/>
        </w:rPr>
        <w:t xml:space="preserve"> </w:t>
      </w:r>
      <w:r w:rsidR="00616EB5" w:rsidRPr="009C23FB">
        <w:rPr>
          <w:rFonts w:cstheme="minorHAnsi"/>
          <w:b/>
          <w:bCs/>
          <w:highlight w:val="green"/>
        </w:rPr>
        <w:t>(</w:t>
      </w:r>
      <w:r w:rsidR="00AA65A6" w:rsidRPr="009C23FB">
        <w:rPr>
          <w:rFonts w:cstheme="minorHAnsi"/>
          <w:b/>
          <w:bCs/>
          <w:highlight w:val="green"/>
        </w:rPr>
        <w:t>by level of analysis and data source</w:t>
      </w:r>
      <w:r w:rsidR="00616EB5" w:rsidRPr="009C23FB">
        <w:rPr>
          <w:rFonts w:cstheme="minorHAnsi"/>
          <w:b/>
          <w:bCs/>
          <w:highlight w:val="green"/>
        </w:rPr>
        <w:t>)</w:t>
      </w:r>
      <w:r w:rsidR="004348CC" w:rsidRPr="009C23FB">
        <w:rPr>
          <w:rFonts w:cstheme="minorHAnsi"/>
          <w:bCs/>
          <w:highlight w:val="green"/>
        </w:rPr>
        <w:t>?</w:t>
      </w:r>
      <w:r w:rsidR="004348CC" w:rsidRPr="00A25024">
        <w:rPr>
          <w:rFonts w:cstheme="minorHAnsi"/>
          <w:bCs/>
        </w:rPr>
        <w:t xml:space="preserve">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0CABCFC8" w14:textId="29E86418" w:rsidR="002B5016" w:rsidRDefault="002B5016" w:rsidP="00DB3627">
      <w:pPr>
        <w:autoSpaceDE w:val="0"/>
        <w:autoSpaceDN w:val="0"/>
        <w:adjustRightInd w:val="0"/>
        <w:spacing w:after="0" w:line="240" w:lineRule="auto"/>
        <w:rPr>
          <w:rFonts w:cstheme="minorHAnsi"/>
          <w:bCs/>
        </w:rPr>
      </w:pPr>
    </w:p>
    <w:p w14:paraId="4B422410" w14:textId="06A4823B" w:rsidR="009D1CA3" w:rsidRPr="00121CDF" w:rsidRDefault="008A11C0" w:rsidP="00DB3627">
      <w:pPr>
        <w:autoSpaceDE w:val="0"/>
        <w:autoSpaceDN w:val="0"/>
        <w:adjustRightInd w:val="0"/>
        <w:spacing w:after="0" w:line="240" w:lineRule="auto"/>
        <w:rPr>
          <w:rFonts w:cstheme="minorHAnsi"/>
          <w:bCs/>
        </w:rPr>
      </w:pPr>
      <w:r w:rsidRPr="00121CDF">
        <w:rPr>
          <w:rFonts w:cstheme="minorHAnsi"/>
          <w:bCs/>
        </w:rPr>
        <w:t>5,880 facilities that had at least 11 eligible adult patients during January 2013 – December 2013 were included in the analyses. Public reporting of this measure on DFC or in the ESRD QIP would be restricted to facilities with at least 11 eligible patients for the measure. We have applied this restriction to all the reliability and validity testing reported here.</w:t>
      </w:r>
    </w:p>
    <w:p w14:paraId="12ED59E6" w14:textId="62826BC3" w:rsidR="009D1CA3" w:rsidRDefault="009D1CA3" w:rsidP="00DB3627">
      <w:pPr>
        <w:autoSpaceDE w:val="0"/>
        <w:autoSpaceDN w:val="0"/>
        <w:adjustRightInd w:val="0"/>
        <w:spacing w:after="0" w:line="240" w:lineRule="auto"/>
        <w:rPr>
          <w:rFonts w:cstheme="minorHAnsi"/>
          <w:bCs/>
          <w:color w:val="0000FF"/>
        </w:rPr>
      </w:pPr>
    </w:p>
    <w:p w14:paraId="2E53277D" w14:textId="49750F9D" w:rsidR="009D1CA3" w:rsidRPr="002245D3" w:rsidRDefault="009D1CA3" w:rsidP="009D1CA3">
      <w:pPr>
        <w:autoSpaceDE w:val="0"/>
        <w:autoSpaceDN w:val="0"/>
        <w:adjustRightInd w:val="0"/>
        <w:spacing w:after="0" w:line="240" w:lineRule="auto"/>
        <w:rPr>
          <w:rFonts w:cstheme="minorHAnsi"/>
          <w:bCs/>
          <w:color w:val="FF0000"/>
        </w:rPr>
      </w:pPr>
      <w:r w:rsidRPr="002245D3">
        <w:rPr>
          <w:rFonts w:cstheme="minorHAnsi"/>
          <w:bCs/>
          <w:color w:val="FF0000"/>
        </w:rPr>
        <w:t>For the Spring 2019 Maintenance submissions, 6,824 facilities that had at least 11 eligible adult patients during January 2017 – December 2017 were included in the analyses. Public reporting of this measure on DFC or in the ESRD QIP would be restricted to facilities with at least 11 eligible patients for the measure</w:t>
      </w:r>
      <w:r w:rsidR="002245D3" w:rsidRPr="002245D3">
        <w:rPr>
          <w:color w:val="FF0000"/>
        </w:rPr>
        <w:t xml:space="preserve"> to comply with restrictions on reporting of potentially patient identifiable information related to small </w:t>
      </w:r>
      <w:r w:rsidR="00933C89">
        <w:rPr>
          <w:color w:val="FF0000"/>
        </w:rPr>
        <w:t xml:space="preserve">sample </w:t>
      </w:r>
      <w:r w:rsidR="002245D3" w:rsidRPr="002245D3">
        <w:rPr>
          <w:color w:val="FF0000"/>
        </w:rPr>
        <w:t>size</w:t>
      </w:r>
      <w:r w:rsidRPr="002245D3">
        <w:rPr>
          <w:rFonts w:cstheme="minorHAnsi"/>
          <w:bCs/>
          <w:color w:val="FF0000"/>
        </w:rPr>
        <w:t>. We have applied this restriction to all the reliability and validity testing reported here.</w:t>
      </w:r>
    </w:p>
    <w:p w14:paraId="406D0C34" w14:textId="77777777" w:rsidR="009D1CA3" w:rsidRDefault="009D1CA3" w:rsidP="00DB3627">
      <w:pPr>
        <w:autoSpaceDE w:val="0"/>
        <w:autoSpaceDN w:val="0"/>
        <w:adjustRightInd w:val="0"/>
        <w:spacing w:after="0" w:line="240" w:lineRule="auto"/>
        <w:rPr>
          <w:rFonts w:cstheme="minorHAnsi"/>
          <w:bCs/>
          <w:color w:val="0000FF"/>
        </w:rPr>
      </w:pPr>
    </w:p>
    <w:p w14:paraId="20DFF74E" w14:textId="77777777" w:rsidR="008A11C0" w:rsidRPr="00A25024" w:rsidRDefault="008A11C0" w:rsidP="00DB3627">
      <w:pPr>
        <w:autoSpaceDE w:val="0"/>
        <w:autoSpaceDN w:val="0"/>
        <w:adjustRightInd w:val="0"/>
        <w:spacing w:after="0" w:line="240" w:lineRule="auto"/>
        <w:rPr>
          <w:rFonts w:cstheme="minorHAnsi"/>
          <w:bCs/>
        </w:rPr>
      </w:pPr>
    </w:p>
    <w:p w14:paraId="76EE978D" w14:textId="77777777" w:rsidR="00255D0C" w:rsidRDefault="002B5016" w:rsidP="00DB3627">
      <w:pPr>
        <w:autoSpaceDE w:val="0"/>
        <w:autoSpaceDN w:val="0"/>
        <w:adjustRightInd w:val="0"/>
        <w:spacing w:after="0" w:line="240" w:lineRule="auto"/>
        <w:rPr>
          <w:rFonts w:cstheme="minorHAnsi"/>
          <w:bCs/>
        </w:rPr>
      </w:pPr>
      <w:r w:rsidRPr="009C23FB">
        <w:rPr>
          <w:rFonts w:cstheme="minorHAnsi"/>
          <w:b/>
          <w:bCs/>
          <w:highlight w:val="green"/>
        </w:rPr>
        <w:t>1.</w:t>
      </w:r>
      <w:r w:rsidR="00E310B9" w:rsidRPr="009C23FB">
        <w:rPr>
          <w:rFonts w:cstheme="minorHAnsi"/>
          <w:b/>
          <w:bCs/>
          <w:highlight w:val="green"/>
        </w:rPr>
        <w:t xml:space="preserve">6. </w:t>
      </w:r>
      <w:r w:rsidR="007422FD" w:rsidRPr="009C23FB">
        <w:rPr>
          <w:rFonts w:cstheme="minorHAnsi"/>
          <w:b/>
          <w:bCs/>
          <w:highlight w:val="green"/>
        </w:rPr>
        <w:t xml:space="preserve">How many and which </w:t>
      </w:r>
      <w:r w:rsidR="007422FD" w:rsidRPr="009C23FB">
        <w:rPr>
          <w:rFonts w:cstheme="minorHAnsi"/>
          <w:b/>
          <w:bCs/>
          <w:highlight w:val="green"/>
          <w:u w:val="single"/>
        </w:rPr>
        <w:t>patients</w:t>
      </w:r>
      <w:r w:rsidR="007422FD" w:rsidRPr="009C23FB">
        <w:rPr>
          <w:rFonts w:cstheme="minorHAnsi"/>
          <w:b/>
          <w:bCs/>
          <w:highlight w:val="green"/>
        </w:rPr>
        <w:t xml:space="preserve"> were included in the testing and analysis</w:t>
      </w:r>
      <w:r w:rsidR="00AA65A6" w:rsidRPr="009C23FB">
        <w:rPr>
          <w:rFonts w:cstheme="minorHAnsi"/>
          <w:b/>
          <w:bCs/>
          <w:highlight w:val="green"/>
        </w:rPr>
        <w:t xml:space="preserve"> </w:t>
      </w:r>
      <w:r w:rsidR="00616EB5" w:rsidRPr="009C23FB">
        <w:rPr>
          <w:rFonts w:cstheme="minorHAnsi"/>
          <w:b/>
          <w:bCs/>
          <w:highlight w:val="green"/>
        </w:rPr>
        <w:t>(</w:t>
      </w:r>
      <w:r w:rsidR="00AA65A6" w:rsidRPr="009C23FB">
        <w:rPr>
          <w:rFonts w:cstheme="minorHAnsi"/>
          <w:b/>
          <w:bCs/>
          <w:highlight w:val="green"/>
        </w:rPr>
        <w:t>by level of analysis and data source</w:t>
      </w:r>
      <w:r w:rsidR="00616EB5" w:rsidRPr="009C23FB">
        <w:rPr>
          <w:rFonts w:cstheme="minorHAnsi"/>
          <w:b/>
          <w:bCs/>
          <w:highlight w:val="green"/>
        </w:rPr>
        <w:t>)</w:t>
      </w:r>
      <w:r w:rsidR="007422FD" w:rsidRPr="009C23FB">
        <w:rPr>
          <w:rFonts w:cstheme="minorHAnsi"/>
          <w:bCs/>
          <w:highlight w:val="green"/>
        </w:rPr>
        <w:t>?</w:t>
      </w:r>
      <w:r w:rsidR="007422FD" w:rsidRPr="00A25024">
        <w:rPr>
          <w:rFonts w:cstheme="minorHAnsi"/>
          <w:bCs/>
        </w:rPr>
        <w:t xml:space="preserve">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CF8864B" w14:textId="77777777" w:rsidR="00255D0C" w:rsidRDefault="00255D0C" w:rsidP="00DB3627">
      <w:pPr>
        <w:autoSpaceDE w:val="0"/>
        <w:autoSpaceDN w:val="0"/>
        <w:adjustRightInd w:val="0"/>
        <w:spacing w:after="0" w:line="240" w:lineRule="auto"/>
        <w:rPr>
          <w:rFonts w:cstheme="minorHAnsi"/>
          <w:bCs/>
        </w:rPr>
      </w:pPr>
    </w:p>
    <w:p w14:paraId="6DF091AC" w14:textId="0DE0B0A8" w:rsidR="008A11C0" w:rsidRPr="00121CDF" w:rsidRDefault="008A11C0" w:rsidP="008A11C0">
      <w:pPr>
        <w:autoSpaceDE w:val="0"/>
        <w:autoSpaceDN w:val="0"/>
        <w:adjustRightInd w:val="0"/>
        <w:spacing w:after="0" w:line="240" w:lineRule="auto"/>
        <w:rPr>
          <w:rFonts w:cstheme="minorHAnsi"/>
          <w:bCs/>
        </w:rPr>
      </w:pPr>
      <w:r w:rsidRPr="00121CDF">
        <w:rPr>
          <w:rFonts w:cstheme="minorHAnsi"/>
          <w:bCs/>
        </w:rPr>
        <w:t>There were a total of 482,979 eligible patients. Among those patients, the average age was 62 years, 56% of patients were male, 57% were white, 35% were black, 5% were Asian/Pacific Islander, 18% were Hispanic, and 45% had type II diabetes as the primary cause of ESRD.</w:t>
      </w:r>
    </w:p>
    <w:p w14:paraId="411178B5" w14:textId="49060701" w:rsidR="008A11C0" w:rsidRPr="00121CDF" w:rsidRDefault="008A11C0" w:rsidP="008A11C0">
      <w:pPr>
        <w:autoSpaceDE w:val="0"/>
        <w:autoSpaceDN w:val="0"/>
        <w:adjustRightInd w:val="0"/>
        <w:spacing w:after="0" w:line="240" w:lineRule="auto"/>
        <w:rPr>
          <w:rFonts w:cstheme="minorHAnsi"/>
          <w:bCs/>
        </w:rPr>
      </w:pPr>
    </w:p>
    <w:p w14:paraId="0CABCFC9" w14:textId="074363C3" w:rsidR="007422FD" w:rsidRPr="006E7435" w:rsidRDefault="008A11C0" w:rsidP="008A11C0">
      <w:pPr>
        <w:autoSpaceDE w:val="0"/>
        <w:autoSpaceDN w:val="0"/>
        <w:adjustRightInd w:val="0"/>
        <w:spacing w:after="0" w:line="240" w:lineRule="auto"/>
        <w:rPr>
          <w:rFonts w:cstheme="minorHAnsi"/>
          <w:bCs/>
          <w:color w:val="FF0000"/>
        </w:rPr>
      </w:pPr>
      <w:r w:rsidRPr="00121CDF">
        <w:rPr>
          <w:rFonts w:cstheme="minorHAnsi"/>
          <w:bCs/>
        </w:rPr>
        <w:t>A subset of 482,444 eligible patients who belonged to the facilities that had at least 11 eligible patients were included in the testing and analyses.</w:t>
      </w:r>
      <w:r w:rsidR="007422FD" w:rsidRPr="00A25024">
        <w:rPr>
          <w:rFonts w:cstheme="minorHAnsi"/>
          <w:bCs/>
        </w:rPr>
        <w:br/>
      </w:r>
    </w:p>
    <w:p w14:paraId="0A01C741" w14:textId="26CF337D" w:rsidR="009D1CA3" w:rsidRPr="006E7435" w:rsidRDefault="009D1CA3" w:rsidP="009D1CA3">
      <w:pPr>
        <w:autoSpaceDE w:val="0"/>
        <w:autoSpaceDN w:val="0"/>
        <w:adjustRightInd w:val="0"/>
        <w:spacing w:after="0" w:line="240" w:lineRule="auto"/>
        <w:rPr>
          <w:rFonts w:cstheme="minorHAnsi"/>
          <w:bCs/>
          <w:color w:val="FF0000"/>
        </w:rPr>
      </w:pPr>
      <w:r>
        <w:rPr>
          <w:rFonts w:cstheme="minorHAnsi"/>
          <w:bCs/>
          <w:color w:val="FF0000"/>
        </w:rPr>
        <w:t xml:space="preserve">For the Spring 2019 Maintenance submission, </w:t>
      </w:r>
      <w:r w:rsidRPr="006E7435">
        <w:rPr>
          <w:rFonts w:cstheme="minorHAnsi"/>
          <w:bCs/>
          <w:color w:val="FF0000"/>
        </w:rPr>
        <w:t>a total of 592,121 eligible patients</w:t>
      </w:r>
      <w:r w:rsidRPr="006E7435">
        <w:rPr>
          <w:color w:val="FF0000"/>
        </w:rPr>
        <w:t xml:space="preserve"> </w:t>
      </w:r>
      <w:r w:rsidRPr="006E7435">
        <w:rPr>
          <w:rFonts w:cstheme="minorHAnsi"/>
          <w:bCs/>
          <w:color w:val="FF0000"/>
        </w:rPr>
        <w:t>who belonged to the facilities that had at least 11 eligible patients were included in the testing and analyses. Among those patients, the average age was 63 years, 57% of patients were male, 59% were white, 33% were black, 6% were Asian/Pacific Islander, 18% were Hispanic, and 46% had type II diabetes as the primary cause of ESRD.</w:t>
      </w:r>
    </w:p>
    <w:p w14:paraId="3F56EA36" w14:textId="77777777" w:rsidR="009D1CA3" w:rsidRDefault="009D1CA3" w:rsidP="008A11C0">
      <w:pPr>
        <w:autoSpaceDE w:val="0"/>
        <w:autoSpaceDN w:val="0"/>
        <w:adjustRightInd w:val="0"/>
        <w:spacing w:after="0" w:line="240" w:lineRule="auto"/>
        <w:rPr>
          <w:rFonts w:cstheme="minorHAnsi"/>
          <w:bCs/>
        </w:rPr>
      </w:pPr>
    </w:p>
    <w:p w14:paraId="0CABCFCA" w14:textId="60E7A926"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3250EF4C" w14:textId="76EC2A80" w:rsidR="00255D0C" w:rsidRDefault="00255D0C" w:rsidP="00E37E1B">
      <w:pPr>
        <w:autoSpaceDE w:val="0"/>
        <w:autoSpaceDN w:val="0"/>
        <w:adjustRightInd w:val="0"/>
        <w:spacing w:after="0" w:line="240" w:lineRule="auto"/>
        <w:rPr>
          <w:rFonts w:cstheme="minorHAnsi"/>
          <w:bCs/>
        </w:rPr>
      </w:pPr>
    </w:p>
    <w:p w14:paraId="5D276743" w14:textId="4BCF5C09" w:rsidR="00255D0C" w:rsidRPr="00121CDF" w:rsidRDefault="00255D0C" w:rsidP="00E37E1B">
      <w:pPr>
        <w:autoSpaceDE w:val="0"/>
        <w:autoSpaceDN w:val="0"/>
        <w:adjustRightInd w:val="0"/>
        <w:spacing w:after="0" w:line="240" w:lineRule="auto"/>
        <w:rPr>
          <w:rFonts w:cstheme="minorHAnsi"/>
          <w:bCs/>
        </w:rPr>
      </w:pPr>
      <w:r w:rsidRPr="00121CDF">
        <w:rPr>
          <w:rFonts w:cstheme="minorHAnsi"/>
          <w:bCs/>
        </w:rPr>
        <w:t>N/A</w:t>
      </w:r>
    </w:p>
    <w:p w14:paraId="0CABCFCB" w14:textId="77777777" w:rsidR="00E37E1B" w:rsidRDefault="00E37E1B" w:rsidP="00E37E1B">
      <w:pPr>
        <w:autoSpaceDE w:val="0"/>
        <w:autoSpaceDN w:val="0"/>
        <w:adjustRightInd w:val="0"/>
        <w:spacing w:after="0" w:line="240" w:lineRule="auto"/>
        <w:rPr>
          <w:rFonts w:cstheme="minorHAnsi"/>
          <w:bCs/>
        </w:rPr>
      </w:pPr>
    </w:p>
    <w:p w14:paraId="0CABCFCC" w14:textId="1EA5FC89"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60D5E8F6" w14:textId="5A6EA615" w:rsidR="0056102A" w:rsidRDefault="0056102A" w:rsidP="00E37E1B">
      <w:pPr>
        <w:autoSpaceDE w:val="0"/>
        <w:autoSpaceDN w:val="0"/>
        <w:adjustRightInd w:val="0"/>
        <w:spacing w:after="0" w:line="240" w:lineRule="auto"/>
        <w:rPr>
          <w:rFonts w:cstheme="minorHAnsi"/>
          <w:bCs/>
        </w:rPr>
      </w:pPr>
    </w:p>
    <w:p w14:paraId="78A6BD97" w14:textId="77777777" w:rsidR="0056102A" w:rsidRPr="00121CDF" w:rsidRDefault="0056102A" w:rsidP="0056102A">
      <w:pPr>
        <w:autoSpaceDE w:val="0"/>
        <w:autoSpaceDN w:val="0"/>
        <w:adjustRightInd w:val="0"/>
        <w:spacing w:after="0" w:line="240" w:lineRule="auto"/>
        <w:rPr>
          <w:rFonts w:cstheme="minorHAnsi"/>
          <w:bCs/>
        </w:rPr>
      </w:pPr>
      <w:r w:rsidRPr="00121CDF">
        <w:rPr>
          <w:rFonts w:cstheme="minorHAnsi"/>
          <w:bCs/>
        </w:rPr>
        <w:t>N/A</w:t>
      </w:r>
    </w:p>
    <w:p w14:paraId="61E66871" w14:textId="77777777" w:rsidR="0056102A" w:rsidRDefault="0056102A" w:rsidP="00E37E1B">
      <w:pPr>
        <w:autoSpaceDE w:val="0"/>
        <w:autoSpaceDN w:val="0"/>
        <w:adjustRightInd w:val="0"/>
        <w:spacing w:after="0" w:line="240" w:lineRule="auto"/>
        <w:rPr>
          <w:rFonts w:cstheme="minorHAnsi"/>
          <w:bCs/>
        </w:rPr>
      </w:pPr>
    </w:p>
    <w:p w14:paraId="0CABCFCD" w14:textId="42CDDADE"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0F92487B"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56102A">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sidRPr="009C23FB">
        <w:rPr>
          <w:rFonts w:cstheme="minorHAnsi"/>
          <w:b/>
          <w:bCs/>
          <w:highlight w:val="green"/>
        </w:rPr>
        <w:t xml:space="preserve">2a2.2. </w:t>
      </w:r>
      <w:r w:rsidR="008C54A9" w:rsidRPr="009C23FB">
        <w:rPr>
          <w:rFonts w:cstheme="minorHAnsi"/>
          <w:b/>
          <w:bCs/>
          <w:highlight w:val="green"/>
        </w:rPr>
        <w:t xml:space="preserve">For each level checked above, describe the method of </w:t>
      </w:r>
      <w:r w:rsidR="000968F8" w:rsidRPr="009C23FB">
        <w:rPr>
          <w:rFonts w:cstheme="minorHAnsi"/>
          <w:b/>
          <w:bCs/>
          <w:highlight w:val="green"/>
        </w:rPr>
        <w:t xml:space="preserve">reliability </w:t>
      </w:r>
      <w:r w:rsidR="008C54A9" w:rsidRPr="009C23FB">
        <w:rPr>
          <w:rFonts w:cstheme="minorHAnsi"/>
          <w:b/>
          <w:bCs/>
          <w:highlight w:val="green"/>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0CABCFD2" w14:textId="46CA9ED5" w:rsidR="008C54A9" w:rsidRDefault="008C54A9" w:rsidP="008C54A9">
      <w:pPr>
        <w:autoSpaceDE w:val="0"/>
        <w:autoSpaceDN w:val="0"/>
        <w:adjustRightInd w:val="0"/>
        <w:spacing w:after="0" w:line="240" w:lineRule="auto"/>
        <w:rPr>
          <w:rFonts w:cstheme="minorHAnsi"/>
          <w:bCs/>
        </w:rPr>
      </w:pPr>
    </w:p>
    <w:p w14:paraId="0008A521" w14:textId="539854C5"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 xml:space="preserve">We used January 2013 – December 2013 CROWNWeb data to calculate facility level monthly and annual performance scores. 5,880 facilities that had at least 11 eligible patients were included in the testing. This included a total of 482,444 patients. </w:t>
      </w:r>
    </w:p>
    <w:p w14:paraId="66B38C1F" w14:textId="77777777" w:rsidR="008A11C0" w:rsidRPr="006E0BC1" w:rsidRDefault="008A11C0" w:rsidP="008A11C0">
      <w:pPr>
        <w:autoSpaceDE w:val="0"/>
        <w:autoSpaceDN w:val="0"/>
        <w:adjustRightInd w:val="0"/>
        <w:spacing w:after="0" w:line="240" w:lineRule="auto"/>
        <w:rPr>
          <w:rFonts w:cstheme="minorHAnsi"/>
          <w:bCs/>
        </w:rPr>
      </w:pPr>
    </w:p>
    <w:p w14:paraId="111376C1" w14:textId="0769E7C5"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We assessed reliability by calculating facility-level Pearson correlation coefficients between the current performance month and the preceding month for reporting months during January 2013 – December 2013.</w:t>
      </w:r>
    </w:p>
    <w:p w14:paraId="32BF8409" w14:textId="77777777" w:rsidR="008A11C0" w:rsidRPr="006E0BC1" w:rsidRDefault="008A11C0" w:rsidP="008A11C0">
      <w:pPr>
        <w:autoSpaceDE w:val="0"/>
        <w:autoSpaceDN w:val="0"/>
        <w:adjustRightInd w:val="0"/>
        <w:spacing w:after="0" w:line="240" w:lineRule="auto"/>
        <w:rPr>
          <w:rFonts w:cstheme="minorHAnsi"/>
          <w:bCs/>
        </w:rPr>
      </w:pPr>
    </w:p>
    <w:p w14:paraId="78391067" w14:textId="2C97E426" w:rsidR="008A11C0" w:rsidRPr="006E7435" w:rsidRDefault="008A11C0" w:rsidP="008A11C0">
      <w:pPr>
        <w:autoSpaceDE w:val="0"/>
        <w:autoSpaceDN w:val="0"/>
        <w:adjustRightInd w:val="0"/>
        <w:spacing w:after="0" w:line="240" w:lineRule="auto"/>
        <w:rPr>
          <w:rFonts w:cstheme="minorHAnsi"/>
          <w:bCs/>
          <w:color w:val="FF0000"/>
        </w:rPr>
      </w:pPr>
      <w:r w:rsidRPr="006E0BC1">
        <w:rPr>
          <w:rFonts w:cstheme="minorHAnsi"/>
          <w:bCs/>
        </w:rPr>
        <w:t>In addition, we calculated inter-unit reliability (IUR) for each reporting month and the overall 12 months. The monthly based measure was a simple average across individuals in the facility.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measure, however, is not a simple average and we instead estimate the IUR using a bootstrap approach, which uses a resampling scheme to estimate the within facility variation that cannot be directly estimated by ANOVA.</w:t>
      </w:r>
    </w:p>
    <w:p w14:paraId="5A184C76" w14:textId="0F373F2F" w:rsidR="009D1CA3" w:rsidRPr="006E7435" w:rsidRDefault="009D1CA3" w:rsidP="008A11C0">
      <w:pPr>
        <w:autoSpaceDE w:val="0"/>
        <w:autoSpaceDN w:val="0"/>
        <w:adjustRightInd w:val="0"/>
        <w:spacing w:after="0" w:line="240" w:lineRule="auto"/>
        <w:rPr>
          <w:rFonts w:cstheme="minorHAnsi"/>
          <w:bCs/>
          <w:color w:val="FF0000"/>
        </w:rPr>
      </w:pPr>
    </w:p>
    <w:p w14:paraId="557FAD50" w14:textId="241F6849" w:rsidR="009D1CA3" w:rsidRPr="006E7435" w:rsidRDefault="009D1CA3" w:rsidP="008A11C0">
      <w:pPr>
        <w:autoSpaceDE w:val="0"/>
        <w:autoSpaceDN w:val="0"/>
        <w:adjustRightInd w:val="0"/>
        <w:spacing w:after="0" w:line="240" w:lineRule="auto"/>
        <w:rPr>
          <w:rFonts w:cstheme="minorHAnsi"/>
          <w:bCs/>
          <w:color w:val="FF0000"/>
        </w:rPr>
      </w:pPr>
      <w:r w:rsidRPr="006E7435">
        <w:rPr>
          <w:rFonts w:cstheme="minorHAnsi"/>
          <w:bCs/>
          <w:color w:val="FF0000"/>
        </w:rPr>
        <w:t>For the Spring 2019 Maintenance submission, we followed the methodology described above to reproduce the inter-unit reliability</w:t>
      </w:r>
      <w:r w:rsidR="000E024D">
        <w:rPr>
          <w:rFonts w:cstheme="minorHAnsi"/>
          <w:bCs/>
          <w:color w:val="FF0000"/>
        </w:rPr>
        <w:t xml:space="preserve"> calculation</w:t>
      </w:r>
      <w:r w:rsidR="00150C5D">
        <w:rPr>
          <w:rFonts w:cstheme="minorHAnsi"/>
          <w:bCs/>
          <w:color w:val="FF0000"/>
        </w:rPr>
        <w:t xml:space="preserve"> and P</w:t>
      </w:r>
      <w:r w:rsidR="00121CDF">
        <w:rPr>
          <w:rFonts w:cstheme="minorHAnsi"/>
          <w:bCs/>
          <w:color w:val="FF0000"/>
        </w:rPr>
        <w:t>earson correlation coefficients</w:t>
      </w:r>
      <w:r w:rsidRPr="006E7435">
        <w:rPr>
          <w:rFonts w:cstheme="minorHAnsi"/>
          <w:bCs/>
          <w:color w:val="FF0000"/>
        </w:rPr>
        <w:t xml:space="preserve">. </w:t>
      </w:r>
    </w:p>
    <w:p w14:paraId="63F96490" w14:textId="635DAF69" w:rsidR="009D1CA3" w:rsidRPr="006E7435" w:rsidRDefault="009D1CA3" w:rsidP="008A11C0">
      <w:pPr>
        <w:autoSpaceDE w:val="0"/>
        <w:autoSpaceDN w:val="0"/>
        <w:adjustRightInd w:val="0"/>
        <w:spacing w:after="0" w:line="240" w:lineRule="auto"/>
        <w:rPr>
          <w:rFonts w:cstheme="minorHAnsi"/>
          <w:bCs/>
          <w:color w:val="FF0000"/>
        </w:rPr>
      </w:pPr>
    </w:p>
    <w:p w14:paraId="1979EBEB" w14:textId="77777777" w:rsidR="009D1CA3" w:rsidRPr="006E7435" w:rsidRDefault="009D1CA3" w:rsidP="009D1CA3">
      <w:pPr>
        <w:autoSpaceDE w:val="0"/>
        <w:autoSpaceDN w:val="0"/>
        <w:adjustRightInd w:val="0"/>
        <w:spacing w:after="0" w:line="240" w:lineRule="auto"/>
        <w:rPr>
          <w:rFonts w:cstheme="minorHAnsi"/>
          <w:bCs/>
          <w:color w:val="FF0000"/>
        </w:rPr>
      </w:pPr>
      <w:r w:rsidRPr="006E7435">
        <w:rPr>
          <w:rFonts w:cstheme="minorHAnsi"/>
          <w:bCs/>
          <w:color w:val="FF0000"/>
        </w:rPr>
        <w:t xml:space="preserve">We used January 2017 – December 2017 CROWNWeb data to calculate facility level monthly and annual performance scores. 6,824 facilities that had at least 11 eligible patients were included in the testing. This included a total of 592,121 patients. </w:t>
      </w:r>
    </w:p>
    <w:p w14:paraId="755C56E2" w14:textId="77777777" w:rsidR="009D1CA3" w:rsidRPr="006E7435" w:rsidRDefault="009D1CA3" w:rsidP="009D1CA3">
      <w:pPr>
        <w:autoSpaceDE w:val="0"/>
        <w:autoSpaceDN w:val="0"/>
        <w:adjustRightInd w:val="0"/>
        <w:spacing w:after="0" w:line="240" w:lineRule="auto"/>
        <w:rPr>
          <w:rFonts w:cstheme="minorHAnsi"/>
          <w:bCs/>
          <w:color w:val="FF0000"/>
        </w:rPr>
      </w:pPr>
    </w:p>
    <w:p w14:paraId="727E0500" w14:textId="77777777" w:rsidR="009D1CA3" w:rsidRPr="006E7435" w:rsidRDefault="009D1CA3" w:rsidP="009D1CA3">
      <w:pPr>
        <w:autoSpaceDE w:val="0"/>
        <w:autoSpaceDN w:val="0"/>
        <w:adjustRightInd w:val="0"/>
        <w:spacing w:after="0" w:line="240" w:lineRule="auto"/>
        <w:rPr>
          <w:rFonts w:cstheme="minorHAnsi"/>
          <w:bCs/>
          <w:color w:val="FF0000"/>
        </w:rPr>
      </w:pPr>
      <w:r w:rsidRPr="006E7435">
        <w:rPr>
          <w:rFonts w:cstheme="minorHAnsi"/>
          <w:bCs/>
          <w:color w:val="FF0000"/>
        </w:rPr>
        <w:t>We assessed reliability by calculating facility-level Pearson correlation coefficients between the current performance month and the preceding month for reporting months during January 2017 – December 2017.</w:t>
      </w:r>
    </w:p>
    <w:p w14:paraId="1C1F41DD" w14:textId="77777777" w:rsidR="009D1CA3" w:rsidRDefault="009D1CA3" w:rsidP="008A11C0">
      <w:pPr>
        <w:autoSpaceDE w:val="0"/>
        <w:autoSpaceDN w:val="0"/>
        <w:adjustRightInd w:val="0"/>
        <w:spacing w:after="0" w:line="240" w:lineRule="auto"/>
        <w:rPr>
          <w:rFonts w:cstheme="minorHAnsi"/>
          <w:bCs/>
        </w:rPr>
      </w:pPr>
    </w:p>
    <w:p w14:paraId="1A7EA850" w14:textId="77777777" w:rsidR="008A11C0" w:rsidRPr="00A25024" w:rsidRDefault="008A11C0" w:rsidP="008A11C0">
      <w:pPr>
        <w:autoSpaceDE w:val="0"/>
        <w:autoSpaceDN w:val="0"/>
        <w:adjustRightInd w:val="0"/>
        <w:spacing w:after="0" w:line="240" w:lineRule="auto"/>
        <w:rPr>
          <w:rFonts w:cstheme="minorHAnsi"/>
          <w:bCs/>
        </w:rPr>
      </w:pPr>
    </w:p>
    <w:p w14:paraId="0563BD25" w14:textId="77777777" w:rsidR="0056102A" w:rsidRDefault="00092566" w:rsidP="008C54A9">
      <w:pPr>
        <w:autoSpaceDE w:val="0"/>
        <w:autoSpaceDN w:val="0"/>
        <w:adjustRightInd w:val="0"/>
        <w:spacing w:after="0" w:line="240" w:lineRule="auto"/>
        <w:rPr>
          <w:rFonts w:cstheme="minorHAnsi"/>
          <w:bCs/>
        </w:rPr>
      </w:pPr>
      <w:r w:rsidRPr="009C23FB">
        <w:rPr>
          <w:rFonts w:cstheme="minorHAnsi"/>
          <w:b/>
          <w:bCs/>
          <w:highlight w:val="green"/>
        </w:rPr>
        <w:t>2a2.</w:t>
      </w:r>
      <w:r w:rsidR="008C54A9" w:rsidRPr="009C23FB">
        <w:rPr>
          <w:rFonts w:cstheme="minorHAnsi"/>
          <w:b/>
          <w:bCs/>
          <w:highlight w:val="green"/>
        </w:rPr>
        <w:t xml:space="preserve">3. For each level </w:t>
      </w:r>
      <w:r w:rsidR="008F7E67" w:rsidRPr="009C23FB">
        <w:rPr>
          <w:rFonts w:cstheme="minorHAnsi"/>
          <w:b/>
          <w:bCs/>
          <w:highlight w:val="green"/>
        </w:rPr>
        <w:t xml:space="preserve">of testing </w:t>
      </w:r>
      <w:r w:rsidR="008C54A9" w:rsidRPr="009C23FB">
        <w:rPr>
          <w:rFonts w:cstheme="minorHAnsi"/>
          <w:b/>
          <w:bCs/>
          <w:highlight w:val="green"/>
        </w:rPr>
        <w:t>checked above, w</w:t>
      </w:r>
      <w:r w:rsidR="00900DBF" w:rsidRPr="009C23FB">
        <w:rPr>
          <w:rFonts w:cstheme="minorHAnsi"/>
          <w:b/>
          <w:bCs/>
          <w:highlight w:val="green"/>
        </w:rPr>
        <w:t>hat were the statistical results</w:t>
      </w:r>
      <w:r w:rsidR="007422FD" w:rsidRPr="009C23FB">
        <w:rPr>
          <w:rFonts w:cstheme="minorHAnsi"/>
          <w:b/>
          <w:bCs/>
          <w:highlight w:val="green"/>
        </w:rPr>
        <w:t xml:space="preserve"> from reliability testing</w:t>
      </w:r>
      <w:r w:rsidR="00900DBF" w:rsidRPr="009C23FB">
        <w:rPr>
          <w:rFonts w:cstheme="minorHAnsi"/>
          <w:bCs/>
          <w:highlight w:val="green"/>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5663A3C" w14:textId="77777777" w:rsidR="0056102A" w:rsidRDefault="0056102A" w:rsidP="0056102A">
      <w:pPr>
        <w:autoSpaceDE w:val="0"/>
        <w:autoSpaceDN w:val="0"/>
        <w:adjustRightInd w:val="0"/>
        <w:spacing w:after="0" w:line="240" w:lineRule="auto"/>
        <w:rPr>
          <w:rFonts w:cstheme="minorHAnsi"/>
          <w:bCs/>
        </w:rPr>
      </w:pPr>
    </w:p>
    <w:p w14:paraId="2F2FCA32" w14:textId="77777777"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 xml:space="preserve">               </w:t>
      </w:r>
    </w:p>
    <w:p w14:paraId="247EF31C" w14:textId="77777777" w:rsidR="00121CDF" w:rsidRPr="006E0BC1" w:rsidRDefault="00121CDF" w:rsidP="00121CDF">
      <w:pPr>
        <w:autoSpaceDE w:val="0"/>
        <w:autoSpaceDN w:val="0"/>
        <w:adjustRightInd w:val="0"/>
        <w:spacing w:after="0" w:line="240" w:lineRule="auto"/>
        <w:rPr>
          <w:rFonts w:cstheme="minorHAnsi"/>
          <w:bCs/>
        </w:rPr>
      </w:pPr>
      <w:r w:rsidRPr="006E0BC1">
        <w:rPr>
          <w:rFonts w:cstheme="minorHAnsi"/>
          <w:bCs/>
        </w:rPr>
        <w:t xml:space="preserve">The Pearson correlation coefficients of each pair of the current and the preceding month ranged from   </w:t>
      </w:r>
    </w:p>
    <w:p w14:paraId="354137BD" w14:textId="77777777" w:rsidR="00121CDF" w:rsidRPr="006E0BC1" w:rsidRDefault="00121CDF" w:rsidP="00121CDF">
      <w:pPr>
        <w:autoSpaceDE w:val="0"/>
        <w:autoSpaceDN w:val="0"/>
        <w:adjustRightInd w:val="0"/>
        <w:spacing w:after="0" w:line="240" w:lineRule="auto"/>
        <w:rPr>
          <w:rFonts w:cstheme="minorHAnsi"/>
          <w:bCs/>
        </w:rPr>
      </w:pPr>
      <w:r w:rsidRPr="006E0BC1">
        <w:rPr>
          <w:rFonts w:cstheme="minorHAnsi"/>
          <w:bCs/>
        </w:rPr>
        <w:t xml:space="preserve">0.78 to 0.84. All were statistically significant (p&lt;0.0001), indicating this measure is reliable over </w:t>
      </w:r>
    </w:p>
    <w:p w14:paraId="22041AD7" w14:textId="77777777" w:rsidR="00121CDF" w:rsidRPr="006E0BC1" w:rsidRDefault="00121CDF" w:rsidP="00121CDF">
      <w:pPr>
        <w:autoSpaceDE w:val="0"/>
        <w:autoSpaceDN w:val="0"/>
        <w:adjustRightInd w:val="0"/>
        <w:spacing w:after="0" w:line="240" w:lineRule="auto"/>
        <w:rPr>
          <w:rFonts w:cstheme="minorHAnsi"/>
          <w:bCs/>
        </w:rPr>
      </w:pPr>
      <w:r w:rsidRPr="006E0BC1">
        <w:rPr>
          <w:rFonts w:cstheme="minorHAnsi"/>
          <w:bCs/>
        </w:rPr>
        <w:t xml:space="preserve">time. </w:t>
      </w:r>
    </w:p>
    <w:p w14:paraId="12866108" w14:textId="77777777" w:rsidR="00121CDF" w:rsidRPr="006E0BC1" w:rsidRDefault="00121CDF" w:rsidP="00121CDF">
      <w:pPr>
        <w:autoSpaceDE w:val="0"/>
        <w:autoSpaceDN w:val="0"/>
        <w:adjustRightInd w:val="0"/>
        <w:spacing w:after="0" w:line="240" w:lineRule="auto"/>
        <w:rPr>
          <w:rFonts w:cstheme="minorHAnsi"/>
          <w:bCs/>
        </w:rPr>
      </w:pPr>
      <w:r w:rsidRPr="006E0BC1">
        <w:rPr>
          <w:rFonts w:cstheme="minorHAnsi"/>
          <w:bCs/>
        </w:rPr>
        <w:t xml:space="preserve">               </w:t>
      </w:r>
    </w:p>
    <w:p w14:paraId="576CBE0C" w14:textId="32D417E2"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 xml:space="preserve">The monthly IURs ranged from 0.61 to 0.66, which indicates that more than half of the variation in the   </w:t>
      </w:r>
    </w:p>
    <w:p w14:paraId="01C3C30E" w14:textId="77777777"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 xml:space="preserve">monthly based measure can be attributed to the between facility differences and less than half to within </w:t>
      </w:r>
    </w:p>
    <w:p w14:paraId="4E1EAAC1" w14:textId="43FFE0FC" w:rsidR="008A11C0" w:rsidRDefault="008A11C0" w:rsidP="008A11C0">
      <w:pPr>
        <w:autoSpaceDE w:val="0"/>
        <w:autoSpaceDN w:val="0"/>
        <w:adjustRightInd w:val="0"/>
        <w:spacing w:after="0" w:line="240" w:lineRule="auto"/>
        <w:rPr>
          <w:rFonts w:cstheme="minorHAnsi"/>
          <w:bCs/>
        </w:rPr>
      </w:pPr>
      <w:r w:rsidRPr="006E0BC1">
        <w:rPr>
          <w:rFonts w:cstheme="minorHAnsi"/>
          <w:bCs/>
        </w:rPr>
        <w:t>facility variation. The annual IUR across the 12 reporting months was 0.86, which indicates that 86% of the variation in the yearly based measure can be attributed to the between facility variation.</w:t>
      </w:r>
    </w:p>
    <w:p w14:paraId="0DD6D3D4" w14:textId="1ABB2739" w:rsidR="00121CDF" w:rsidRDefault="0048008A" w:rsidP="000E024D">
      <w:pPr>
        <w:autoSpaceDE w:val="0"/>
        <w:autoSpaceDN w:val="0"/>
        <w:adjustRightInd w:val="0"/>
        <w:spacing w:after="0" w:line="240" w:lineRule="auto"/>
        <w:rPr>
          <w:rFonts w:cstheme="minorHAnsi"/>
          <w:bCs/>
          <w:color w:val="FF0000"/>
        </w:rPr>
      </w:pPr>
      <w:r w:rsidRPr="00A25024">
        <w:rPr>
          <w:rFonts w:cstheme="minorHAnsi"/>
          <w:bCs/>
        </w:rPr>
        <w:br/>
      </w:r>
      <w:r w:rsidR="000E024D" w:rsidRPr="00121CDF">
        <w:rPr>
          <w:rFonts w:cstheme="minorHAnsi"/>
          <w:bCs/>
          <w:color w:val="FF0000"/>
        </w:rPr>
        <w:t xml:space="preserve">For the Spring 2019 Maintenance submission, </w:t>
      </w:r>
      <w:r w:rsidR="000C4C40">
        <w:rPr>
          <w:rFonts w:cstheme="minorHAnsi"/>
          <w:bCs/>
          <w:color w:val="FF0000"/>
        </w:rPr>
        <w:t>t</w:t>
      </w:r>
      <w:r w:rsidR="00121CDF" w:rsidRPr="00121CDF">
        <w:rPr>
          <w:rFonts w:cstheme="minorHAnsi"/>
          <w:bCs/>
          <w:color w:val="FF0000"/>
        </w:rPr>
        <w:t xml:space="preserve">he </w:t>
      </w:r>
      <w:r w:rsidR="00430F67">
        <w:rPr>
          <w:rFonts w:cstheme="minorHAnsi"/>
          <w:bCs/>
          <w:color w:val="FF0000"/>
        </w:rPr>
        <w:t>P</w:t>
      </w:r>
      <w:r w:rsidR="00121CDF" w:rsidRPr="00121CDF">
        <w:rPr>
          <w:rFonts w:cstheme="minorHAnsi"/>
          <w:bCs/>
          <w:color w:val="FF0000"/>
        </w:rPr>
        <w:t>earson correlation coefficients of each pair of the current and th</w:t>
      </w:r>
      <w:r w:rsidR="00121CDF">
        <w:rPr>
          <w:rFonts w:cstheme="minorHAnsi"/>
          <w:bCs/>
          <w:color w:val="FF0000"/>
        </w:rPr>
        <w:t xml:space="preserve">e preceding month ranged from </w:t>
      </w:r>
      <w:r w:rsidR="00121CDF" w:rsidRPr="00121CDF">
        <w:rPr>
          <w:rFonts w:cstheme="minorHAnsi"/>
          <w:bCs/>
          <w:color w:val="FF0000"/>
        </w:rPr>
        <w:t>0.78 to 0.88. All were statistically significant (p&lt;0.0001), indicating this measure is reliable over time.</w:t>
      </w:r>
    </w:p>
    <w:p w14:paraId="7D783011" w14:textId="77777777" w:rsidR="00121CDF" w:rsidRDefault="00121CDF" w:rsidP="000E024D">
      <w:pPr>
        <w:autoSpaceDE w:val="0"/>
        <w:autoSpaceDN w:val="0"/>
        <w:adjustRightInd w:val="0"/>
        <w:spacing w:after="0" w:line="240" w:lineRule="auto"/>
        <w:rPr>
          <w:rFonts w:cstheme="minorHAnsi"/>
          <w:bCs/>
          <w:color w:val="FF0000"/>
        </w:rPr>
      </w:pPr>
    </w:p>
    <w:p w14:paraId="71E37A9A" w14:textId="3AF62238" w:rsidR="000E024D" w:rsidRDefault="00121CDF" w:rsidP="000E024D">
      <w:pPr>
        <w:autoSpaceDE w:val="0"/>
        <w:autoSpaceDN w:val="0"/>
        <w:adjustRightInd w:val="0"/>
        <w:spacing w:after="0" w:line="240" w:lineRule="auto"/>
        <w:rPr>
          <w:rFonts w:cstheme="minorHAnsi"/>
          <w:bCs/>
        </w:rPr>
      </w:pPr>
      <w:r>
        <w:rPr>
          <w:rFonts w:cstheme="minorHAnsi"/>
          <w:bCs/>
          <w:color w:val="FF0000"/>
        </w:rPr>
        <w:t>T</w:t>
      </w:r>
      <w:r w:rsidR="00150C5D">
        <w:rPr>
          <w:rFonts w:cstheme="minorHAnsi"/>
          <w:bCs/>
          <w:color w:val="FF0000"/>
        </w:rPr>
        <w:t xml:space="preserve">he monthly IURs ranged from </w:t>
      </w:r>
      <w:r w:rsidR="000E024D" w:rsidRPr="00121CDF">
        <w:rPr>
          <w:rFonts w:cstheme="minorHAnsi"/>
          <w:bCs/>
          <w:color w:val="FF0000"/>
        </w:rPr>
        <w:t>0.86 to 0.90, which indicates that more than 80% of the variation in the monthly based measure can be attributed to the between facility differences and less than half to within facility variation. The annual IUR across the 12 reporting months was 0.87, which indicates that 87% of the variation in the yearly based measure can be attributed to the between facility variation.</w:t>
      </w:r>
    </w:p>
    <w:p w14:paraId="0CABCFD3" w14:textId="530974C3" w:rsidR="007422FD" w:rsidRDefault="007422FD" w:rsidP="008C54A9">
      <w:pPr>
        <w:autoSpaceDE w:val="0"/>
        <w:autoSpaceDN w:val="0"/>
        <w:adjustRightInd w:val="0"/>
        <w:spacing w:after="0" w:line="240" w:lineRule="auto"/>
        <w:rPr>
          <w:rFonts w:cstheme="minorHAnsi"/>
          <w:bCs/>
        </w:rPr>
      </w:pPr>
    </w:p>
    <w:p w14:paraId="1D888B6E" w14:textId="77777777" w:rsidR="000E024D" w:rsidRPr="00A25024" w:rsidRDefault="000E024D" w:rsidP="008C54A9">
      <w:pPr>
        <w:autoSpaceDE w:val="0"/>
        <w:autoSpaceDN w:val="0"/>
        <w:adjustRightInd w:val="0"/>
        <w:spacing w:after="0" w:line="240" w:lineRule="auto"/>
        <w:rPr>
          <w:rFonts w:cstheme="minorHAnsi"/>
          <w:bCs/>
        </w:rPr>
      </w:pPr>
    </w:p>
    <w:p w14:paraId="0CABCFD4" w14:textId="68F5C6FE" w:rsidR="007422FD" w:rsidRDefault="00092566" w:rsidP="00DB3627">
      <w:pPr>
        <w:autoSpaceDE w:val="0"/>
        <w:autoSpaceDN w:val="0"/>
        <w:adjustRightInd w:val="0"/>
        <w:spacing w:after="0" w:line="240" w:lineRule="auto"/>
        <w:rPr>
          <w:rFonts w:cstheme="minorHAnsi"/>
          <w:bCs/>
        </w:rPr>
      </w:pPr>
      <w:r w:rsidRPr="009C23FB">
        <w:rPr>
          <w:rFonts w:cstheme="minorHAnsi"/>
          <w:b/>
          <w:bCs/>
          <w:highlight w:val="green"/>
        </w:rPr>
        <w:t xml:space="preserve">2a2.4 </w:t>
      </w:r>
      <w:r w:rsidR="007422FD" w:rsidRPr="009C23FB">
        <w:rPr>
          <w:rFonts w:cstheme="minorHAnsi"/>
          <w:b/>
          <w:bCs/>
          <w:highlight w:val="green"/>
        </w:rPr>
        <w:t xml:space="preserve">What </w:t>
      </w:r>
      <w:r w:rsidR="000B2DF7" w:rsidRPr="009C23FB">
        <w:rPr>
          <w:rFonts w:cstheme="minorHAnsi"/>
          <w:b/>
          <w:bCs/>
          <w:highlight w:val="green"/>
        </w:rPr>
        <w:t>is your interpretation of the results in terms of</w:t>
      </w:r>
      <w:r w:rsidR="007422FD" w:rsidRPr="009C23FB">
        <w:rPr>
          <w:rFonts w:cstheme="minorHAnsi"/>
          <w:b/>
          <w:bCs/>
          <w:highlight w:val="green"/>
        </w:rPr>
        <w:t xml:space="preserve"> demonstrating reliability</w:t>
      </w:r>
      <w:r w:rsidR="007422FD" w:rsidRPr="009C23FB">
        <w:rPr>
          <w:rFonts w:cstheme="minorHAnsi"/>
          <w:bCs/>
          <w:highlight w:val="green"/>
        </w:rPr>
        <w:t>?</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2D55DF14" w14:textId="748CAACD" w:rsidR="008A11C0" w:rsidRDefault="008A11C0" w:rsidP="00DB3627">
      <w:pPr>
        <w:autoSpaceDE w:val="0"/>
        <w:autoSpaceDN w:val="0"/>
        <w:adjustRightInd w:val="0"/>
        <w:spacing w:after="0" w:line="240" w:lineRule="auto"/>
        <w:rPr>
          <w:rFonts w:cstheme="minorHAnsi"/>
          <w:bCs/>
        </w:rPr>
      </w:pPr>
      <w:r w:rsidRPr="006E0BC1">
        <w:rPr>
          <w:rFonts w:cstheme="minorHAnsi"/>
          <w:bCs/>
        </w:rPr>
        <w:t xml:space="preserve">The IURs provide evidence of reliability in that most of the variation can be attributed to the between </w:t>
      </w:r>
      <w:r w:rsidRPr="00121CDF">
        <w:rPr>
          <w:rFonts w:cstheme="minorHAnsi"/>
          <w:bCs/>
        </w:rPr>
        <w:t>facility variation. The monthly and overall IURs suggest this measure is reliable. However, since the distribution of performance scores is skewed, the IUR value should be interpreted with some caution. The moderate to strong statistically significant results of the Pearson correlations indicates this measure is reliable over time.</w:t>
      </w:r>
    </w:p>
    <w:p w14:paraId="53817C06" w14:textId="78BFB4CA" w:rsidR="000E024D" w:rsidRDefault="000E024D" w:rsidP="00DB3627">
      <w:pPr>
        <w:autoSpaceDE w:val="0"/>
        <w:autoSpaceDN w:val="0"/>
        <w:adjustRightInd w:val="0"/>
        <w:spacing w:after="0" w:line="240" w:lineRule="auto"/>
        <w:rPr>
          <w:rFonts w:cstheme="minorHAnsi"/>
          <w:bCs/>
        </w:rPr>
      </w:pPr>
    </w:p>
    <w:p w14:paraId="6D8796ED" w14:textId="404FD84F" w:rsidR="000E024D" w:rsidRPr="00121CDF" w:rsidRDefault="000E024D" w:rsidP="00DB3627">
      <w:pPr>
        <w:autoSpaceDE w:val="0"/>
        <w:autoSpaceDN w:val="0"/>
        <w:adjustRightInd w:val="0"/>
        <w:spacing w:after="0" w:line="240" w:lineRule="auto"/>
        <w:rPr>
          <w:rFonts w:cstheme="minorHAnsi"/>
          <w:bCs/>
          <w:color w:val="FF0000"/>
        </w:rPr>
      </w:pPr>
      <w:r w:rsidRPr="00121CDF">
        <w:rPr>
          <w:rFonts w:cstheme="minorHAnsi"/>
          <w:bCs/>
          <w:color w:val="FF0000"/>
        </w:rPr>
        <w:t>For the Spring 2019 Maintenance submission</w:t>
      </w:r>
      <w:r w:rsidR="00D16DCD" w:rsidRPr="00121CDF">
        <w:rPr>
          <w:rFonts w:cstheme="minorHAnsi"/>
          <w:bCs/>
          <w:color w:val="FF0000"/>
        </w:rPr>
        <w:t>, the interpretation of the IUR results is similar to the previous submission; the monthly and overall IURs suggest this measure is reliable. However, since the distribution of performance scores is skewed, the IUR value should be interpreted with some caution.</w:t>
      </w:r>
    </w:p>
    <w:p w14:paraId="684D5D90" w14:textId="77777777" w:rsidR="008A11C0" w:rsidRDefault="008A11C0" w:rsidP="00DB3627">
      <w:pPr>
        <w:autoSpaceDE w:val="0"/>
        <w:autoSpaceDN w:val="0"/>
        <w:adjustRightInd w:val="0"/>
        <w:spacing w:after="0" w:line="240" w:lineRule="auto"/>
        <w:rPr>
          <w:rFonts w:cstheme="minorHAnsi"/>
          <w:bCs/>
        </w:rPr>
      </w:pPr>
    </w:p>
    <w:p w14:paraId="0CABCFD5" w14:textId="4BB7E15C"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12D65372" w:rsidR="00696262" w:rsidRPr="00A25024" w:rsidRDefault="00876130"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56102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3F201E82" w:rsidR="000574AB" w:rsidRPr="00A25024" w:rsidRDefault="00876130"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56102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56102A">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33F8B084" w14:textId="77777777" w:rsidR="00AF6AAC" w:rsidRDefault="00AF6AAC">
      <w:pPr>
        <w:rPr>
          <w:rFonts w:cstheme="minorHAnsi"/>
          <w:b/>
          <w:bCs/>
          <w:highlight w:val="green"/>
        </w:rPr>
      </w:pPr>
      <w:r>
        <w:rPr>
          <w:rFonts w:cstheme="minorHAnsi"/>
          <w:b/>
          <w:bCs/>
          <w:highlight w:val="green"/>
        </w:rPr>
        <w:br w:type="page"/>
      </w:r>
    </w:p>
    <w:p w14:paraId="0CABCFDC" w14:textId="6AF7800F" w:rsidR="00833325" w:rsidRDefault="009C7513" w:rsidP="00DB3627">
      <w:pPr>
        <w:autoSpaceDE w:val="0"/>
        <w:autoSpaceDN w:val="0"/>
        <w:adjustRightInd w:val="0"/>
        <w:spacing w:after="0" w:line="240" w:lineRule="auto"/>
        <w:rPr>
          <w:rFonts w:cstheme="minorHAnsi"/>
          <w:bCs/>
        </w:rPr>
      </w:pPr>
      <w:r w:rsidRPr="009C23FB">
        <w:rPr>
          <w:rFonts w:cstheme="minorHAnsi"/>
          <w:b/>
          <w:bCs/>
          <w:highlight w:val="green"/>
        </w:rPr>
        <w:t>2b1</w:t>
      </w:r>
      <w:r w:rsidR="00092566" w:rsidRPr="009C23FB">
        <w:rPr>
          <w:rFonts w:cstheme="minorHAnsi"/>
          <w:b/>
          <w:bCs/>
          <w:highlight w:val="green"/>
        </w:rPr>
        <w:t>.</w:t>
      </w:r>
      <w:r w:rsidR="007757CE" w:rsidRPr="009C23FB">
        <w:rPr>
          <w:rFonts w:cstheme="minorHAnsi"/>
          <w:b/>
          <w:bCs/>
          <w:highlight w:val="green"/>
        </w:rPr>
        <w:t xml:space="preserve">2. For each level </w:t>
      </w:r>
      <w:r w:rsidR="008F7E67" w:rsidRPr="009C23FB">
        <w:rPr>
          <w:rFonts w:cstheme="minorHAnsi"/>
          <w:b/>
          <w:bCs/>
          <w:highlight w:val="green"/>
        </w:rPr>
        <w:t xml:space="preserve">of testing </w:t>
      </w:r>
      <w:r w:rsidR="007757CE" w:rsidRPr="009C23FB">
        <w:rPr>
          <w:rFonts w:cstheme="minorHAnsi"/>
          <w:b/>
          <w:bCs/>
          <w:highlight w:val="green"/>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833325" w:rsidRPr="00A25024">
        <w:rPr>
          <w:rFonts w:cstheme="minorHAnsi"/>
          <w:bCs/>
        </w:rPr>
        <w:br/>
      </w:r>
    </w:p>
    <w:p w14:paraId="37591A8F" w14:textId="7B347637"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 xml:space="preserve">We used January 2013 – December 2013 CROWNWeb data to calculate facility level monthly and annual performance scores. 5,880 facilities that had at least 11 eligible patients were included in the testing. </w:t>
      </w:r>
    </w:p>
    <w:p w14:paraId="705CBC55" w14:textId="26A822C7"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 xml:space="preserve">This included a total of 482,444 patients. </w:t>
      </w:r>
    </w:p>
    <w:p w14:paraId="30B207A9" w14:textId="77777777" w:rsidR="008A11C0" w:rsidRPr="006E0BC1" w:rsidRDefault="008A11C0" w:rsidP="008A11C0">
      <w:pPr>
        <w:autoSpaceDE w:val="0"/>
        <w:autoSpaceDN w:val="0"/>
        <w:adjustRightInd w:val="0"/>
        <w:spacing w:after="0" w:line="240" w:lineRule="auto"/>
        <w:rPr>
          <w:rFonts w:cstheme="minorHAnsi"/>
          <w:bCs/>
        </w:rPr>
      </w:pPr>
    </w:p>
    <w:p w14:paraId="38DC9EC2" w14:textId="3CBCFE99"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We assessed validity using Poisson regression models to identify the predictive strength of facility level performance scores for the measure, on mortality, using the 201</w:t>
      </w:r>
      <w:r w:rsidR="00FA770D">
        <w:rPr>
          <w:rFonts w:cstheme="minorHAnsi"/>
          <w:bCs/>
        </w:rPr>
        <w:t>7</w:t>
      </w:r>
      <w:r w:rsidRPr="006E0BC1">
        <w:rPr>
          <w:rFonts w:cstheme="minorHAnsi"/>
          <w:bCs/>
        </w:rPr>
        <w:t xml:space="preserve"> SMR.</w:t>
      </w:r>
    </w:p>
    <w:p w14:paraId="02C35372" w14:textId="77777777" w:rsidR="008A11C0" w:rsidRPr="006E0BC1" w:rsidRDefault="008A11C0" w:rsidP="008A11C0">
      <w:pPr>
        <w:autoSpaceDE w:val="0"/>
        <w:autoSpaceDN w:val="0"/>
        <w:adjustRightInd w:val="0"/>
        <w:spacing w:after="0" w:line="240" w:lineRule="auto"/>
        <w:rPr>
          <w:rFonts w:cstheme="minorHAnsi"/>
          <w:bCs/>
        </w:rPr>
      </w:pPr>
    </w:p>
    <w:p w14:paraId="1A64DD29" w14:textId="3E12D277" w:rsidR="008A11C0" w:rsidRDefault="008A11C0" w:rsidP="008A11C0">
      <w:pPr>
        <w:autoSpaceDE w:val="0"/>
        <w:autoSpaceDN w:val="0"/>
        <w:adjustRightInd w:val="0"/>
        <w:spacing w:after="0" w:line="240" w:lineRule="auto"/>
        <w:rPr>
          <w:rFonts w:cstheme="minorHAnsi"/>
          <w:bCs/>
        </w:rPr>
      </w:pPr>
      <w:r w:rsidRPr="006E0BC1">
        <w:rPr>
          <w:rFonts w:cstheme="minorHAnsi"/>
          <w:bCs/>
        </w:rPr>
        <w:t>In 2010, the measure was unanimously ratified by the Clinical TEP as a valid measure.</w:t>
      </w:r>
    </w:p>
    <w:p w14:paraId="7320F88B" w14:textId="1DA7D25E" w:rsidR="006651A1" w:rsidRDefault="006651A1" w:rsidP="008A11C0">
      <w:pPr>
        <w:autoSpaceDE w:val="0"/>
        <w:autoSpaceDN w:val="0"/>
        <w:adjustRightInd w:val="0"/>
        <w:spacing w:after="0" w:line="240" w:lineRule="auto"/>
        <w:rPr>
          <w:rFonts w:cstheme="minorHAnsi"/>
          <w:bCs/>
        </w:rPr>
      </w:pPr>
    </w:p>
    <w:p w14:paraId="3D0BE25B" w14:textId="341AE299" w:rsidR="006651A1" w:rsidRPr="006E7435" w:rsidRDefault="006651A1" w:rsidP="006651A1">
      <w:pPr>
        <w:autoSpaceDE w:val="0"/>
        <w:autoSpaceDN w:val="0"/>
        <w:adjustRightInd w:val="0"/>
        <w:spacing w:after="0" w:line="240" w:lineRule="auto"/>
        <w:rPr>
          <w:rFonts w:cstheme="minorHAnsi"/>
          <w:bCs/>
          <w:color w:val="FF0000"/>
        </w:rPr>
      </w:pPr>
      <w:r w:rsidRPr="006E7435">
        <w:rPr>
          <w:rFonts w:cstheme="minorHAnsi"/>
          <w:bCs/>
          <w:color w:val="FF0000"/>
        </w:rPr>
        <w:t xml:space="preserve">For the Spring 2019 Maintenance submission, we used January 2017 – December 2017 CROWNWeb data to calculate facility level monthly and annual performance scores. 6,824 facilities that had at least 11 eligible patients were included in the testing. This included a total of 592,121 patients. </w:t>
      </w:r>
    </w:p>
    <w:p w14:paraId="0BF79B2C" w14:textId="77777777" w:rsidR="006651A1" w:rsidRPr="006E7435" w:rsidRDefault="006651A1" w:rsidP="006651A1">
      <w:pPr>
        <w:autoSpaceDE w:val="0"/>
        <w:autoSpaceDN w:val="0"/>
        <w:adjustRightInd w:val="0"/>
        <w:spacing w:after="0" w:line="240" w:lineRule="auto"/>
        <w:rPr>
          <w:rFonts w:cstheme="minorHAnsi"/>
          <w:bCs/>
          <w:color w:val="FF0000"/>
        </w:rPr>
      </w:pPr>
    </w:p>
    <w:p w14:paraId="35089FDB" w14:textId="00DFADE7" w:rsidR="006651A1" w:rsidRPr="006E7435" w:rsidRDefault="006651A1" w:rsidP="006651A1">
      <w:pPr>
        <w:autoSpaceDE w:val="0"/>
        <w:autoSpaceDN w:val="0"/>
        <w:adjustRightInd w:val="0"/>
        <w:spacing w:after="0" w:line="240" w:lineRule="auto"/>
        <w:rPr>
          <w:rFonts w:cstheme="minorHAnsi"/>
          <w:bCs/>
          <w:color w:val="FF0000"/>
        </w:rPr>
      </w:pPr>
      <w:r w:rsidRPr="006E7435">
        <w:rPr>
          <w:rFonts w:cstheme="minorHAnsi"/>
          <w:bCs/>
          <w:color w:val="FF0000"/>
        </w:rPr>
        <w:t>We assessed validity using Poisson regression models to identify the predictive strength of facility level performance scores for the measure, on mortality, using the 2017 SMR.</w:t>
      </w:r>
      <w:r>
        <w:rPr>
          <w:rFonts w:cstheme="minorHAnsi"/>
          <w:bCs/>
          <w:color w:val="FF0000"/>
        </w:rPr>
        <w:t xml:space="preserve"> We anticipate a positive correlation with the SMR, since hypercalcemia is a marker of poor overall health</w:t>
      </w:r>
      <w:r w:rsidR="00ED462E">
        <w:rPr>
          <w:rFonts w:cstheme="minorHAnsi"/>
          <w:bCs/>
          <w:color w:val="FF0000"/>
        </w:rPr>
        <w:t>.</w:t>
      </w:r>
    </w:p>
    <w:p w14:paraId="26E9693B" w14:textId="77777777" w:rsidR="006651A1" w:rsidRPr="006E7435" w:rsidRDefault="006651A1" w:rsidP="006651A1">
      <w:pPr>
        <w:autoSpaceDE w:val="0"/>
        <w:autoSpaceDN w:val="0"/>
        <w:adjustRightInd w:val="0"/>
        <w:spacing w:after="0" w:line="240" w:lineRule="auto"/>
        <w:rPr>
          <w:rFonts w:cstheme="minorHAnsi"/>
          <w:bCs/>
          <w:color w:val="FF0000"/>
        </w:rPr>
      </w:pPr>
    </w:p>
    <w:p w14:paraId="6376B9A6" w14:textId="788BBCBF" w:rsidR="006651A1" w:rsidRPr="006E7435" w:rsidRDefault="006651A1" w:rsidP="006651A1">
      <w:pPr>
        <w:autoSpaceDE w:val="0"/>
        <w:autoSpaceDN w:val="0"/>
        <w:adjustRightInd w:val="0"/>
        <w:spacing w:after="0" w:line="240" w:lineRule="auto"/>
        <w:rPr>
          <w:rFonts w:cstheme="minorHAnsi"/>
          <w:bCs/>
          <w:color w:val="FF0000"/>
        </w:rPr>
      </w:pPr>
      <w:r w:rsidRPr="006E7435">
        <w:rPr>
          <w:rFonts w:cstheme="minorHAnsi"/>
          <w:bCs/>
          <w:color w:val="FF0000"/>
        </w:rPr>
        <w:t>In 2010, the measure was unanimously ratified by the Clinical TEP as a valid measure. In addition, the measure was presented to another Clinical TEP in 2013, who reaffirmed their support of hypercalcemia as a quality measure.</w:t>
      </w:r>
    </w:p>
    <w:p w14:paraId="4A3E22D6" w14:textId="77777777" w:rsidR="006651A1" w:rsidRPr="006E7435" w:rsidRDefault="006651A1" w:rsidP="008A11C0">
      <w:pPr>
        <w:autoSpaceDE w:val="0"/>
        <w:autoSpaceDN w:val="0"/>
        <w:adjustRightInd w:val="0"/>
        <w:spacing w:after="0" w:line="240" w:lineRule="auto"/>
        <w:rPr>
          <w:rFonts w:cstheme="minorHAnsi"/>
          <w:b/>
          <w:bCs/>
        </w:rPr>
      </w:pPr>
    </w:p>
    <w:p w14:paraId="2A852FD6" w14:textId="77777777" w:rsidR="008A11C0" w:rsidRPr="00A25024" w:rsidRDefault="008A11C0" w:rsidP="008A11C0">
      <w:pPr>
        <w:autoSpaceDE w:val="0"/>
        <w:autoSpaceDN w:val="0"/>
        <w:adjustRightInd w:val="0"/>
        <w:spacing w:after="0" w:line="240" w:lineRule="auto"/>
        <w:rPr>
          <w:rFonts w:cstheme="minorHAnsi"/>
          <w:bCs/>
        </w:rPr>
      </w:pPr>
    </w:p>
    <w:p w14:paraId="0CABCFDD" w14:textId="77777777" w:rsidR="00833325" w:rsidRPr="00A25024" w:rsidRDefault="00833325" w:rsidP="00DB3627">
      <w:pPr>
        <w:autoSpaceDE w:val="0"/>
        <w:autoSpaceDN w:val="0"/>
        <w:adjustRightInd w:val="0"/>
        <w:spacing w:after="0" w:line="240" w:lineRule="auto"/>
        <w:rPr>
          <w:rFonts w:cstheme="minorHAnsi"/>
          <w:bCs/>
        </w:rPr>
      </w:pPr>
    </w:p>
    <w:p w14:paraId="7FE5963B" w14:textId="77777777" w:rsidR="0056102A" w:rsidRDefault="009C7513" w:rsidP="00092566">
      <w:pPr>
        <w:autoSpaceDE w:val="0"/>
        <w:autoSpaceDN w:val="0"/>
        <w:adjustRightInd w:val="0"/>
        <w:spacing w:after="0" w:line="240" w:lineRule="auto"/>
        <w:rPr>
          <w:rFonts w:cstheme="minorHAnsi"/>
          <w:bCs/>
        </w:rPr>
      </w:pPr>
      <w:r w:rsidRPr="009C23FB">
        <w:rPr>
          <w:rFonts w:cstheme="minorHAnsi"/>
          <w:b/>
          <w:bCs/>
          <w:highlight w:val="green"/>
        </w:rPr>
        <w:t>2b1</w:t>
      </w:r>
      <w:r w:rsidR="00092566" w:rsidRPr="009C23FB">
        <w:rPr>
          <w:rFonts w:cstheme="minorHAnsi"/>
          <w:b/>
          <w:bCs/>
          <w:highlight w:val="green"/>
        </w:rPr>
        <w:t>.</w:t>
      </w:r>
      <w:r w:rsidR="007757CE" w:rsidRPr="009C23FB">
        <w:rPr>
          <w:rFonts w:cstheme="minorHAnsi"/>
          <w:b/>
          <w:bCs/>
          <w:highlight w:val="green"/>
        </w:rPr>
        <w:t xml:space="preserve">3. </w:t>
      </w:r>
      <w:r w:rsidR="00833325" w:rsidRPr="009C23FB">
        <w:rPr>
          <w:rFonts w:cstheme="minorHAnsi"/>
          <w:b/>
          <w:bCs/>
          <w:highlight w:val="green"/>
        </w:rPr>
        <w:t xml:space="preserve">What were the statistical results </w:t>
      </w:r>
      <w:r w:rsidR="007422FD" w:rsidRPr="009C23FB">
        <w:rPr>
          <w:rFonts w:cstheme="minorHAnsi"/>
          <w:b/>
          <w:bCs/>
          <w:highlight w:val="green"/>
        </w:rPr>
        <w:t xml:space="preserve">from </w:t>
      </w:r>
      <w:r w:rsidR="00EC79DE" w:rsidRPr="009C23FB">
        <w:rPr>
          <w:rFonts w:cstheme="minorHAnsi"/>
          <w:b/>
          <w:bCs/>
          <w:highlight w:val="green"/>
        </w:rPr>
        <w:t>validity</w:t>
      </w:r>
      <w:r w:rsidR="007422FD" w:rsidRPr="009C23FB">
        <w:rPr>
          <w:rFonts w:cstheme="minorHAnsi"/>
          <w:b/>
          <w:bCs/>
          <w:highlight w:val="green"/>
        </w:rPr>
        <w:t xml:space="preserve"> testing</w:t>
      </w:r>
      <w:r w:rsidR="00833325" w:rsidRPr="009C23FB">
        <w:rPr>
          <w:rFonts w:cstheme="minorHAnsi"/>
          <w:bCs/>
          <w:highlight w:val="green"/>
        </w:rPr>
        <w:t>?</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4C3F5A65" w14:textId="77777777" w:rsidR="0056102A" w:rsidRDefault="0056102A" w:rsidP="00092566">
      <w:pPr>
        <w:autoSpaceDE w:val="0"/>
        <w:autoSpaceDN w:val="0"/>
        <w:adjustRightInd w:val="0"/>
        <w:spacing w:after="0" w:line="240" w:lineRule="auto"/>
        <w:rPr>
          <w:rFonts w:cstheme="minorHAnsi"/>
          <w:bCs/>
        </w:rPr>
      </w:pPr>
    </w:p>
    <w:p w14:paraId="529A78C2" w14:textId="5946CF9B" w:rsidR="008A11C0" w:rsidRDefault="008A11C0" w:rsidP="008A11C0">
      <w:pPr>
        <w:autoSpaceDE w:val="0"/>
        <w:autoSpaceDN w:val="0"/>
        <w:adjustRightInd w:val="0"/>
        <w:spacing w:after="0" w:line="240" w:lineRule="auto"/>
        <w:rPr>
          <w:rFonts w:cstheme="minorHAnsi"/>
          <w:bCs/>
        </w:rPr>
      </w:pPr>
      <w:r w:rsidRPr="006E0BC1">
        <w:rPr>
          <w:rFonts w:cstheme="minorHAnsi"/>
          <w:bCs/>
        </w:rPr>
        <w:t>Poisson regression modeling was used to assess the predictive strength of facility level performance scores for hypercalcemia on mortality, using the 2013 NQF endorsed SMR. The results suggest the measure performance scores were predictive of mortality as measured by the SMR. For instance, the facility-level relative risk of mortality for a 10% increase in percent of patients with hypercalcemia, is 1.07 (p&lt;0.0001).</w:t>
      </w:r>
    </w:p>
    <w:p w14:paraId="11F93AB8" w14:textId="77777777" w:rsidR="006651A1" w:rsidRDefault="006651A1" w:rsidP="0056102A">
      <w:pPr>
        <w:autoSpaceDE w:val="0"/>
        <w:autoSpaceDN w:val="0"/>
        <w:adjustRightInd w:val="0"/>
        <w:spacing w:after="0" w:line="240" w:lineRule="auto"/>
        <w:rPr>
          <w:rFonts w:cstheme="minorHAnsi"/>
          <w:bCs/>
        </w:rPr>
      </w:pPr>
    </w:p>
    <w:p w14:paraId="0CABCFDE" w14:textId="54A4EB94" w:rsidR="007422FD" w:rsidRPr="00092566" w:rsidRDefault="006651A1" w:rsidP="0056102A">
      <w:pPr>
        <w:autoSpaceDE w:val="0"/>
        <w:autoSpaceDN w:val="0"/>
        <w:adjustRightInd w:val="0"/>
        <w:spacing w:after="0" w:line="240" w:lineRule="auto"/>
        <w:rPr>
          <w:rFonts w:cstheme="minorHAnsi"/>
          <w:bCs/>
        </w:rPr>
      </w:pPr>
      <w:r w:rsidRPr="006E7435">
        <w:rPr>
          <w:rFonts w:cstheme="minorHAnsi"/>
          <w:bCs/>
          <w:color w:val="FF0000"/>
        </w:rPr>
        <w:t xml:space="preserve">For the Spring 2019 Maintenance submission, the results again suggest the measure performance scores were predictive of mortality as measured by the </w:t>
      </w:r>
      <w:r w:rsidR="002B32B7">
        <w:rPr>
          <w:rFonts w:cstheme="minorHAnsi"/>
          <w:bCs/>
          <w:color w:val="FF0000"/>
        </w:rPr>
        <w:t xml:space="preserve">2017 </w:t>
      </w:r>
      <w:r w:rsidRPr="006E7435">
        <w:rPr>
          <w:rFonts w:cstheme="minorHAnsi"/>
          <w:bCs/>
          <w:color w:val="FF0000"/>
        </w:rPr>
        <w:t xml:space="preserve">SMR. </w:t>
      </w:r>
      <w:r w:rsidR="00ED462E">
        <w:rPr>
          <w:rFonts w:cstheme="minorHAnsi"/>
          <w:bCs/>
          <w:color w:val="FF0000"/>
        </w:rPr>
        <w:t>T</w:t>
      </w:r>
      <w:r w:rsidRPr="006E7435">
        <w:rPr>
          <w:rFonts w:cstheme="minorHAnsi"/>
          <w:bCs/>
          <w:color w:val="FF0000"/>
        </w:rPr>
        <w:t>he facility-level relative risk of mortality for a 10% increase in percent of patients with hypercalcemia, is 1.08 (p&lt;0.0001).</w:t>
      </w:r>
      <w:r w:rsidR="00833325" w:rsidRPr="00A25024">
        <w:rPr>
          <w:rFonts w:cstheme="minorHAnsi"/>
          <w:bCs/>
        </w:rPr>
        <w:br/>
      </w:r>
    </w:p>
    <w:p w14:paraId="50252255" w14:textId="77777777" w:rsidR="0056102A" w:rsidRDefault="009C7513" w:rsidP="00DB3627">
      <w:pPr>
        <w:autoSpaceDE w:val="0"/>
        <w:autoSpaceDN w:val="0"/>
        <w:adjustRightInd w:val="0"/>
        <w:spacing w:after="0" w:line="240" w:lineRule="auto"/>
        <w:rPr>
          <w:rFonts w:cstheme="minorHAnsi"/>
          <w:bCs/>
        </w:rPr>
      </w:pPr>
      <w:r w:rsidRPr="009C23FB">
        <w:rPr>
          <w:rFonts w:cstheme="minorHAnsi"/>
          <w:b/>
          <w:bCs/>
          <w:highlight w:val="green"/>
        </w:rPr>
        <w:t>2b1</w:t>
      </w:r>
      <w:r w:rsidR="00092566" w:rsidRPr="009C23FB">
        <w:rPr>
          <w:rFonts w:cstheme="minorHAnsi"/>
          <w:b/>
          <w:bCs/>
          <w:highlight w:val="green"/>
        </w:rPr>
        <w:t>.</w:t>
      </w:r>
      <w:r w:rsidR="007757CE" w:rsidRPr="009C23FB">
        <w:rPr>
          <w:rFonts w:cstheme="minorHAnsi"/>
          <w:b/>
          <w:bCs/>
          <w:highlight w:val="green"/>
        </w:rPr>
        <w:t xml:space="preserve">4. </w:t>
      </w:r>
      <w:r w:rsidR="000B2DF7" w:rsidRPr="009C23FB">
        <w:rPr>
          <w:rFonts w:cstheme="minorHAnsi"/>
          <w:b/>
          <w:bCs/>
          <w:highlight w:val="green"/>
        </w:rPr>
        <w:t xml:space="preserve">What is your interpretation of the results </w:t>
      </w:r>
      <w:r w:rsidR="007422FD" w:rsidRPr="009C23FB">
        <w:rPr>
          <w:rFonts w:cstheme="minorHAnsi"/>
          <w:b/>
          <w:bCs/>
          <w:highlight w:val="green"/>
        </w:rPr>
        <w:t>in terms of demonstrating validity</w:t>
      </w:r>
      <w:r w:rsidR="007422FD" w:rsidRPr="009C23FB">
        <w:rPr>
          <w:rFonts w:cstheme="minorHAnsi"/>
          <w:bCs/>
          <w:highlight w:val="green"/>
        </w:rPr>
        <w:t>?</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2376EA3F" w14:textId="466DB2AC" w:rsidR="008A11C0" w:rsidRDefault="008A11C0" w:rsidP="008A11C0">
      <w:pPr>
        <w:autoSpaceDE w:val="0"/>
        <w:autoSpaceDN w:val="0"/>
        <w:adjustRightInd w:val="0"/>
        <w:spacing w:after="0" w:line="240" w:lineRule="auto"/>
        <w:rPr>
          <w:rFonts w:cstheme="minorHAnsi"/>
          <w:bCs/>
        </w:rPr>
      </w:pPr>
      <w:r w:rsidRPr="006E0BC1">
        <w:rPr>
          <w:rFonts w:cstheme="minorHAnsi"/>
          <w:bCs/>
        </w:rPr>
        <w:t>The results of the Poisson regression suggest that facilities with a higher percentage of patient-months with hypercalcemia experience a higher standardized mortality rate relative to facilities with a lower percentage of patients with hypercalcemia. The direction of the relationship is as expected.</w:t>
      </w:r>
    </w:p>
    <w:p w14:paraId="796C5449" w14:textId="7918EF5C" w:rsidR="006651A1" w:rsidRDefault="006651A1" w:rsidP="008A11C0">
      <w:pPr>
        <w:autoSpaceDE w:val="0"/>
        <w:autoSpaceDN w:val="0"/>
        <w:adjustRightInd w:val="0"/>
        <w:spacing w:after="0" w:line="240" w:lineRule="auto"/>
        <w:rPr>
          <w:rFonts w:cstheme="minorHAnsi"/>
          <w:bCs/>
        </w:rPr>
      </w:pPr>
    </w:p>
    <w:p w14:paraId="1C720462" w14:textId="58F40BD5" w:rsidR="006651A1" w:rsidRDefault="006651A1" w:rsidP="006651A1">
      <w:pPr>
        <w:autoSpaceDE w:val="0"/>
        <w:autoSpaceDN w:val="0"/>
        <w:adjustRightInd w:val="0"/>
        <w:spacing w:after="0" w:line="240" w:lineRule="auto"/>
        <w:rPr>
          <w:rFonts w:cstheme="minorHAnsi"/>
          <w:bCs/>
          <w:color w:val="FF0000"/>
        </w:rPr>
      </w:pPr>
      <w:r w:rsidRPr="006E7435">
        <w:rPr>
          <w:rFonts w:cstheme="minorHAnsi"/>
          <w:bCs/>
          <w:color w:val="FF0000"/>
        </w:rPr>
        <w:t>For the Spring 2019 Maintenance submission, the results of the Poisson regression again suggest</w:t>
      </w:r>
      <w:r w:rsidR="002B32B7">
        <w:rPr>
          <w:rFonts w:cstheme="minorHAnsi"/>
          <w:bCs/>
          <w:color w:val="FF0000"/>
        </w:rPr>
        <w:t>s</w:t>
      </w:r>
      <w:r w:rsidRPr="006E7435">
        <w:rPr>
          <w:rFonts w:cstheme="minorHAnsi"/>
          <w:bCs/>
          <w:color w:val="FF0000"/>
        </w:rPr>
        <w:t xml:space="preserve"> that facilities with a higher percentage of patient-months with hypercalcemia experience a higher standardized mortality rate relative to facilities with a lower percentage of patients with hypercalcemia. The direction of the relationship is as expected.</w:t>
      </w:r>
    </w:p>
    <w:p w14:paraId="2576DD9F" w14:textId="4378171F" w:rsidR="000C4C40" w:rsidRDefault="000C4C40" w:rsidP="006651A1">
      <w:pPr>
        <w:autoSpaceDE w:val="0"/>
        <w:autoSpaceDN w:val="0"/>
        <w:adjustRightInd w:val="0"/>
        <w:spacing w:after="0" w:line="240" w:lineRule="auto"/>
        <w:rPr>
          <w:rFonts w:cstheme="minorHAnsi"/>
          <w:bCs/>
          <w:color w:val="FF0000"/>
        </w:rPr>
      </w:pPr>
    </w:p>
    <w:p w14:paraId="711BDB4C" w14:textId="533707AF" w:rsidR="000C4C40" w:rsidRPr="006E7435" w:rsidRDefault="000C4C40" w:rsidP="006651A1">
      <w:pPr>
        <w:autoSpaceDE w:val="0"/>
        <w:autoSpaceDN w:val="0"/>
        <w:adjustRightInd w:val="0"/>
        <w:spacing w:after="0" w:line="240" w:lineRule="auto"/>
        <w:rPr>
          <w:rFonts w:cstheme="minorHAnsi"/>
          <w:bCs/>
          <w:color w:val="FF0000"/>
        </w:rPr>
      </w:pPr>
      <w:r>
        <w:rPr>
          <w:rFonts w:cstheme="minorHAnsi"/>
          <w:bCs/>
          <w:color w:val="FF0000"/>
        </w:rPr>
        <w:t xml:space="preserve">We also maintain the measure on the basis of face validity as determined by the 2010 and 2013 TEPs. </w:t>
      </w:r>
    </w:p>
    <w:p w14:paraId="4CA3A218" w14:textId="2FB38259" w:rsidR="006651A1" w:rsidRPr="00A25024" w:rsidRDefault="006651A1" w:rsidP="008A11C0">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8D69DB3"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56102A">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6EFBE429"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14:paraId="4D17FD41" w14:textId="77777777" w:rsidR="0056102A" w:rsidRPr="00A25024" w:rsidRDefault="0056102A" w:rsidP="0056102A">
      <w:pPr>
        <w:autoSpaceDE w:val="0"/>
        <w:autoSpaceDN w:val="0"/>
        <w:adjustRightInd w:val="0"/>
        <w:spacing w:after="0" w:line="240" w:lineRule="auto"/>
        <w:rPr>
          <w:rFonts w:cstheme="minorHAnsi"/>
          <w:bCs/>
        </w:rPr>
      </w:pPr>
      <w:r>
        <w:rPr>
          <w:rFonts w:cstheme="minorHAnsi"/>
          <w:bCs/>
        </w:rPr>
        <w:t>N/A</w:t>
      </w:r>
    </w:p>
    <w:p w14:paraId="0CABCFE5" w14:textId="77777777" w:rsidR="00833325" w:rsidRPr="00A25024" w:rsidRDefault="00833325" w:rsidP="00DB3627">
      <w:pPr>
        <w:autoSpaceDE w:val="0"/>
        <w:autoSpaceDN w:val="0"/>
        <w:adjustRightInd w:val="0"/>
        <w:spacing w:after="0" w:line="240" w:lineRule="auto"/>
        <w:rPr>
          <w:rFonts w:cstheme="minorHAnsi"/>
          <w:bCs/>
        </w:rPr>
      </w:pPr>
    </w:p>
    <w:p w14:paraId="4AAE4FA5" w14:textId="77777777" w:rsidR="0056102A" w:rsidRDefault="00092566" w:rsidP="0056102A">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0C83330A" w14:textId="51B29295" w:rsidR="0056102A" w:rsidRPr="00A25024" w:rsidRDefault="0056102A" w:rsidP="0056102A">
      <w:pPr>
        <w:autoSpaceDE w:val="0"/>
        <w:autoSpaceDN w:val="0"/>
        <w:adjustRightInd w:val="0"/>
        <w:spacing w:after="0" w:line="240" w:lineRule="auto"/>
        <w:rPr>
          <w:rFonts w:cstheme="minorHAnsi"/>
          <w:bCs/>
        </w:rPr>
      </w:pPr>
      <w:r>
        <w:rPr>
          <w:rFonts w:cstheme="minorHAnsi"/>
          <w:bCs/>
        </w:rPr>
        <w:t>N/A</w:t>
      </w:r>
    </w:p>
    <w:p w14:paraId="0CABCFE6" w14:textId="38532CDE" w:rsidR="007422FD" w:rsidRDefault="007422FD"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6247400C" w14:textId="77777777" w:rsidR="0056102A" w:rsidRDefault="00092566" w:rsidP="0056102A">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147D033F" w14:textId="01EC5360" w:rsidR="0056102A" w:rsidRPr="00A25024" w:rsidRDefault="0056102A" w:rsidP="0056102A">
      <w:pPr>
        <w:autoSpaceDE w:val="0"/>
        <w:autoSpaceDN w:val="0"/>
        <w:adjustRightInd w:val="0"/>
        <w:spacing w:after="0" w:line="240" w:lineRule="auto"/>
        <w:rPr>
          <w:rFonts w:cstheme="minorHAnsi"/>
          <w:bCs/>
        </w:rPr>
      </w:pPr>
      <w:r>
        <w:rPr>
          <w:rFonts w:cstheme="minorHAnsi"/>
          <w:bCs/>
        </w:rPr>
        <w:t>N/A</w:t>
      </w:r>
    </w:p>
    <w:p w14:paraId="0CABCFE8" w14:textId="06255C2C" w:rsidR="007422FD" w:rsidRPr="00A25024" w:rsidRDefault="007422FD" w:rsidP="00DB3627">
      <w:pPr>
        <w:autoSpaceDE w:val="0"/>
        <w:autoSpaceDN w:val="0"/>
        <w:adjustRightInd w:val="0"/>
        <w:spacing w:after="0" w:line="240" w:lineRule="auto"/>
        <w:rPr>
          <w:rFonts w:cstheme="minorHAnsi"/>
          <w:bCs/>
        </w:rPr>
      </w:pP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6DC8FB78" w:rsidR="00033038" w:rsidRPr="005232D6" w:rsidRDefault="00876130"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56102A">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876130"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876130"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876130"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2255454F" w14:textId="77777777" w:rsidR="00AF6AAC" w:rsidRDefault="00AF6AAC" w:rsidP="00AF6AAC">
      <w:pPr>
        <w:autoSpaceDE w:val="0"/>
        <w:autoSpaceDN w:val="0"/>
        <w:adjustRightInd w:val="0"/>
        <w:spacing w:after="0" w:line="240" w:lineRule="auto"/>
        <w:rPr>
          <w:rFonts w:cstheme="minorHAnsi"/>
          <w:bCs/>
        </w:rPr>
      </w:pPr>
      <w:r w:rsidRPr="00354BC2">
        <w:rPr>
          <w:rFonts w:cstheme="minorHAnsi"/>
          <w:bCs/>
        </w:rPr>
        <w:t>N/A</w:t>
      </w:r>
    </w:p>
    <w:p w14:paraId="0A1E352E" w14:textId="77777777" w:rsidR="00AF2D68" w:rsidRDefault="00AF2D68" w:rsidP="009D3882">
      <w:pPr>
        <w:rPr>
          <w:rFonts w:cs="Calibri"/>
          <w:b/>
          <w:bCs/>
        </w:rPr>
      </w:pPr>
    </w:p>
    <w:p w14:paraId="72A6E851" w14:textId="77777777" w:rsidR="0056102A" w:rsidRPr="00354BC2" w:rsidRDefault="009C7513" w:rsidP="0056102A">
      <w:pPr>
        <w:autoSpaceDE w:val="0"/>
        <w:autoSpaceDN w:val="0"/>
        <w:adjustRightInd w:val="0"/>
        <w:spacing w:after="0" w:line="240" w:lineRule="auto"/>
        <w:rPr>
          <w:rFonts w:cstheme="minorHAns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r w:rsidR="0056102A" w:rsidRPr="00354BC2">
        <w:rPr>
          <w:rFonts w:cstheme="minorHAnsi"/>
          <w:bCs/>
        </w:rPr>
        <w:t>Risk adjustment is not necessary for this measure. Disparities were examined at the facility level in section 1b.4, and no disparities were observed.</w:t>
      </w:r>
    </w:p>
    <w:p w14:paraId="0CABCFF4" w14:textId="1547D4DB" w:rsidR="009D3882" w:rsidRDefault="009D3882" w:rsidP="009D3882">
      <w:pPr>
        <w:rPr>
          <w:rFonts w:cstheme="minorHAnsi"/>
          <w:b/>
          <w:bCs/>
          <w:sz w:val="14"/>
        </w:rPr>
      </w:pPr>
    </w:p>
    <w:p w14:paraId="7904530C" w14:textId="77777777" w:rsidR="008A11C0" w:rsidRDefault="008A11C0" w:rsidP="008A11C0">
      <w:pPr>
        <w:autoSpaceDE w:val="0"/>
        <w:autoSpaceDN w:val="0"/>
        <w:adjustRightInd w:val="0"/>
        <w:spacing w:after="0" w:line="240" w:lineRule="auto"/>
        <w:rPr>
          <w:rFonts w:cstheme="minorHAnsi"/>
          <w:bCs/>
        </w:rPr>
      </w:pPr>
      <w:r w:rsidRPr="006E0BC1">
        <w:rPr>
          <w:rFonts w:cstheme="minorHAnsi"/>
          <w:bCs/>
        </w:rPr>
        <w:t>No risk adjustment or risk stratification is required for this measure.   The body of evidence and data on disparities presented in the Importance section do not support the need for risk adjustment (see response to 1b.4 and 1b.5).</w:t>
      </w:r>
    </w:p>
    <w:p w14:paraId="7FBD9EFC" w14:textId="77777777" w:rsidR="008A11C0" w:rsidRPr="009D3882" w:rsidRDefault="008A11C0" w:rsidP="009D3882">
      <w:pPr>
        <w:rPr>
          <w:rFonts w:cstheme="minorHAnsi"/>
          <w:b/>
          <w:bCs/>
          <w:sz w:val="14"/>
        </w:rPr>
      </w:pPr>
    </w:p>
    <w:p w14:paraId="0CABCFF6" w14:textId="2EE9C7D1" w:rsidR="00001D73"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5695D7B1" w14:textId="77777777" w:rsidR="0056102A" w:rsidRDefault="0056102A" w:rsidP="0056102A">
      <w:pPr>
        <w:autoSpaceDE w:val="0"/>
        <w:autoSpaceDN w:val="0"/>
        <w:adjustRightInd w:val="0"/>
        <w:spacing w:after="0" w:line="240" w:lineRule="auto"/>
        <w:rPr>
          <w:rFonts w:cstheme="minorHAnsi"/>
          <w:bCs/>
        </w:rPr>
      </w:pPr>
      <w:r w:rsidRPr="00354BC2">
        <w:rPr>
          <w:rFonts w:cstheme="minorHAnsi"/>
          <w:bCs/>
        </w:rPr>
        <w:t>N/A</w:t>
      </w:r>
    </w:p>
    <w:p w14:paraId="59A37C15" w14:textId="77777777" w:rsidR="0056102A" w:rsidRPr="00AF2D68" w:rsidRDefault="0056102A" w:rsidP="00AF2D68">
      <w:pPr>
        <w:rPr>
          <w:rFonts w:cstheme="minorHAnsi"/>
          <w:bCs/>
          <w:sz w:val="4"/>
        </w:rPr>
      </w:pP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87613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87613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876130"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7C5644B4" w14:textId="77777777" w:rsidR="00275563" w:rsidRDefault="00275563" w:rsidP="00001D73">
      <w:pPr>
        <w:autoSpaceDE w:val="0"/>
        <w:autoSpaceDN w:val="0"/>
        <w:adjustRightInd w:val="0"/>
        <w:spacing w:after="0" w:line="240" w:lineRule="auto"/>
        <w:rPr>
          <w:rFonts w:cstheme="minorHAnsi"/>
          <w:b/>
          <w:bCs/>
        </w:rPr>
      </w:pPr>
    </w:p>
    <w:p w14:paraId="0CABCFF7" w14:textId="63E731CF" w:rsidR="00092566" w:rsidRDefault="009C7513" w:rsidP="00001D73">
      <w:pPr>
        <w:autoSpaceDE w:val="0"/>
        <w:autoSpaceDN w:val="0"/>
        <w:adjustRightInd w:val="0"/>
        <w:spacing w:after="0" w:line="240" w:lineRule="auto"/>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r w:rsidR="00001D73">
        <w:rPr>
          <w:rFonts w:cstheme="minorHAnsi"/>
          <w:b/>
          <w:bCs/>
        </w:rPr>
        <w:br/>
      </w:r>
    </w:p>
    <w:p w14:paraId="1FCAEC20" w14:textId="77777777" w:rsidR="0056102A" w:rsidRDefault="0056102A" w:rsidP="0056102A">
      <w:pPr>
        <w:autoSpaceDE w:val="0"/>
        <w:autoSpaceDN w:val="0"/>
        <w:adjustRightInd w:val="0"/>
        <w:spacing w:after="0" w:line="240" w:lineRule="auto"/>
        <w:rPr>
          <w:rFonts w:cstheme="minorHAnsi"/>
          <w:bCs/>
        </w:rPr>
      </w:pPr>
      <w:r w:rsidRPr="00354BC2">
        <w:rPr>
          <w:rFonts w:cstheme="minorHAnsi"/>
          <w:bCs/>
        </w:rPr>
        <w:t>N/A</w:t>
      </w:r>
    </w:p>
    <w:p w14:paraId="376EB063" w14:textId="77777777" w:rsidR="0056102A" w:rsidRDefault="0056102A"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CABCFF9" w14:textId="048DC4B7" w:rsidR="00C1695E" w:rsidRDefault="00C1695E" w:rsidP="00001D73">
      <w:pPr>
        <w:autoSpaceDE w:val="0"/>
        <w:autoSpaceDN w:val="0"/>
        <w:adjustRightInd w:val="0"/>
        <w:spacing w:after="0" w:line="240" w:lineRule="auto"/>
        <w:rPr>
          <w:rFonts w:cstheme="minorHAnsi"/>
          <w:b/>
          <w:bCs/>
        </w:rPr>
      </w:pPr>
    </w:p>
    <w:p w14:paraId="2E035419" w14:textId="77777777" w:rsidR="0056102A" w:rsidRDefault="0056102A" w:rsidP="0056102A">
      <w:pPr>
        <w:autoSpaceDE w:val="0"/>
        <w:autoSpaceDN w:val="0"/>
        <w:adjustRightInd w:val="0"/>
        <w:spacing w:after="0" w:line="240" w:lineRule="auto"/>
        <w:rPr>
          <w:rFonts w:cstheme="minorHAnsi"/>
          <w:bCs/>
        </w:rPr>
      </w:pPr>
      <w:r w:rsidRPr="00354BC2">
        <w:rPr>
          <w:rFonts w:cstheme="minorHAnsi"/>
          <w:bCs/>
        </w:rPr>
        <w:t>N/A</w:t>
      </w:r>
    </w:p>
    <w:p w14:paraId="4DC05A40" w14:textId="77777777" w:rsidR="0056102A" w:rsidRPr="00001D73" w:rsidRDefault="0056102A" w:rsidP="00001D73">
      <w:pPr>
        <w:autoSpaceDE w:val="0"/>
        <w:autoSpaceDN w:val="0"/>
        <w:adjustRightInd w:val="0"/>
        <w:spacing w:after="0" w:line="240" w:lineRule="auto"/>
        <w:rPr>
          <w:rFonts w:cstheme="minorHAnsi"/>
          <w:b/>
          <w:bCs/>
        </w:rPr>
      </w:pP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405EEB66" w:rsidR="00743E46" w:rsidRDefault="00743E46" w:rsidP="00092566">
      <w:pPr>
        <w:autoSpaceDE w:val="0"/>
        <w:autoSpaceDN w:val="0"/>
        <w:adjustRightInd w:val="0"/>
        <w:spacing w:after="0" w:line="240" w:lineRule="auto"/>
        <w:rPr>
          <w:rFonts w:cstheme="minorHAnsi"/>
          <w:b/>
          <w:bCs/>
        </w:rPr>
      </w:pPr>
    </w:p>
    <w:p w14:paraId="3887DBF9" w14:textId="77777777" w:rsidR="0056102A" w:rsidRDefault="0056102A" w:rsidP="0056102A">
      <w:pPr>
        <w:autoSpaceDE w:val="0"/>
        <w:autoSpaceDN w:val="0"/>
        <w:adjustRightInd w:val="0"/>
        <w:spacing w:after="0" w:line="240" w:lineRule="auto"/>
        <w:rPr>
          <w:rFonts w:cstheme="minorHAnsi"/>
          <w:bCs/>
        </w:rPr>
      </w:pPr>
      <w:r w:rsidRPr="00354BC2">
        <w:rPr>
          <w:rFonts w:cstheme="minorHAnsi"/>
          <w:bCs/>
        </w:rPr>
        <w:t>N/A</w:t>
      </w:r>
    </w:p>
    <w:p w14:paraId="147976BB" w14:textId="77777777" w:rsidR="0056102A" w:rsidRDefault="0056102A" w:rsidP="00092566">
      <w:pPr>
        <w:autoSpaceDE w:val="0"/>
        <w:autoSpaceDN w:val="0"/>
        <w:adjustRightInd w:val="0"/>
        <w:spacing w:after="0" w:line="240" w:lineRule="auto"/>
        <w:rPr>
          <w:rFonts w:cstheme="minorHAnsi"/>
          <w:b/>
          <w:bCs/>
        </w:rPr>
      </w:pPr>
    </w:p>
    <w:p w14:paraId="0CABCFFD" w14:textId="6E03B903" w:rsidR="00001D73"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05D64555" w14:textId="77777777" w:rsidR="0056102A" w:rsidRDefault="0056102A" w:rsidP="0056102A">
      <w:pPr>
        <w:autoSpaceDE w:val="0"/>
        <w:autoSpaceDN w:val="0"/>
        <w:adjustRightInd w:val="0"/>
        <w:spacing w:after="0" w:line="240" w:lineRule="auto"/>
        <w:rPr>
          <w:rFonts w:cstheme="minorHAnsi"/>
          <w:bCs/>
        </w:rPr>
      </w:pPr>
      <w:r w:rsidRPr="00354BC2">
        <w:rPr>
          <w:rFonts w:cstheme="minorHAnsi"/>
          <w:bCs/>
        </w:rPr>
        <w:t>N/A</w:t>
      </w:r>
    </w:p>
    <w:p w14:paraId="1FDD8886" w14:textId="77777777" w:rsidR="0056102A" w:rsidRPr="00001D73" w:rsidRDefault="0056102A" w:rsidP="00092566">
      <w:pPr>
        <w:autoSpaceDE w:val="0"/>
        <w:autoSpaceDN w:val="0"/>
        <w:adjustRightInd w:val="0"/>
        <w:spacing w:after="0" w:line="240" w:lineRule="auto"/>
        <w:rPr>
          <w:rFonts w:cstheme="minorHAnsi"/>
          <w:b/>
          <w:bCs/>
        </w:rPr>
      </w:pPr>
    </w:p>
    <w:p w14:paraId="4ECD6D70" w14:textId="77777777" w:rsidR="0056102A" w:rsidRDefault="009C7513" w:rsidP="0056102A">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02F048C6" w14:textId="579373C7" w:rsidR="0056102A" w:rsidRDefault="0056102A" w:rsidP="0056102A">
      <w:pPr>
        <w:autoSpaceDE w:val="0"/>
        <w:autoSpaceDN w:val="0"/>
        <w:adjustRightInd w:val="0"/>
        <w:spacing w:after="0" w:line="240" w:lineRule="auto"/>
        <w:rPr>
          <w:rFonts w:cstheme="minorHAnsi"/>
          <w:bCs/>
        </w:rPr>
      </w:pPr>
      <w:r w:rsidRPr="00354BC2">
        <w:rPr>
          <w:rFonts w:cstheme="minorHAnsi"/>
          <w:bCs/>
        </w:rPr>
        <w:t>N/A</w:t>
      </w:r>
    </w:p>
    <w:p w14:paraId="0CABCFFE" w14:textId="57E7DDD4" w:rsidR="00001D73" w:rsidRDefault="00001D73" w:rsidP="00092566">
      <w:pPr>
        <w:autoSpaceDE w:val="0"/>
        <w:autoSpaceDN w:val="0"/>
        <w:adjustRightInd w:val="0"/>
        <w:spacing w:after="0" w:line="240" w:lineRule="auto"/>
        <w:rPr>
          <w:rFonts w:cstheme="minorHAnsi"/>
          <w:b/>
          <w:bCs/>
        </w:rPr>
      </w:pPr>
    </w:p>
    <w:p w14:paraId="3DD9C856" w14:textId="77777777" w:rsidR="0056102A" w:rsidRDefault="009C7513" w:rsidP="0056102A">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00B1EFEB" w14:textId="5E1DF200" w:rsidR="0056102A" w:rsidRDefault="0056102A" w:rsidP="0056102A">
      <w:pPr>
        <w:autoSpaceDE w:val="0"/>
        <w:autoSpaceDN w:val="0"/>
        <w:adjustRightInd w:val="0"/>
        <w:spacing w:after="0" w:line="240" w:lineRule="auto"/>
        <w:rPr>
          <w:rFonts w:cstheme="minorHAnsi"/>
          <w:bCs/>
        </w:rPr>
      </w:pPr>
      <w:r w:rsidRPr="00354BC2">
        <w:rPr>
          <w:rFonts w:cstheme="minorHAnsi"/>
          <w:bCs/>
        </w:rPr>
        <w:t>N/A</w:t>
      </w:r>
    </w:p>
    <w:p w14:paraId="0CABCFFF" w14:textId="7ECFB7AA" w:rsidR="00743E46" w:rsidRDefault="00743E46" w:rsidP="00092566">
      <w:pPr>
        <w:autoSpaceDE w:val="0"/>
        <w:autoSpaceDN w:val="0"/>
        <w:adjustRightInd w:val="0"/>
        <w:spacing w:after="0" w:line="240" w:lineRule="auto"/>
        <w:rPr>
          <w:rFonts w:cstheme="minorHAnsi"/>
          <w:b/>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74AB87F8" w14:textId="77777777" w:rsidR="0056102A" w:rsidRDefault="0056102A" w:rsidP="0056102A">
      <w:pPr>
        <w:autoSpaceDE w:val="0"/>
        <w:autoSpaceDN w:val="0"/>
        <w:adjustRightInd w:val="0"/>
        <w:spacing w:after="0" w:line="240" w:lineRule="auto"/>
        <w:rPr>
          <w:rFonts w:cstheme="minorHAnsi"/>
          <w:bCs/>
        </w:rPr>
      </w:pPr>
    </w:p>
    <w:p w14:paraId="0CABD001" w14:textId="713AC3A7" w:rsidR="00092566" w:rsidRDefault="0056102A" w:rsidP="0056102A">
      <w:pPr>
        <w:autoSpaceDE w:val="0"/>
        <w:autoSpaceDN w:val="0"/>
        <w:adjustRightInd w:val="0"/>
        <w:spacing w:after="0" w:line="240" w:lineRule="auto"/>
        <w:rPr>
          <w:rFonts w:cstheme="minorHAnsi"/>
          <w:bCs/>
        </w:rPr>
      </w:pPr>
      <w:r w:rsidRPr="00354BC2">
        <w:rPr>
          <w:rFonts w:cstheme="minorHAnsi"/>
          <w:bCs/>
        </w:rPr>
        <w:t>N/A</w:t>
      </w:r>
    </w:p>
    <w:p w14:paraId="7670D7B9" w14:textId="77777777" w:rsidR="0056102A" w:rsidRPr="00A25024" w:rsidRDefault="0056102A" w:rsidP="0056102A">
      <w:pPr>
        <w:autoSpaceDE w:val="0"/>
        <w:autoSpaceDN w:val="0"/>
        <w:adjustRightInd w:val="0"/>
        <w:spacing w:after="0" w:line="240" w:lineRule="auto"/>
        <w:rPr>
          <w:rFonts w:cstheme="minorHAnsi"/>
          <w:bCs/>
        </w:rPr>
      </w:pPr>
    </w:p>
    <w:p w14:paraId="0CABD002" w14:textId="35305BFC" w:rsidR="00092566" w:rsidRPr="00A25024" w:rsidRDefault="009C7513" w:rsidP="00092566">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14:paraId="343FEFB9" w14:textId="77777777" w:rsidR="0056102A" w:rsidRDefault="0056102A" w:rsidP="0056102A">
      <w:pPr>
        <w:autoSpaceDE w:val="0"/>
        <w:autoSpaceDN w:val="0"/>
        <w:adjustRightInd w:val="0"/>
        <w:spacing w:after="0" w:line="240" w:lineRule="auto"/>
        <w:rPr>
          <w:rFonts w:cstheme="minorHAnsi"/>
          <w:bCs/>
        </w:rPr>
      </w:pPr>
      <w:r w:rsidRPr="00354BC2">
        <w:rPr>
          <w:rFonts w:cstheme="minorHAnsi"/>
          <w:bCs/>
        </w:rPr>
        <w:t>N/A</w:t>
      </w: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4ED7E714" w14:textId="77777777" w:rsidR="0056102A" w:rsidRDefault="0056102A" w:rsidP="0056102A">
      <w:pPr>
        <w:autoSpaceDE w:val="0"/>
        <w:autoSpaceDN w:val="0"/>
        <w:adjustRightInd w:val="0"/>
        <w:spacing w:after="0" w:line="240" w:lineRule="auto"/>
        <w:rPr>
          <w:rFonts w:cstheme="minorHAnsi"/>
          <w:bCs/>
        </w:rPr>
      </w:pPr>
    </w:p>
    <w:p w14:paraId="5F917F89" w14:textId="262E0739" w:rsidR="0056102A" w:rsidRDefault="0056102A" w:rsidP="0056102A">
      <w:pPr>
        <w:autoSpaceDE w:val="0"/>
        <w:autoSpaceDN w:val="0"/>
        <w:adjustRightInd w:val="0"/>
        <w:spacing w:after="0" w:line="240" w:lineRule="auto"/>
        <w:rPr>
          <w:rFonts w:cstheme="minorHAnsi"/>
          <w:bCs/>
        </w:rPr>
      </w:pPr>
      <w:r w:rsidRPr="00354BC2">
        <w:rPr>
          <w:rFonts w:cstheme="minorHAnsi"/>
          <w:bCs/>
        </w:rPr>
        <w:t>N/A</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0CABD008" w14:textId="14F4B090" w:rsidR="00D61410" w:rsidRDefault="009C7513" w:rsidP="00D61410">
      <w:pPr>
        <w:autoSpaceDE w:val="0"/>
        <w:autoSpaceDN w:val="0"/>
        <w:adjustRightInd w:val="0"/>
        <w:spacing w:after="0" w:line="240" w:lineRule="auto"/>
        <w:rPr>
          <w:rFonts w:cstheme="minorHAnsi"/>
          <w:bCs/>
        </w:rPr>
      </w:pPr>
      <w:r w:rsidRPr="009C23FB">
        <w:rPr>
          <w:rFonts w:cstheme="minorHAnsi"/>
          <w:b/>
          <w:bCs/>
          <w:highlight w:val="green"/>
        </w:rPr>
        <w:t>2b4</w:t>
      </w:r>
      <w:r w:rsidR="00D61410" w:rsidRPr="009C23FB">
        <w:rPr>
          <w:rFonts w:cstheme="minorHAnsi"/>
          <w:b/>
          <w:bCs/>
          <w:highlight w:val="green"/>
        </w:rPr>
        <w:t>.1. Describe the method for determining if statistically significant and clinically/practically meaningful differences in performance measure scores among the measured entities can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t xml:space="preserve"> </w:t>
      </w:r>
    </w:p>
    <w:p w14:paraId="592812F6" w14:textId="77777777"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 xml:space="preserve">Differences in measure performance were evaluated separately for each facility using patient level analyses. The proportion of patients with three-month (current month and the two prior months) rolling average of serum or plasma calcium greater than 10.2 (hypercalcemia), calculated at the year-level, was compared between one facility and the overall national distribution, and repeated for each individual facility.  </w:t>
      </w:r>
    </w:p>
    <w:p w14:paraId="716C4B3E" w14:textId="31B87ED4" w:rsidR="008A11C0" w:rsidRPr="006E0BC1" w:rsidRDefault="008A11C0" w:rsidP="008A11C0">
      <w:pPr>
        <w:autoSpaceDE w:val="0"/>
        <w:autoSpaceDN w:val="0"/>
        <w:adjustRightInd w:val="0"/>
        <w:spacing w:after="0" w:line="240" w:lineRule="auto"/>
        <w:rPr>
          <w:rFonts w:cstheme="minorHAnsi"/>
          <w:bCs/>
        </w:rPr>
      </w:pPr>
    </w:p>
    <w:p w14:paraId="628F8E98" w14:textId="63B033A9" w:rsidR="008A11C0" w:rsidRPr="00A25024" w:rsidRDefault="008A11C0" w:rsidP="008A11C0">
      <w:pPr>
        <w:autoSpaceDE w:val="0"/>
        <w:autoSpaceDN w:val="0"/>
        <w:adjustRightInd w:val="0"/>
        <w:spacing w:after="0" w:line="240" w:lineRule="auto"/>
        <w:rPr>
          <w:rFonts w:cstheme="minorHAnsi"/>
          <w:bCs/>
        </w:rPr>
      </w:pPr>
      <w:r w:rsidRPr="006E0BC1">
        <w:rPr>
          <w:rFonts w:cstheme="minorHAnsi"/>
          <w:bCs/>
        </w:rPr>
        <w:t xml:space="preserve">Note that the monthly based measure is a simple average of binary outcomes across individuals in the facility, for which the binary outcome equals to 0 (failure=hypercalcemia or if the value of calcium </w:t>
      </w:r>
      <w:r w:rsidR="00BB5AEF">
        <w:rPr>
          <w:rFonts w:cstheme="minorHAnsi"/>
          <w:bCs/>
        </w:rPr>
        <w:t xml:space="preserve">for the reporting </w:t>
      </w:r>
      <w:r w:rsidRPr="006E0BC1">
        <w:rPr>
          <w:rFonts w:cstheme="minorHAnsi"/>
          <w:bCs/>
        </w:rPr>
        <w:t>month is missing).  The differences in proportions can be compared using Fisher’s Exact tests or its normal approximation. The yearly based measure, however, is not a simple average of binary outcomes and we inste</w:t>
      </w:r>
      <w:r w:rsidRPr="00AF6AAC">
        <w:rPr>
          <w:rFonts w:cstheme="minorHAnsi"/>
          <w:bCs/>
        </w:rPr>
        <w:t>ad used a re-sampling based exact test, with re-sampling generated from the population distribution of the patient level outcomes. Due to non-symmetric structure of the measure distributions, a one-sided test with significance level 0.025 is used (corresponding to</w:t>
      </w:r>
      <w:r w:rsidRPr="006E0BC1">
        <w:rPr>
          <w:rFonts w:cstheme="minorHAnsi"/>
          <w:bCs/>
        </w:rPr>
        <w:t xml:space="preserve"> cutoff=0.05 in a two-sided test). To calculate the p-value, we assess the probability that the facility would experience a number of events (i.e., percentage with hypercalcemia) more extreme than that observed if the null hypothesis were true, the null hypothesis being that the facility's distribution of hypercalcemia will follow the overall national distribution.</w:t>
      </w:r>
    </w:p>
    <w:p w14:paraId="10B14C6B" w14:textId="77777777" w:rsidR="004725F1" w:rsidRDefault="004725F1" w:rsidP="00D61410">
      <w:pPr>
        <w:autoSpaceDE w:val="0"/>
        <w:autoSpaceDN w:val="0"/>
        <w:adjustRightInd w:val="0"/>
        <w:spacing w:after="0" w:line="240" w:lineRule="auto"/>
        <w:rPr>
          <w:rFonts w:cstheme="minorHAnsi"/>
          <w:bCs/>
        </w:rPr>
      </w:pPr>
    </w:p>
    <w:p w14:paraId="61B97654" w14:textId="202A7165" w:rsidR="00BB08A3" w:rsidRPr="00AF6AAC" w:rsidRDefault="00BB08A3" w:rsidP="00D61410">
      <w:pPr>
        <w:autoSpaceDE w:val="0"/>
        <w:autoSpaceDN w:val="0"/>
        <w:adjustRightInd w:val="0"/>
        <w:spacing w:after="0" w:line="240" w:lineRule="auto"/>
        <w:rPr>
          <w:rFonts w:cstheme="minorHAnsi"/>
          <w:bCs/>
          <w:color w:val="FF0000"/>
        </w:rPr>
      </w:pPr>
      <w:r w:rsidRPr="00B330A6">
        <w:rPr>
          <w:rFonts w:cstheme="minorHAnsi"/>
          <w:bCs/>
          <w:color w:val="FF0000"/>
        </w:rPr>
        <w:t>For the Spring 2019 submission, we reproduce</w:t>
      </w:r>
      <w:r w:rsidR="006F3EF0" w:rsidRPr="00B330A6">
        <w:rPr>
          <w:rFonts w:cstheme="minorHAnsi"/>
          <w:bCs/>
          <w:color w:val="FF0000"/>
        </w:rPr>
        <w:t>d</w:t>
      </w:r>
      <w:r w:rsidRPr="00B330A6">
        <w:rPr>
          <w:rFonts w:cstheme="minorHAnsi"/>
          <w:bCs/>
          <w:color w:val="FF0000"/>
        </w:rPr>
        <w:t xml:space="preserve"> the significance analysis using data from January – December 2017.</w:t>
      </w:r>
      <w:r w:rsidR="006F3EF0" w:rsidRPr="00B330A6">
        <w:rPr>
          <w:rFonts w:cstheme="minorHAnsi"/>
          <w:bCs/>
          <w:color w:val="FF0000"/>
        </w:rPr>
        <w:t xml:space="preserve"> We have revised the description of the analysis to be </w:t>
      </w:r>
      <w:r w:rsidR="00740108" w:rsidRPr="00B330A6">
        <w:rPr>
          <w:rFonts w:cstheme="minorHAnsi"/>
          <w:bCs/>
          <w:color w:val="FF0000"/>
        </w:rPr>
        <w:t>clearer</w:t>
      </w:r>
      <w:r w:rsidR="00B330A6" w:rsidRPr="00B330A6">
        <w:rPr>
          <w:rFonts w:cstheme="minorHAnsi"/>
          <w:bCs/>
          <w:color w:val="FF0000"/>
        </w:rPr>
        <w:t>:</w:t>
      </w:r>
      <w:r w:rsidR="006F3EF0" w:rsidRPr="00AF6AAC">
        <w:rPr>
          <w:rFonts w:cstheme="minorHAnsi"/>
          <w:bCs/>
          <w:color w:val="FF0000"/>
        </w:rPr>
        <w:t xml:space="preserve"> </w:t>
      </w:r>
    </w:p>
    <w:p w14:paraId="32B024DC" w14:textId="49503230" w:rsidR="006F3EF0" w:rsidRPr="00AF6AAC" w:rsidRDefault="006F3EF0" w:rsidP="006F3EF0">
      <w:pPr>
        <w:spacing w:before="100" w:beforeAutospacing="1" w:after="100" w:afterAutospacing="1"/>
        <w:rPr>
          <w:color w:val="FF0000"/>
        </w:rPr>
      </w:pPr>
      <w:r w:rsidRPr="00AF6AAC">
        <w:rPr>
          <w:rFonts w:ascii="Calibri" w:hAnsi="Calibri"/>
          <w:color w:val="FF0000"/>
        </w:rPr>
        <w:t>Testing was performed on the yearly based performance score. We used a re-sampling based exact test, with re-sampling generated from the population distribution of the patient level outcomes. Note that a one-sided test with significance level 0.025 is used (corresponding to cutoff=0.05 in a two-sided test) due to non-symmetric structure of the measure's distribution. To calculate the p-value, we compute the probability that the facility would experience a number of events (i.e., percentage with hypercalcemia) more extreme than that observed if the null hypothesis were true, with the null hypothesis being that the  facility's distribution of hypercalcemia will follow the overall national distribution.</w:t>
      </w:r>
    </w:p>
    <w:p w14:paraId="30F928FA" w14:textId="77777777" w:rsidR="006F3EF0" w:rsidRPr="006E7435" w:rsidRDefault="006F3EF0" w:rsidP="00D61410">
      <w:pPr>
        <w:autoSpaceDE w:val="0"/>
        <w:autoSpaceDN w:val="0"/>
        <w:adjustRightInd w:val="0"/>
        <w:spacing w:after="0" w:line="240" w:lineRule="auto"/>
        <w:rPr>
          <w:rFonts w:cstheme="minorHAnsi"/>
          <w:bCs/>
          <w:color w:val="FF0000"/>
        </w:rPr>
      </w:pPr>
    </w:p>
    <w:p w14:paraId="0CABD009" w14:textId="77777777" w:rsidR="00D61410" w:rsidRPr="00A25024" w:rsidRDefault="00D61410" w:rsidP="00D61410">
      <w:pPr>
        <w:autoSpaceDE w:val="0"/>
        <w:autoSpaceDN w:val="0"/>
        <w:adjustRightInd w:val="0"/>
        <w:spacing w:after="0" w:line="240" w:lineRule="auto"/>
        <w:rPr>
          <w:rFonts w:cstheme="minorHAnsi"/>
          <w:bCs/>
        </w:rPr>
      </w:pPr>
    </w:p>
    <w:p w14:paraId="0CABD00A" w14:textId="47D2818C" w:rsidR="00D61410" w:rsidRDefault="009C7513" w:rsidP="00D61410">
      <w:pPr>
        <w:autoSpaceDE w:val="0"/>
        <w:autoSpaceDN w:val="0"/>
        <w:adjustRightInd w:val="0"/>
        <w:spacing w:after="0" w:line="240" w:lineRule="auto"/>
        <w:rPr>
          <w:rFonts w:cstheme="minorHAnsi"/>
          <w:bCs/>
        </w:rPr>
      </w:pPr>
      <w:r w:rsidRPr="009C23FB">
        <w:rPr>
          <w:rFonts w:cstheme="minorHAnsi"/>
          <w:b/>
          <w:bCs/>
          <w:highlight w:val="green"/>
        </w:rPr>
        <w:t>2b4</w:t>
      </w:r>
      <w:r w:rsidR="00D61410" w:rsidRPr="009C23FB">
        <w:rPr>
          <w:rFonts w:cstheme="minorHAnsi"/>
          <w:b/>
          <w:bCs/>
          <w:highlight w:val="green"/>
        </w:rPr>
        <w:t xml:space="preserve">.2. What were the statistical results from testing the ability to identify </w:t>
      </w:r>
      <w:r w:rsidR="001E69DC" w:rsidRPr="009C23FB">
        <w:rPr>
          <w:rFonts w:cstheme="minorHAnsi"/>
          <w:b/>
          <w:bCs/>
          <w:highlight w:val="green"/>
        </w:rPr>
        <w:t xml:space="preserve">statistically significant and/or clinically/practically meaningful </w:t>
      </w:r>
      <w:r w:rsidR="00D61410" w:rsidRPr="009C23FB">
        <w:rPr>
          <w:rFonts w:cstheme="minorHAnsi"/>
          <w:b/>
          <w:bCs/>
          <w:highlight w:val="green"/>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4331EA97" w14:textId="77777777" w:rsidR="008A11C0" w:rsidRPr="006E0BC1" w:rsidRDefault="008A11C0" w:rsidP="008A11C0">
      <w:pPr>
        <w:spacing w:after="0"/>
        <w:rPr>
          <w:rFonts w:cs="Calibri"/>
        </w:rPr>
      </w:pPr>
      <w:r w:rsidRPr="006E0BC1">
        <w:rPr>
          <w:rFonts w:cs="Calibri"/>
        </w:rPr>
        <w:t xml:space="preserve">Proportion of facilities with significant p-values (significance level </w:t>
      </w:r>
      <w:r w:rsidRPr="006E0BC1">
        <w:rPr>
          <w:rFonts w:cs="Calibri"/>
          <w:u w:val="single"/>
        </w:rPr>
        <w:t>&lt;</w:t>
      </w:r>
      <w:r w:rsidRPr="006E0BC1">
        <w:rPr>
          <w:rFonts w:cs="Calibri"/>
        </w:rPr>
        <w:t>0.025) is shown as follows:</w:t>
      </w:r>
    </w:p>
    <w:p w14:paraId="6D016EC1" w14:textId="77777777" w:rsidR="008A11C0" w:rsidRPr="006E0BC1" w:rsidRDefault="008A11C0" w:rsidP="008A11C0">
      <w:pPr>
        <w:spacing w:after="0"/>
        <w:rPr>
          <w:rFonts w:cs="Calibri"/>
        </w:rPr>
      </w:pPr>
      <w:r w:rsidRPr="006E0BC1">
        <w:rPr>
          <w:rFonts w:cs="Calibri"/>
          <w:u w:val="single"/>
        </w:rPr>
        <w:t>Category</w:t>
      </w:r>
      <w:r w:rsidRPr="006E0BC1">
        <w:rPr>
          <w:rFonts w:cs="Calibri"/>
        </w:rPr>
        <w:t xml:space="preserve">                                                </w:t>
      </w:r>
      <w:r w:rsidRPr="006E0BC1">
        <w:rPr>
          <w:rFonts w:cs="Calibri"/>
          <w:u w:val="single"/>
        </w:rPr>
        <w:t>Number of facilities</w:t>
      </w:r>
      <w:r w:rsidRPr="006E0BC1">
        <w:rPr>
          <w:rFonts w:cs="Calibri"/>
        </w:rPr>
        <w:t xml:space="preserve">              </w:t>
      </w:r>
      <w:r w:rsidRPr="006E0BC1">
        <w:rPr>
          <w:rFonts w:cs="Calibri"/>
          <w:u w:val="single"/>
        </w:rPr>
        <w:t>Percent of facilities</w:t>
      </w:r>
    </w:p>
    <w:p w14:paraId="6B02E263" w14:textId="1C6B32EA" w:rsidR="008A11C0" w:rsidRPr="006E0BC1" w:rsidRDefault="008A11C0" w:rsidP="008A11C0">
      <w:pPr>
        <w:spacing w:after="0"/>
        <w:rPr>
          <w:rFonts w:cs="Calibri"/>
        </w:rPr>
      </w:pPr>
      <w:r w:rsidRPr="006E0BC1">
        <w:rPr>
          <w:rFonts w:cs="Calibri"/>
        </w:rPr>
        <w:t xml:space="preserve">As expected                                          5004                                         85.1%          </w:t>
      </w:r>
    </w:p>
    <w:p w14:paraId="68B3EEF7" w14:textId="58185504" w:rsidR="008A11C0" w:rsidRPr="006E0BC1" w:rsidRDefault="008A11C0" w:rsidP="008A11C0">
      <w:pPr>
        <w:spacing w:after="0"/>
        <w:rPr>
          <w:rFonts w:cs="Calibri"/>
          <w:shd w:val="clear" w:color="auto" w:fill="FFFFFF"/>
        </w:rPr>
      </w:pPr>
      <w:r w:rsidRPr="006E0BC1">
        <w:rPr>
          <w:rFonts w:cs="Calibri"/>
        </w:rPr>
        <w:t xml:space="preserve">Worse than expected                          876                                           14.9%          </w:t>
      </w:r>
    </w:p>
    <w:p w14:paraId="71C0A003" w14:textId="466C3631" w:rsidR="0056102A" w:rsidRDefault="0056102A" w:rsidP="00D61410">
      <w:pPr>
        <w:autoSpaceDE w:val="0"/>
        <w:autoSpaceDN w:val="0"/>
        <w:adjustRightInd w:val="0"/>
        <w:spacing w:after="0" w:line="240" w:lineRule="auto"/>
        <w:rPr>
          <w:rFonts w:cstheme="minorHAnsi"/>
          <w:bCs/>
        </w:rPr>
      </w:pPr>
    </w:p>
    <w:p w14:paraId="4067E153" w14:textId="7A9C1314" w:rsidR="006E7435" w:rsidRDefault="006E7435" w:rsidP="00D61410">
      <w:pPr>
        <w:autoSpaceDE w:val="0"/>
        <w:autoSpaceDN w:val="0"/>
        <w:adjustRightInd w:val="0"/>
        <w:spacing w:after="0" w:line="240" w:lineRule="auto"/>
        <w:rPr>
          <w:rFonts w:cstheme="minorHAnsi"/>
          <w:bCs/>
        </w:rPr>
      </w:pPr>
    </w:p>
    <w:p w14:paraId="5094D5C2" w14:textId="507D495E" w:rsidR="006E7435" w:rsidRPr="002B32B7" w:rsidRDefault="006E7435" w:rsidP="00D61410">
      <w:pPr>
        <w:autoSpaceDE w:val="0"/>
        <w:autoSpaceDN w:val="0"/>
        <w:adjustRightInd w:val="0"/>
        <w:spacing w:after="0" w:line="240" w:lineRule="auto"/>
        <w:rPr>
          <w:rFonts w:cstheme="minorHAnsi"/>
          <w:bCs/>
          <w:color w:val="FF0000"/>
        </w:rPr>
      </w:pPr>
      <w:r w:rsidRPr="002B32B7">
        <w:rPr>
          <w:rFonts w:cstheme="minorHAnsi"/>
          <w:bCs/>
          <w:color w:val="FF0000"/>
        </w:rPr>
        <w:t>For the Spring 2019 Maintenance submission, the results were as follows:</w:t>
      </w:r>
    </w:p>
    <w:p w14:paraId="71747463" w14:textId="5350E8E7" w:rsidR="006E7435" w:rsidRPr="002B32B7" w:rsidRDefault="006E7435" w:rsidP="00D61410">
      <w:pPr>
        <w:autoSpaceDE w:val="0"/>
        <w:autoSpaceDN w:val="0"/>
        <w:adjustRightInd w:val="0"/>
        <w:spacing w:after="0" w:line="240" w:lineRule="auto"/>
        <w:rPr>
          <w:rFonts w:cstheme="minorHAnsi"/>
          <w:bCs/>
          <w:color w:val="FF0000"/>
        </w:rPr>
      </w:pPr>
    </w:p>
    <w:p w14:paraId="312A8C76" w14:textId="77777777" w:rsidR="006E7435" w:rsidRPr="002B32B7" w:rsidRDefault="006E7435" w:rsidP="006E7435">
      <w:pPr>
        <w:spacing w:after="0"/>
        <w:rPr>
          <w:rFonts w:cs="Calibri"/>
          <w:color w:val="FF0000"/>
        </w:rPr>
      </w:pPr>
      <w:r w:rsidRPr="002B32B7">
        <w:rPr>
          <w:rFonts w:cs="Calibri"/>
          <w:color w:val="FF0000"/>
        </w:rPr>
        <w:t xml:space="preserve">Proportion of facilities with significant p-values (significance level </w:t>
      </w:r>
      <w:r w:rsidRPr="002B32B7">
        <w:rPr>
          <w:rFonts w:cs="Calibri"/>
          <w:color w:val="FF0000"/>
          <w:u w:val="single"/>
        </w:rPr>
        <w:t>&lt;</w:t>
      </w:r>
      <w:r w:rsidRPr="002B32B7">
        <w:rPr>
          <w:rFonts w:cs="Calibri"/>
          <w:color w:val="FF0000"/>
        </w:rPr>
        <w:t>0.025) is shown as follows:</w:t>
      </w:r>
    </w:p>
    <w:p w14:paraId="485B5E69" w14:textId="1A8341E0" w:rsidR="006E7435" w:rsidRPr="002B32B7" w:rsidRDefault="006E7435" w:rsidP="006E7435">
      <w:pPr>
        <w:spacing w:after="0"/>
        <w:rPr>
          <w:rFonts w:cs="Calibri"/>
          <w:color w:val="FF0000"/>
        </w:rPr>
      </w:pPr>
      <w:r w:rsidRPr="002B32B7">
        <w:rPr>
          <w:rFonts w:cs="Calibri"/>
          <w:color w:val="FF0000"/>
          <w:u w:val="single"/>
        </w:rPr>
        <w:t>Category</w:t>
      </w:r>
      <w:r w:rsidRPr="002B32B7">
        <w:rPr>
          <w:rFonts w:cs="Calibri"/>
          <w:color w:val="FF0000"/>
        </w:rPr>
        <w:t xml:space="preserve">                                               </w:t>
      </w:r>
      <w:r w:rsidRPr="002B32B7">
        <w:rPr>
          <w:rFonts w:cs="Calibri"/>
          <w:color w:val="FF0000"/>
          <w:u w:val="single"/>
        </w:rPr>
        <w:t>Number of facilities</w:t>
      </w:r>
      <w:r w:rsidRPr="002B32B7">
        <w:rPr>
          <w:rFonts w:cs="Calibri"/>
          <w:color w:val="FF0000"/>
        </w:rPr>
        <w:t xml:space="preserve">              </w:t>
      </w:r>
      <w:r w:rsidR="00176D1A">
        <w:rPr>
          <w:rFonts w:cs="Calibri"/>
          <w:color w:val="FF0000"/>
        </w:rPr>
        <w:tab/>
      </w:r>
      <w:r w:rsidRPr="002B32B7">
        <w:rPr>
          <w:rFonts w:cs="Calibri"/>
          <w:color w:val="FF0000"/>
          <w:u w:val="single"/>
        </w:rPr>
        <w:t>Percent of facilities</w:t>
      </w:r>
    </w:p>
    <w:p w14:paraId="7441D049" w14:textId="000387F4" w:rsidR="006E7435" w:rsidRPr="002B32B7" w:rsidRDefault="006E7435" w:rsidP="006E7435">
      <w:pPr>
        <w:spacing w:after="0"/>
        <w:rPr>
          <w:rFonts w:cs="Calibri"/>
          <w:color w:val="FF0000"/>
        </w:rPr>
      </w:pPr>
      <w:r w:rsidRPr="002B32B7">
        <w:rPr>
          <w:rFonts w:cs="Calibri"/>
          <w:color w:val="FF0000"/>
        </w:rPr>
        <w:t xml:space="preserve">As expected                  </w:t>
      </w:r>
      <w:r w:rsidR="00176D1A">
        <w:rPr>
          <w:rFonts w:cs="Calibri"/>
          <w:color w:val="FF0000"/>
        </w:rPr>
        <w:t xml:space="preserve">                       6</w:t>
      </w:r>
      <w:r w:rsidR="00ED462E">
        <w:rPr>
          <w:rFonts w:cs="Calibri"/>
          <w:color w:val="FF0000"/>
        </w:rPr>
        <w:t>,</w:t>
      </w:r>
      <w:r w:rsidR="00176D1A">
        <w:rPr>
          <w:rFonts w:cs="Calibri"/>
          <w:color w:val="FF0000"/>
        </w:rPr>
        <w:t xml:space="preserve">329 </w:t>
      </w:r>
      <w:r w:rsidR="00176D1A">
        <w:rPr>
          <w:rFonts w:cs="Calibri"/>
          <w:color w:val="FF0000"/>
        </w:rPr>
        <w:tab/>
      </w:r>
      <w:r w:rsidR="00176D1A">
        <w:rPr>
          <w:rFonts w:cs="Calibri"/>
          <w:color w:val="FF0000"/>
        </w:rPr>
        <w:tab/>
      </w:r>
      <w:r w:rsidR="00176D1A">
        <w:rPr>
          <w:rFonts w:cs="Calibri"/>
          <w:color w:val="FF0000"/>
        </w:rPr>
        <w:tab/>
      </w:r>
      <w:r w:rsidRPr="002B32B7">
        <w:rPr>
          <w:rFonts w:cs="Calibri"/>
          <w:color w:val="FF0000"/>
        </w:rPr>
        <w:t xml:space="preserve">92.7%          </w:t>
      </w:r>
    </w:p>
    <w:p w14:paraId="1BE0812D" w14:textId="50A3B401" w:rsidR="006E7435" w:rsidRPr="002B32B7" w:rsidRDefault="006E7435" w:rsidP="006E7435">
      <w:pPr>
        <w:spacing w:after="0"/>
        <w:rPr>
          <w:rFonts w:cs="Calibri"/>
          <w:color w:val="FF0000"/>
          <w:shd w:val="clear" w:color="auto" w:fill="FFFFFF"/>
        </w:rPr>
      </w:pPr>
      <w:r w:rsidRPr="002B32B7">
        <w:rPr>
          <w:rFonts w:cs="Calibri"/>
          <w:color w:val="FF0000"/>
        </w:rPr>
        <w:t xml:space="preserve">Worse than expected </w:t>
      </w:r>
      <w:r w:rsidR="00176D1A">
        <w:rPr>
          <w:rFonts w:cs="Calibri"/>
          <w:color w:val="FF0000"/>
        </w:rPr>
        <w:t xml:space="preserve">                       495 </w:t>
      </w:r>
      <w:r w:rsidR="00176D1A">
        <w:rPr>
          <w:rFonts w:cs="Calibri"/>
          <w:color w:val="FF0000"/>
        </w:rPr>
        <w:tab/>
      </w:r>
      <w:r w:rsidR="00176D1A">
        <w:rPr>
          <w:rFonts w:cs="Calibri"/>
          <w:color w:val="FF0000"/>
        </w:rPr>
        <w:tab/>
      </w:r>
      <w:r w:rsidR="00176D1A">
        <w:rPr>
          <w:rFonts w:cs="Calibri"/>
          <w:color w:val="FF0000"/>
        </w:rPr>
        <w:tab/>
      </w:r>
      <w:r w:rsidR="00176D1A">
        <w:rPr>
          <w:rFonts w:cs="Calibri"/>
          <w:color w:val="FF0000"/>
        </w:rPr>
        <w:tab/>
      </w:r>
      <w:r w:rsidRPr="002B32B7">
        <w:rPr>
          <w:rFonts w:cs="Calibri"/>
          <w:color w:val="FF0000"/>
        </w:rPr>
        <w:t xml:space="preserve">7.3%          </w:t>
      </w:r>
    </w:p>
    <w:p w14:paraId="6203B7AA" w14:textId="77777777" w:rsidR="006E7435" w:rsidRDefault="006E7435" w:rsidP="00D61410">
      <w:pPr>
        <w:autoSpaceDE w:val="0"/>
        <w:autoSpaceDN w:val="0"/>
        <w:adjustRightInd w:val="0"/>
        <w:spacing w:after="0" w:line="240" w:lineRule="auto"/>
        <w:rPr>
          <w:rFonts w:cstheme="minorHAnsi"/>
          <w:bCs/>
        </w:rPr>
      </w:pPr>
    </w:p>
    <w:p w14:paraId="0CA800D1" w14:textId="77777777" w:rsidR="006E7435" w:rsidRDefault="006E7435" w:rsidP="00D61410">
      <w:pPr>
        <w:autoSpaceDE w:val="0"/>
        <w:autoSpaceDN w:val="0"/>
        <w:adjustRightInd w:val="0"/>
        <w:spacing w:after="0" w:line="240" w:lineRule="auto"/>
        <w:rPr>
          <w:rFonts w:cstheme="minorHAnsi"/>
          <w:bCs/>
        </w:rPr>
      </w:pP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0CABD00C" w14:textId="1C75E17F" w:rsidR="00D61410" w:rsidRDefault="009C7513" w:rsidP="00D61410">
      <w:pPr>
        <w:autoSpaceDE w:val="0"/>
        <w:autoSpaceDN w:val="0"/>
        <w:adjustRightInd w:val="0"/>
        <w:spacing w:after="0" w:line="240" w:lineRule="auto"/>
        <w:rPr>
          <w:rFonts w:cstheme="minorHAnsi"/>
          <w:bCs/>
        </w:rPr>
      </w:pPr>
      <w:r w:rsidRPr="009C23FB">
        <w:rPr>
          <w:rFonts w:cstheme="minorHAnsi"/>
          <w:b/>
          <w:bCs/>
          <w:highlight w:val="green"/>
        </w:rPr>
        <w:t>2b4</w:t>
      </w:r>
      <w:r w:rsidR="00D61410" w:rsidRPr="009C23FB">
        <w:rPr>
          <w:rFonts w:cstheme="minorHAnsi"/>
          <w:b/>
          <w:bCs/>
          <w:highlight w:val="green"/>
        </w:rPr>
        <w:t>.3. What is your interpretation of the results in terms of demonstrating the ability to identify statistically significant and</w:t>
      </w:r>
      <w:r w:rsidR="005038D5" w:rsidRPr="009C23FB">
        <w:rPr>
          <w:rFonts w:cstheme="minorHAnsi"/>
          <w:b/>
          <w:bCs/>
          <w:highlight w:val="green"/>
        </w:rPr>
        <w:t>/or</w:t>
      </w:r>
      <w:r w:rsidR="00D61410" w:rsidRPr="009C23FB">
        <w:rPr>
          <w:rFonts w:cstheme="minorHAnsi"/>
          <w:b/>
          <w:bCs/>
          <w:highlight w:val="green"/>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0D5F2146" w14:textId="6FB23CF5" w:rsidR="008A11C0" w:rsidRPr="006E0BC1" w:rsidRDefault="008A11C0" w:rsidP="008A11C0">
      <w:pPr>
        <w:autoSpaceDE w:val="0"/>
        <w:autoSpaceDN w:val="0"/>
        <w:adjustRightInd w:val="0"/>
        <w:spacing w:after="0" w:line="240" w:lineRule="auto"/>
        <w:rPr>
          <w:rFonts w:cstheme="minorHAnsi"/>
          <w:bCs/>
        </w:rPr>
      </w:pPr>
      <w:r w:rsidRPr="006E0BC1">
        <w:rPr>
          <w:rFonts w:cstheme="minorHAnsi"/>
          <w:bCs/>
        </w:rPr>
        <w:t xml:space="preserve">Using monthly hypercalcemia, calculated at the year-level, as the performance measure, 5004 (85%) facilities have achieved expected performance, and 876 facilities (15%) performed worse than expected. </w:t>
      </w:r>
    </w:p>
    <w:p w14:paraId="1FFC56A5" w14:textId="158C2A03" w:rsidR="0056102A" w:rsidRPr="00354BC2" w:rsidRDefault="008A11C0" w:rsidP="008A11C0">
      <w:pPr>
        <w:autoSpaceDE w:val="0"/>
        <w:autoSpaceDN w:val="0"/>
        <w:adjustRightInd w:val="0"/>
        <w:spacing w:after="0" w:line="240" w:lineRule="auto"/>
        <w:rPr>
          <w:rFonts w:cstheme="minorHAnsi"/>
          <w:bCs/>
        </w:rPr>
      </w:pPr>
      <w:r w:rsidRPr="006E0BC1">
        <w:rPr>
          <w:rFonts w:cstheme="minorHAnsi"/>
          <w:bCs/>
        </w:rPr>
        <w:t>In general, higher rates of hypercalcemia represent worse quality of care. This analysis demonstrates the ability to identify both practical and statistically significant differences in performance across facilities based on their proportion of hypercalcemia.</w:t>
      </w:r>
    </w:p>
    <w:p w14:paraId="71587B02" w14:textId="3FDB0E58" w:rsidR="0056102A" w:rsidRDefault="0056102A" w:rsidP="00D61410">
      <w:pPr>
        <w:autoSpaceDE w:val="0"/>
        <w:autoSpaceDN w:val="0"/>
        <w:adjustRightInd w:val="0"/>
        <w:spacing w:after="0" w:line="240" w:lineRule="auto"/>
        <w:rPr>
          <w:rFonts w:cstheme="minorHAnsi"/>
          <w:bCs/>
        </w:rPr>
      </w:pPr>
    </w:p>
    <w:p w14:paraId="53E8494B" w14:textId="7527119F" w:rsidR="006E7435" w:rsidRDefault="006E7435" w:rsidP="006E7435">
      <w:pPr>
        <w:autoSpaceDE w:val="0"/>
        <w:autoSpaceDN w:val="0"/>
        <w:adjustRightInd w:val="0"/>
        <w:spacing w:after="0" w:line="240" w:lineRule="auto"/>
        <w:rPr>
          <w:rFonts w:cstheme="minorHAnsi"/>
          <w:bCs/>
          <w:color w:val="FF0000"/>
        </w:rPr>
      </w:pPr>
      <w:r w:rsidRPr="006E7435">
        <w:rPr>
          <w:rFonts w:cstheme="minorHAnsi"/>
          <w:bCs/>
          <w:color w:val="FF0000"/>
        </w:rPr>
        <w:t>For the Spring 2019 Maintenance submission, using monthly hypercalcemia, calculated at the year-level, as the performance measure, 6</w:t>
      </w:r>
      <w:r w:rsidR="00ED462E">
        <w:rPr>
          <w:rFonts w:cstheme="minorHAnsi"/>
          <w:bCs/>
          <w:color w:val="FF0000"/>
        </w:rPr>
        <w:t>,</w:t>
      </w:r>
      <w:r w:rsidRPr="006E7435">
        <w:rPr>
          <w:rFonts w:cstheme="minorHAnsi"/>
          <w:bCs/>
          <w:color w:val="FF0000"/>
        </w:rPr>
        <w:t xml:space="preserve">329 (93%) facilities have achieved expected performance, and 495 facilities (7%) performed worse than expected. </w:t>
      </w:r>
    </w:p>
    <w:p w14:paraId="4FEC16B0" w14:textId="047F183D" w:rsidR="00740108" w:rsidRDefault="00740108" w:rsidP="006E7435">
      <w:pPr>
        <w:autoSpaceDE w:val="0"/>
        <w:autoSpaceDN w:val="0"/>
        <w:adjustRightInd w:val="0"/>
        <w:spacing w:after="0" w:line="240" w:lineRule="auto"/>
        <w:rPr>
          <w:rFonts w:cstheme="minorHAnsi"/>
          <w:bCs/>
          <w:color w:val="FF0000"/>
        </w:rPr>
      </w:pPr>
    </w:p>
    <w:p w14:paraId="27A99D9C" w14:textId="77777777" w:rsidR="00740108" w:rsidRPr="00740108" w:rsidRDefault="00740108" w:rsidP="00740108">
      <w:pPr>
        <w:autoSpaceDE w:val="0"/>
        <w:autoSpaceDN w:val="0"/>
        <w:adjustRightInd w:val="0"/>
        <w:spacing w:after="0" w:line="240" w:lineRule="auto"/>
        <w:rPr>
          <w:rFonts w:cstheme="minorHAnsi"/>
          <w:bCs/>
          <w:color w:val="FF0000"/>
        </w:rPr>
      </w:pPr>
      <w:r w:rsidRPr="00740108">
        <w:rPr>
          <w:rFonts w:cstheme="minorHAnsi"/>
          <w:bCs/>
          <w:color w:val="FF0000"/>
        </w:rPr>
        <w:t>In general, higher rates of hypercalcemia represent worse quality of care. This analysis demonstrates the ability to identify both practical and statistically significant differences in performance across facilities based on their proportion of hypercalcemia.</w:t>
      </w:r>
    </w:p>
    <w:p w14:paraId="1AD19A81" w14:textId="77777777" w:rsidR="00740108" w:rsidRPr="006E7435" w:rsidRDefault="00740108" w:rsidP="006E7435">
      <w:pPr>
        <w:autoSpaceDE w:val="0"/>
        <w:autoSpaceDN w:val="0"/>
        <w:adjustRightInd w:val="0"/>
        <w:spacing w:after="0" w:line="240" w:lineRule="auto"/>
        <w:rPr>
          <w:rFonts w:cstheme="minorHAnsi"/>
          <w:bCs/>
          <w:color w:val="FF0000"/>
        </w:rPr>
      </w:pPr>
    </w:p>
    <w:p w14:paraId="51C2274D" w14:textId="2D37640B" w:rsidR="006E7435" w:rsidRPr="00A25024" w:rsidRDefault="006E7435" w:rsidP="00D61410">
      <w:pPr>
        <w:autoSpaceDE w:val="0"/>
        <w:autoSpaceDN w:val="0"/>
        <w:adjustRightInd w:val="0"/>
        <w:spacing w:after="0" w:line="240" w:lineRule="auto"/>
        <w:rPr>
          <w:rFonts w:cstheme="minorHAnsi"/>
          <w:bCs/>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2777D4F"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050CD570"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1EE675C1" w14:textId="77777777" w:rsidR="0056102A" w:rsidRDefault="0056102A" w:rsidP="0056102A">
      <w:pPr>
        <w:rPr>
          <w:rFonts w:cstheme="minorHAnsi"/>
          <w:bCs/>
        </w:rPr>
      </w:pPr>
      <w:r>
        <w:t>N/A</w:t>
      </w: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CABD015" w14:textId="1B8B26B2" w:rsidR="00A35F8F" w:rsidRDefault="009C7513" w:rsidP="00E1508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4EC06456" w14:textId="77777777" w:rsidR="0056102A" w:rsidRDefault="0056102A" w:rsidP="0056102A">
      <w:pPr>
        <w:rPr>
          <w:rFonts w:cstheme="minorHAnsi"/>
          <w:bCs/>
        </w:rPr>
      </w:pPr>
      <w:r>
        <w:t>N/A</w:t>
      </w:r>
    </w:p>
    <w:p w14:paraId="44583F26" w14:textId="77777777" w:rsidR="0056102A" w:rsidRDefault="0056102A" w:rsidP="00E1508F">
      <w:pPr>
        <w:autoSpaceDE w:val="0"/>
        <w:autoSpaceDN w:val="0"/>
        <w:adjustRightInd w:val="0"/>
        <w:spacing w:after="0" w:line="240" w:lineRule="auto"/>
        <w:rPr>
          <w:rFonts w:cstheme="minorHAnsi"/>
          <w:bCs/>
        </w:rPr>
      </w:pP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0CABD017" w14:textId="33FC873B" w:rsidR="0079180E" w:rsidRDefault="009C7513" w:rsidP="00DB3627">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14:paraId="5AA6D2BA" w14:textId="77777777" w:rsidR="0056102A" w:rsidRDefault="0056102A" w:rsidP="0056102A">
      <w:pPr>
        <w:rPr>
          <w:rFonts w:cstheme="minorHAnsi"/>
          <w:bCs/>
        </w:rPr>
      </w:pPr>
      <w:r>
        <w:t>N/A</w:t>
      </w:r>
    </w:p>
    <w:p w14:paraId="79DCA1F8" w14:textId="77777777" w:rsidR="0056102A" w:rsidRDefault="0056102A"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62771DA0" w14:textId="77777777" w:rsidR="00456B3E" w:rsidRDefault="009C7513" w:rsidP="008F7E67">
      <w:pPr>
        <w:autoSpaceDE w:val="0"/>
        <w:autoSpaceDN w:val="0"/>
        <w:adjustRightInd w:val="0"/>
        <w:spacing w:after="0" w:line="240" w:lineRule="auto"/>
        <w:rPr>
          <w:rFonts w:cstheme="minorHAnsi"/>
          <w:bCs/>
        </w:rPr>
      </w:pPr>
      <w:r w:rsidRPr="009C23FB">
        <w:rPr>
          <w:rFonts w:cstheme="minorHAnsi"/>
          <w:b/>
          <w:bCs/>
          <w:highlight w:val="green"/>
        </w:rPr>
        <w:t>2b6</w:t>
      </w:r>
      <w:r w:rsidR="008F7E67" w:rsidRPr="009C23FB">
        <w:rPr>
          <w:rFonts w:cstheme="minorHAnsi"/>
          <w:b/>
          <w:bCs/>
          <w:highlight w:val="green"/>
        </w:rPr>
        <w:t xml:space="preserve">.1. Describe the method of testing conducted to </w:t>
      </w:r>
      <w:r w:rsidR="00771B2A" w:rsidRPr="009C23FB">
        <w:rPr>
          <w:rFonts w:ascii="Calibri" w:eastAsia="Calibri" w:hAnsi="Calibri" w:cs="Calibri"/>
          <w:b/>
          <w:highlight w:val="green"/>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2B32B7">
        <w:rPr>
          <w:rFonts w:cstheme="minorHAnsi"/>
          <w:bCs/>
        </w:rPr>
        <w:t>)</w:t>
      </w:r>
      <w:r w:rsidR="002B32B7">
        <w:rPr>
          <w:rFonts w:cstheme="minorHAnsi"/>
          <w:bCs/>
        </w:rPr>
        <w:br/>
      </w:r>
    </w:p>
    <w:p w14:paraId="0CABD01B" w14:textId="49EE9FD9" w:rsidR="008F7E67" w:rsidRPr="00456B3E" w:rsidRDefault="00BC2696" w:rsidP="008F7E67">
      <w:pPr>
        <w:autoSpaceDE w:val="0"/>
        <w:autoSpaceDN w:val="0"/>
        <w:adjustRightInd w:val="0"/>
        <w:spacing w:after="0" w:line="240" w:lineRule="auto"/>
        <w:rPr>
          <w:rFonts w:cstheme="minorHAnsi"/>
          <w:bCs/>
          <w:color w:val="FF0000"/>
        </w:rPr>
      </w:pPr>
      <w:r w:rsidRPr="00456B3E">
        <w:rPr>
          <w:rFonts w:cstheme="minorHAnsi"/>
          <w:bCs/>
          <w:color w:val="FF0000"/>
        </w:rPr>
        <w:t>Reporting months with missing values are not excluded from this measure.  Missing months are used as a component of the measure numerator, so introduction of bias from exclusion of missing values is not a consideration for the measure as specified.</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0CABD01D" w14:textId="27F68AF6" w:rsidR="008F7E67" w:rsidRDefault="009C7513" w:rsidP="008F7E67">
      <w:pPr>
        <w:autoSpaceDE w:val="0"/>
        <w:autoSpaceDN w:val="0"/>
        <w:adjustRightInd w:val="0"/>
        <w:spacing w:after="0" w:line="240" w:lineRule="auto"/>
        <w:rPr>
          <w:rFonts w:cstheme="minorHAnsi"/>
          <w:bCs/>
        </w:rPr>
      </w:pPr>
      <w:r w:rsidRPr="009C23FB">
        <w:rPr>
          <w:rFonts w:cstheme="minorHAnsi"/>
          <w:b/>
          <w:bCs/>
          <w:highlight w:val="green"/>
        </w:rPr>
        <w:t>2b6</w:t>
      </w:r>
      <w:r w:rsidR="008F7E67" w:rsidRPr="009C23FB">
        <w:rPr>
          <w:rFonts w:cstheme="minorHAnsi"/>
          <w:b/>
          <w:bCs/>
          <w:highlight w:val="green"/>
        </w:rPr>
        <w:t xml:space="preserve">.2. </w:t>
      </w:r>
      <w:r w:rsidR="00145D4F" w:rsidRPr="009C23FB">
        <w:rPr>
          <w:rFonts w:cstheme="minorHAnsi"/>
          <w:b/>
          <w:bCs/>
          <w:highlight w:val="green"/>
        </w:rPr>
        <w:t>What is the overall frequency of missing data</w:t>
      </w:r>
      <w:r w:rsidR="005560E7" w:rsidRPr="009C23FB">
        <w:rPr>
          <w:rFonts w:cstheme="minorHAnsi"/>
          <w:b/>
          <w:bCs/>
          <w:highlight w:val="green"/>
        </w:rPr>
        <w:t>,</w:t>
      </w:r>
      <w:r w:rsidR="00145D4F" w:rsidRPr="009C23FB">
        <w:rPr>
          <w:rFonts w:cstheme="minorHAnsi"/>
          <w:b/>
          <w:bCs/>
          <w:highlight w:val="green"/>
        </w:rPr>
        <w:t xml:space="preserve"> the distribution of missing data across providers</w:t>
      </w:r>
      <w:r w:rsidR="005560E7" w:rsidRPr="009C23FB">
        <w:rPr>
          <w:rFonts w:cstheme="minorHAnsi"/>
          <w:b/>
          <w:bCs/>
          <w:highlight w:val="green"/>
        </w:rPr>
        <w:t>,</w:t>
      </w:r>
      <w:r w:rsidR="00145D4F" w:rsidRPr="009C23FB">
        <w:rPr>
          <w:rFonts w:cstheme="minorHAnsi"/>
          <w:b/>
          <w:bCs/>
          <w:highlight w:val="green"/>
        </w:rPr>
        <w:t xml:space="preserve"> and the</w:t>
      </w:r>
      <w:r w:rsidR="008F7E67" w:rsidRPr="009C23FB">
        <w:rPr>
          <w:rFonts w:cstheme="minorHAnsi"/>
          <w:b/>
          <w:bCs/>
          <w:highlight w:val="green"/>
        </w:rPr>
        <w:t xml:space="preserve"> results from testing </w:t>
      </w:r>
      <w:r w:rsidR="00771B2A" w:rsidRPr="009C23FB">
        <w:rPr>
          <w:rFonts w:cstheme="minorHAnsi"/>
          <w:b/>
          <w:bCs/>
          <w:highlight w:val="green"/>
        </w:rPr>
        <w:t>related to missing data</w:t>
      </w:r>
      <w:r w:rsidR="008F7E67" w:rsidRPr="009C23FB">
        <w:rPr>
          <w:rFonts w:cstheme="minorHAnsi"/>
          <w:b/>
          <w:bCs/>
          <w:highlight w:val="green"/>
        </w:rPr>
        <w:t>?</w:t>
      </w:r>
      <w:r w:rsidR="008F7E67" w:rsidRPr="009C23FB">
        <w:rPr>
          <w:rFonts w:cstheme="minorHAnsi"/>
          <w:bCs/>
          <w:highlight w:val="green"/>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0CABD01E" w14:textId="21DC373B" w:rsidR="008F7E67" w:rsidRPr="00456B3E" w:rsidRDefault="00456B3E" w:rsidP="008F7E67">
      <w:pPr>
        <w:autoSpaceDE w:val="0"/>
        <w:autoSpaceDN w:val="0"/>
        <w:adjustRightInd w:val="0"/>
        <w:spacing w:after="0" w:line="240" w:lineRule="auto"/>
        <w:rPr>
          <w:rFonts w:cstheme="minorHAnsi"/>
          <w:bCs/>
          <w:color w:val="FF0000"/>
        </w:rPr>
      </w:pPr>
      <w:r w:rsidRPr="00456B3E">
        <w:rPr>
          <w:rFonts w:cstheme="minorHAnsi"/>
          <w:bCs/>
          <w:color w:val="FF0000"/>
        </w:rPr>
        <w:t>N/A</w:t>
      </w:r>
    </w:p>
    <w:p w14:paraId="183FA78E" w14:textId="77777777" w:rsidR="00456B3E" w:rsidRPr="00E1508F" w:rsidRDefault="00456B3E"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sidRPr="009C23FB">
        <w:rPr>
          <w:rFonts w:cstheme="minorHAnsi"/>
          <w:b/>
          <w:bCs/>
          <w:highlight w:val="green"/>
        </w:rPr>
        <w:t>2b6</w:t>
      </w:r>
      <w:r w:rsidR="008F7E67" w:rsidRPr="009C23FB">
        <w:rPr>
          <w:rFonts w:cstheme="minorHAnsi"/>
          <w:b/>
          <w:bCs/>
          <w:highlight w:val="green"/>
        </w:rPr>
        <w:t>.3. What is your interpretation of the results in terms of demonstrating</w:t>
      </w:r>
      <w:r w:rsidR="00771B2A" w:rsidRPr="009C23FB">
        <w:rPr>
          <w:rFonts w:cstheme="minorHAnsi"/>
          <w:b/>
          <w:bCs/>
          <w:highlight w:val="green"/>
        </w:rPr>
        <w:t xml:space="preserve"> that </w:t>
      </w:r>
      <w:r w:rsidR="00771B2A" w:rsidRPr="009C23FB">
        <w:rPr>
          <w:rFonts w:ascii="Calibri" w:eastAsia="Calibri" w:hAnsi="Calibri" w:cs="Calibri"/>
          <w:b/>
          <w:highlight w:val="green"/>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CABD020" w14:textId="00FA3CEA" w:rsidR="00BA053B" w:rsidRDefault="00BA053B">
      <w:pPr>
        <w:autoSpaceDE w:val="0"/>
        <w:autoSpaceDN w:val="0"/>
        <w:adjustRightInd w:val="0"/>
        <w:spacing w:after="0" w:line="240" w:lineRule="auto"/>
        <w:rPr>
          <w:rFonts w:cstheme="minorHAnsi"/>
          <w:bCs/>
        </w:rPr>
      </w:pPr>
    </w:p>
    <w:p w14:paraId="664B52A6" w14:textId="77777777" w:rsidR="00456B3E" w:rsidRPr="00456B3E" w:rsidRDefault="00456B3E" w:rsidP="00456B3E">
      <w:pPr>
        <w:autoSpaceDE w:val="0"/>
        <w:autoSpaceDN w:val="0"/>
        <w:adjustRightInd w:val="0"/>
        <w:spacing w:after="0" w:line="240" w:lineRule="auto"/>
        <w:rPr>
          <w:rFonts w:cstheme="minorHAnsi"/>
          <w:bCs/>
          <w:color w:val="FF0000"/>
        </w:rPr>
      </w:pPr>
      <w:r w:rsidRPr="00456B3E">
        <w:rPr>
          <w:rFonts w:cstheme="minorHAnsi"/>
          <w:bCs/>
          <w:color w:val="FF0000"/>
        </w:rPr>
        <w:t>N/A</w:t>
      </w:r>
    </w:p>
    <w:p w14:paraId="1AFF7BF5" w14:textId="77777777" w:rsidR="00456B3E" w:rsidRPr="005560E7" w:rsidRDefault="00456B3E">
      <w:pPr>
        <w:autoSpaceDE w:val="0"/>
        <w:autoSpaceDN w:val="0"/>
        <w:adjustRightInd w:val="0"/>
        <w:spacing w:after="0" w:line="240" w:lineRule="auto"/>
        <w:rPr>
          <w:rFonts w:cstheme="minorHAnsi"/>
          <w:bCs/>
        </w:rPr>
      </w:pPr>
    </w:p>
    <w:sectPr w:rsidR="00456B3E"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78338" w14:textId="77777777" w:rsidR="00D572C4" w:rsidRDefault="00D572C4" w:rsidP="005C73CA">
      <w:pPr>
        <w:spacing w:after="0" w:line="240" w:lineRule="auto"/>
      </w:pPr>
      <w:r>
        <w:separator/>
      </w:r>
    </w:p>
  </w:endnote>
  <w:endnote w:type="continuationSeparator" w:id="0">
    <w:p w14:paraId="7418B5FC" w14:textId="77777777" w:rsidR="00D572C4" w:rsidRDefault="00D572C4"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6" w14:textId="7C97B73E"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876130">
      <w:rPr>
        <w:noProof/>
      </w:rPr>
      <w:t>13</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638CF" w14:textId="77777777" w:rsidR="00D572C4" w:rsidRDefault="00D572C4" w:rsidP="005C73CA">
      <w:pPr>
        <w:spacing w:after="0" w:line="240" w:lineRule="auto"/>
      </w:pPr>
      <w:r>
        <w:separator/>
      </w:r>
    </w:p>
  </w:footnote>
  <w:footnote w:type="continuationSeparator" w:id="0">
    <w:p w14:paraId="688B5DE4" w14:textId="77777777" w:rsidR="00D572C4" w:rsidRDefault="00D572C4" w:rsidP="005C73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trackRevisions/>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2F2C"/>
    <w:rsid w:val="0004593A"/>
    <w:rsid w:val="00050A3E"/>
    <w:rsid w:val="00052A6F"/>
    <w:rsid w:val="00053F02"/>
    <w:rsid w:val="0005612B"/>
    <w:rsid w:val="000574AB"/>
    <w:rsid w:val="0006147A"/>
    <w:rsid w:val="0006234F"/>
    <w:rsid w:val="00064FD2"/>
    <w:rsid w:val="000775F8"/>
    <w:rsid w:val="00080CF7"/>
    <w:rsid w:val="000851B2"/>
    <w:rsid w:val="00092566"/>
    <w:rsid w:val="000968F8"/>
    <w:rsid w:val="00097012"/>
    <w:rsid w:val="000A6314"/>
    <w:rsid w:val="000B032A"/>
    <w:rsid w:val="000B2DF7"/>
    <w:rsid w:val="000B3880"/>
    <w:rsid w:val="000B7D57"/>
    <w:rsid w:val="000C036D"/>
    <w:rsid w:val="000C0FF8"/>
    <w:rsid w:val="000C4C40"/>
    <w:rsid w:val="000D2722"/>
    <w:rsid w:val="000D7948"/>
    <w:rsid w:val="000D7C84"/>
    <w:rsid w:val="000E024D"/>
    <w:rsid w:val="000E4E13"/>
    <w:rsid w:val="000E78F6"/>
    <w:rsid w:val="000F034A"/>
    <w:rsid w:val="000F06B5"/>
    <w:rsid w:val="000F1B7A"/>
    <w:rsid w:val="000F39E9"/>
    <w:rsid w:val="00104B45"/>
    <w:rsid w:val="00105D8B"/>
    <w:rsid w:val="0011342F"/>
    <w:rsid w:val="001202E9"/>
    <w:rsid w:val="00121CDF"/>
    <w:rsid w:val="0012454F"/>
    <w:rsid w:val="00125273"/>
    <w:rsid w:val="0012575E"/>
    <w:rsid w:val="00125DC7"/>
    <w:rsid w:val="00127C06"/>
    <w:rsid w:val="00145149"/>
    <w:rsid w:val="00145D4F"/>
    <w:rsid w:val="0014773C"/>
    <w:rsid w:val="00150C5D"/>
    <w:rsid w:val="0017696D"/>
    <w:rsid w:val="00176D1A"/>
    <w:rsid w:val="001848FC"/>
    <w:rsid w:val="00193F21"/>
    <w:rsid w:val="001969C5"/>
    <w:rsid w:val="001A6CDD"/>
    <w:rsid w:val="001C12EE"/>
    <w:rsid w:val="001C7B02"/>
    <w:rsid w:val="001E4DD4"/>
    <w:rsid w:val="001E69DC"/>
    <w:rsid w:val="001F169D"/>
    <w:rsid w:val="001F1DA1"/>
    <w:rsid w:val="001F6F93"/>
    <w:rsid w:val="001F7A20"/>
    <w:rsid w:val="0021054A"/>
    <w:rsid w:val="0021195A"/>
    <w:rsid w:val="00213383"/>
    <w:rsid w:val="00214388"/>
    <w:rsid w:val="00220250"/>
    <w:rsid w:val="00222444"/>
    <w:rsid w:val="002245D3"/>
    <w:rsid w:val="0022691B"/>
    <w:rsid w:val="00232163"/>
    <w:rsid w:val="002376F8"/>
    <w:rsid w:val="002408E4"/>
    <w:rsid w:val="00241591"/>
    <w:rsid w:val="00250B4F"/>
    <w:rsid w:val="00255D0C"/>
    <w:rsid w:val="0025762F"/>
    <w:rsid w:val="00275563"/>
    <w:rsid w:val="0028114D"/>
    <w:rsid w:val="00287649"/>
    <w:rsid w:val="00287E84"/>
    <w:rsid w:val="0029286C"/>
    <w:rsid w:val="0029300E"/>
    <w:rsid w:val="002B0C3A"/>
    <w:rsid w:val="002B2116"/>
    <w:rsid w:val="002B2D9B"/>
    <w:rsid w:val="002B32B7"/>
    <w:rsid w:val="002B5016"/>
    <w:rsid w:val="002B742C"/>
    <w:rsid w:val="002B7F4D"/>
    <w:rsid w:val="002C285C"/>
    <w:rsid w:val="002C7BE4"/>
    <w:rsid w:val="002D417D"/>
    <w:rsid w:val="002D5E5D"/>
    <w:rsid w:val="002E78A0"/>
    <w:rsid w:val="002F2687"/>
    <w:rsid w:val="002F48E1"/>
    <w:rsid w:val="002F4F3B"/>
    <w:rsid w:val="00304C86"/>
    <w:rsid w:val="003059EB"/>
    <w:rsid w:val="003116AC"/>
    <w:rsid w:val="00313087"/>
    <w:rsid w:val="00315567"/>
    <w:rsid w:val="00330144"/>
    <w:rsid w:val="00334329"/>
    <w:rsid w:val="00345CBA"/>
    <w:rsid w:val="00346245"/>
    <w:rsid w:val="00356267"/>
    <w:rsid w:val="00356BAD"/>
    <w:rsid w:val="003605B4"/>
    <w:rsid w:val="0036268F"/>
    <w:rsid w:val="003627AC"/>
    <w:rsid w:val="00366914"/>
    <w:rsid w:val="00372FE3"/>
    <w:rsid w:val="003755CB"/>
    <w:rsid w:val="00383F85"/>
    <w:rsid w:val="00387BA1"/>
    <w:rsid w:val="0039528A"/>
    <w:rsid w:val="003A306C"/>
    <w:rsid w:val="003A7DE7"/>
    <w:rsid w:val="003B1006"/>
    <w:rsid w:val="003B4A50"/>
    <w:rsid w:val="003B7096"/>
    <w:rsid w:val="003C5F11"/>
    <w:rsid w:val="003D294B"/>
    <w:rsid w:val="003D6401"/>
    <w:rsid w:val="003E1863"/>
    <w:rsid w:val="004153CC"/>
    <w:rsid w:val="0041606D"/>
    <w:rsid w:val="00416962"/>
    <w:rsid w:val="004206A8"/>
    <w:rsid w:val="00430F67"/>
    <w:rsid w:val="004348CC"/>
    <w:rsid w:val="00436CF8"/>
    <w:rsid w:val="00450C58"/>
    <w:rsid w:val="00456B3E"/>
    <w:rsid w:val="004658FF"/>
    <w:rsid w:val="004725F1"/>
    <w:rsid w:val="00474ED7"/>
    <w:rsid w:val="004750BA"/>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377D2"/>
    <w:rsid w:val="00537C1B"/>
    <w:rsid w:val="0055007C"/>
    <w:rsid w:val="00554922"/>
    <w:rsid w:val="00555282"/>
    <w:rsid w:val="005560E7"/>
    <w:rsid w:val="0056102A"/>
    <w:rsid w:val="005612CC"/>
    <w:rsid w:val="00563029"/>
    <w:rsid w:val="00565946"/>
    <w:rsid w:val="00567D12"/>
    <w:rsid w:val="00576062"/>
    <w:rsid w:val="0059559F"/>
    <w:rsid w:val="005A341E"/>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1D44"/>
    <w:rsid w:val="006574D2"/>
    <w:rsid w:val="00662693"/>
    <w:rsid w:val="00663563"/>
    <w:rsid w:val="006651A1"/>
    <w:rsid w:val="006676D4"/>
    <w:rsid w:val="00675535"/>
    <w:rsid w:val="00681359"/>
    <w:rsid w:val="0069157C"/>
    <w:rsid w:val="00696262"/>
    <w:rsid w:val="006C3A4F"/>
    <w:rsid w:val="006C4845"/>
    <w:rsid w:val="006D6BC1"/>
    <w:rsid w:val="006E2BFC"/>
    <w:rsid w:val="006E5C57"/>
    <w:rsid w:val="006E7435"/>
    <w:rsid w:val="006F22A5"/>
    <w:rsid w:val="006F3EF0"/>
    <w:rsid w:val="00702C73"/>
    <w:rsid w:val="00713394"/>
    <w:rsid w:val="00724677"/>
    <w:rsid w:val="00725AC2"/>
    <w:rsid w:val="00732880"/>
    <w:rsid w:val="00740108"/>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13B1"/>
    <w:rsid w:val="007D4351"/>
    <w:rsid w:val="007D7019"/>
    <w:rsid w:val="007E18DB"/>
    <w:rsid w:val="007E6F1C"/>
    <w:rsid w:val="00804C69"/>
    <w:rsid w:val="0080711D"/>
    <w:rsid w:val="008155CD"/>
    <w:rsid w:val="00833325"/>
    <w:rsid w:val="00840A41"/>
    <w:rsid w:val="00842334"/>
    <w:rsid w:val="00842F3C"/>
    <w:rsid w:val="008505D1"/>
    <w:rsid w:val="00855158"/>
    <w:rsid w:val="00857EE8"/>
    <w:rsid w:val="0086464B"/>
    <w:rsid w:val="008647FC"/>
    <w:rsid w:val="00864CA8"/>
    <w:rsid w:val="00865E2D"/>
    <w:rsid w:val="00870E6C"/>
    <w:rsid w:val="00875846"/>
    <w:rsid w:val="00876130"/>
    <w:rsid w:val="00884486"/>
    <w:rsid w:val="008871A9"/>
    <w:rsid w:val="008916BA"/>
    <w:rsid w:val="00892176"/>
    <w:rsid w:val="008A11C0"/>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6751"/>
    <w:rsid w:val="00927027"/>
    <w:rsid w:val="00933C89"/>
    <w:rsid w:val="009344BA"/>
    <w:rsid w:val="00946E61"/>
    <w:rsid w:val="00947F78"/>
    <w:rsid w:val="00953234"/>
    <w:rsid w:val="00961EAF"/>
    <w:rsid w:val="0096278F"/>
    <w:rsid w:val="009726E1"/>
    <w:rsid w:val="00972A04"/>
    <w:rsid w:val="00977591"/>
    <w:rsid w:val="00980E75"/>
    <w:rsid w:val="00987F3D"/>
    <w:rsid w:val="0099255C"/>
    <w:rsid w:val="00994BE0"/>
    <w:rsid w:val="00995955"/>
    <w:rsid w:val="009A25B1"/>
    <w:rsid w:val="009A4608"/>
    <w:rsid w:val="009A6A57"/>
    <w:rsid w:val="009A70BF"/>
    <w:rsid w:val="009B1A15"/>
    <w:rsid w:val="009C0852"/>
    <w:rsid w:val="009C13CA"/>
    <w:rsid w:val="009C23FB"/>
    <w:rsid w:val="009C32C6"/>
    <w:rsid w:val="009C665F"/>
    <w:rsid w:val="009C7513"/>
    <w:rsid w:val="009D1CA3"/>
    <w:rsid w:val="009D2E8B"/>
    <w:rsid w:val="009D3882"/>
    <w:rsid w:val="009D7E38"/>
    <w:rsid w:val="009E095B"/>
    <w:rsid w:val="009E1846"/>
    <w:rsid w:val="009E78FF"/>
    <w:rsid w:val="00A01494"/>
    <w:rsid w:val="00A210F0"/>
    <w:rsid w:val="00A22FA9"/>
    <w:rsid w:val="00A25024"/>
    <w:rsid w:val="00A35F8F"/>
    <w:rsid w:val="00A41377"/>
    <w:rsid w:val="00A4263D"/>
    <w:rsid w:val="00A509B8"/>
    <w:rsid w:val="00A52AB9"/>
    <w:rsid w:val="00A6210B"/>
    <w:rsid w:val="00A64EBF"/>
    <w:rsid w:val="00A71200"/>
    <w:rsid w:val="00A7323A"/>
    <w:rsid w:val="00A753CE"/>
    <w:rsid w:val="00A831B4"/>
    <w:rsid w:val="00A97798"/>
    <w:rsid w:val="00AA10F1"/>
    <w:rsid w:val="00AA5213"/>
    <w:rsid w:val="00AA65A6"/>
    <w:rsid w:val="00AC1D8E"/>
    <w:rsid w:val="00AC48FA"/>
    <w:rsid w:val="00AD0240"/>
    <w:rsid w:val="00AD4137"/>
    <w:rsid w:val="00AF2D68"/>
    <w:rsid w:val="00AF6AAC"/>
    <w:rsid w:val="00B037BA"/>
    <w:rsid w:val="00B20139"/>
    <w:rsid w:val="00B218DA"/>
    <w:rsid w:val="00B330A6"/>
    <w:rsid w:val="00B342FA"/>
    <w:rsid w:val="00B53E8B"/>
    <w:rsid w:val="00B774D2"/>
    <w:rsid w:val="00B8015A"/>
    <w:rsid w:val="00B82A57"/>
    <w:rsid w:val="00BA053B"/>
    <w:rsid w:val="00BB08A3"/>
    <w:rsid w:val="00BB35AE"/>
    <w:rsid w:val="00BB5AEF"/>
    <w:rsid w:val="00BC03A1"/>
    <w:rsid w:val="00BC0D25"/>
    <w:rsid w:val="00BC2696"/>
    <w:rsid w:val="00BD2505"/>
    <w:rsid w:val="00BE592D"/>
    <w:rsid w:val="00BE66D6"/>
    <w:rsid w:val="00BF52B0"/>
    <w:rsid w:val="00BF5697"/>
    <w:rsid w:val="00C14CCC"/>
    <w:rsid w:val="00C1695E"/>
    <w:rsid w:val="00C22C1C"/>
    <w:rsid w:val="00C22E16"/>
    <w:rsid w:val="00C33F2E"/>
    <w:rsid w:val="00C34936"/>
    <w:rsid w:val="00C34C14"/>
    <w:rsid w:val="00C355B9"/>
    <w:rsid w:val="00C35990"/>
    <w:rsid w:val="00C37EF1"/>
    <w:rsid w:val="00C401C4"/>
    <w:rsid w:val="00C403DC"/>
    <w:rsid w:val="00C41680"/>
    <w:rsid w:val="00C60A25"/>
    <w:rsid w:val="00C765C5"/>
    <w:rsid w:val="00C775CE"/>
    <w:rsid w:val="00C82479"/>
    <w:rsid w:val="00C867F0"/>
    <w:rsid w:val="00CA06D8"/>
    <w:rsid w:val="00CA345A"/>
    <w:rsid w:val="00CB49FF"/>
    <w:rsid w:val="00CC02CF"/>
    <w:rsid w:val="00CC086A"/>
    <w:rsid w:val="00CD0E24"/>
    <w:rsid w:val="00CD0F66"/>
    <w:rsid w:val="00CD364B"/>
    <w:rsid w:val="00CE23B8"/>
    <w:rsid w:val="00CE284E"/>
    <w:rsid w:val="00CE50D7"/>
    <w:rsid w:val="00CF4CBE"/>
    <w:rsid w:val="00D00344"/>
    <w:rsid w:val="00D01FB4"/>
    <w:rsid w:val="00D16DCD"/>
    <w:rsid w:val="00D1754D"/>
    <w:rsid w:val="00D2223F"/>
    <w:rsid w:val="00D274A4"/>
    <w:rsid w:val="00D277AF"/>
    <w:rsid w:val="00D31163"/>
    <w:rsid w:val="00D320B1"/>
    <w:rsid w:val="00D33AFD"/>
    <w:rsid w:val="00D36489"/>
    <w:rsid w:val="00D369E9"/>
    <w:rsid w:val="00D371F0"/>
    <w:rsid w:val="00D42195"/>
    <w:rsid w:val="00D50704"/>
    <w:rsid w:val="00D572C4"/>
    <w:rsid w:val="00D5760A"/>
    <w:rsid w:val="00D61410"/>
    <w:rsid w:val="00D8181D"/>
    <w:rsid w:val="00D968D8"/>
    <w:rsid w:val="00DA563D"/>
    <w:rsid w:val="00DA7277"/>
    <w:rsid w:val="00DB3627"/>
    <w:rsid w:val="00DB4724"/>
    <w:rsid w:val="00DB6944"/>
    <w:rsid w:val="00DC4746"/>
    <w:rsid w:val="00DC4BBF"/>
    <w:rsid w:val="00DE7149"/>
    <w:rsid w:val="00E0314C"/>
    <w:rsid w:val="00E1508F"/>
    <w:rsid w:val="00E261DF"/>
    <w:rsid w:val="00E27240"/>
    <w:rsid w:val="00E27EDD"/>
    <w:rsid w:val="00E30584"/>
    <w:rsid w:val="00E310B9"/>
    <w:rsid w:val="00E37E1B"/>
    <w:rsid w:val="00E562C0"/>
    <w:rsid w:val="00E57FAF"/>
    <w:rsid w:val="00E614F4"/>
    <w:rsid w:val="00E66B1F"/>
    <w:rsid w:val="00E672D6"/>
    <w:rsid w:val="00E76024"/>
    <w:rsid w:val="00E856A2"/>
    <w:rsid w:val="00E967AD"/>
    <w:rsid w:val="00E96884"/>
    <w:rsid w:val="00EA5435"/>
    <w:rsid w:val="00EA5F47"/>
    <w:rsid w:val="00EB455E"/>
    <w:rsid w:val="00EC79DE"/>
    <w:rsid w:val="00ED462E"/>
    <w:rsid w:val="00ED4ACE"/>
    <w:rsid w:val="00EE4D35"/>
    <w:rsid w:val="00EF2DA7"/>
    <w:rsid w:val="00EF5322"/>
    <w:rsid w:val="00F1412B"/>
    <w:rsid w:val="00F15BFA"/>
    <w:rsid w:val="00F34FAB"/>
    <w:rsid w:val="00F435AA"/>
    <w:rsid w:val="00F5738A"/>
    <w:rsid w:val="00F612D4"/>
    <w:rsid w:val="00F7389E"/>
    <w:rsid w:val="00F77F1D"/>
    <w:rsid w:val="00F87CCB"/>
    <w:rsid w:val="00FA33A9"/>
    <w:rsid w:val="00FA48C7"/>
    <w:rsid w:val="00FA770D"/>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CABCF53"/>
  <w15:docId w15:val="{30E44ED8-F3D7-4D2A-91CA-D3992B88C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965547008">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224918BE5A9043D7A246A37E2B9A74A9"/>
        <w:category>
          <w:name w:val="General"/>
          <w:gallery w:val="placeholder"/>
        </w:category>
        <w:types>
          <w:type w:val="bbPlcHdr"/>
        </w:types>
        <w:behaviors>
          <w:behavior w:val="content"/>
        </w:behaviors>
        <w:guid w:val="{205BFBAC-F5C6-402F-AA66-221D534FEC58}"/>
      </w:docPartPr>
      <w:docPartBody>
        <w:p w:rsidR="00F64185" w:rsidRDefault="00F46BC1" w:rsidP="00F46BC1">
          <w:pPr>
            <w:pStyle w:val="224918BE5A9043D7A246A37E2B9A74A9"/>
          </w:pPr>
          <w:bookmarkStart w:id="1" w:name="_GoBack"/>
          <w:r w:rsidRPr="00A25024">
            <w:rPr>
              <w:rStyle w:val="PlaceholderText"/>
              <w:rFonts w:cstheme="minorHAnsi"/>
              <w:color w:val="A6A6A6" w:themeColor="background1" w:themeShade="A6"/>
            </w:rPr>
            <w:t>Click here to enter measure title</w:t>
          </w:r>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0000000000000000000"/>
    <w:charset w:val="80"/>
    <w:family w:val="roman"/>
    <w:notTrueType/>
    <w:pitch w:val="default"/>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736D7"/>
    <w:rsid w:val="00190AF4"/>
    <w:rsid w:val="00223FA3"/>
    <w:rsid w:val="002A288F"/>
    <w:rsid w:val="002C65A7"/>
    <w:rsid w:val="002F052A"/>
    <w:rsid w:val="00350176"/>
    <w:rsid w:val="003840F0"/>
    <w:rsid w:val="00437537"/>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5183"/>
    <w:rsid w:val="00AB1C1B"/>
    <w:rsid w:val="00AB4AF7"/>
    <w:rsid w:val="00AD7C4F"/>
    <w:rsid w:val="00B445F5"/>
    <w:rsid w:val="00BD40CB"/>
    <w:rsid w:val="00C362A2"/>
    <w:rsid w:val="00C90121"/>
    <w:rsid w:val="00C96E73"/>
    <w:rsid w:val="00CA1FE8"/>
    <w:rsid w:val="00CA344F"/>
    <w:rsid w:val="00CA660C"/>
    <w:rsid w:val="00D1676E"/>
    <w:rsid w:val="00DC0246"/>
    <w:rsid w:val="00E6518A"/>
    <w:rsid w:val="00F26BFD"/>
    <w:rsid w:val="00F46BC1"/>
    <w:rsid w:val="00F540AB"/>
    <w:rsid w:val="00F63209"/>
    <w:rsid w:val="00F64185"/>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3209"/>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24918BE5A9043D7A246A37E2B9A74A9">
    <w:name w:val="224918BE5A9043D7A246A37E2B9A74A9"/>
    <w:rsid w:val="00F46BC1"/>
    <w:pPr>
      <w:spacing w:after="160" w:line="259" w:lineRule="auto"/>
    </w:pPr>
  </w:style>
  <w:style w:type="paragraph" w:customStyle="1" w:styleId="D39019BAB41145EB96B6A096AE780CCD">
    <w:name w:val="D39019BAB41145EB96B6A096AE780CCD"/>
    <w:rsid w:val="00F6320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0C901-3C40-4C03-AF30-8401D54B3554}">
  <ds:schemaRefs>
    <ds:schemaRef ds:uri="http://schemas.microsoft.com/office/2006/metadata/properties"/>
    <ds:schemaRef ds:uri="http://schemas.microsoft.com/office/2006/documentManagement/types"/>
    <ds:schemaRef ds:uri="http://purl.org/dc/elements/1.1/"/>
    <ds:schemaRef ds:uri="836b82f1-340d-495e-85b5-201c5296619a"/>
    <ds:schemaRef ds:uri="http://purl.org/dc/dcmitype/"/>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0001727C-7187-4F2B-9E1E-A8E4D1C07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13</Pages>
  <Words>5367</Words>
  <Characters>30598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dc:description/>
  <cp:lastModifiedBy>Jennifer Sardone</cp:lastModifiedBy>
  <cp:revision>12</cp:revision>
  <dcterms:created xsi:type="dcterms:W3CDTF">2018-12-23T18:47:00Z</dcterms:created>
  <dcterms:modified xsi:type="dcterms:W3CDTF">2019-01-07T16:35:00Z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